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A69" w:rsidRDefault="0015639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FigureS1</w:t>
      </w:r>
    </w:p>
    <w:p w:rsidR="00604A69" w:rsidRDefault="00604A69">
      <w:pPr>
        <w:rPr>
          <w:rFonts w:ascii="Times New Roman" w:hAnsi="Times New Roman" w:cs="Times New Roman"/>
          <w:sz w:val="20"/>
          <w:szCs w:val="20"/>
        </w:rPr>
      </w:pPr>
    </w:p>
    <w:p w:rsidR="00604A69" w:rsidRDefault="0015639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val="en-PH" w:eastAsia="en-PH"/>
        </w:rPr>
        <w:drawing>
          <wp:inline distT="0" distB="0" distL="114300" distR="114300">
            <wp:extent cx="5239385" cy="7354570"/>
            <wp:effectExtent l="0" t="0" r="5715" b="11430"/>
            <wp:docPr id="4" name="图片 4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未标题-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39385" cy="735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4A69" w:rsidRDefault="00156390">
      <w:pPr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 xml:space="preserve">Supplementary Figure </w:t>
      </w:r>
      <w:r>
        <w:rPr>
          <w:rFonts w:ascii="Times New Roman" w:hAnsi="Times New Roman" w:cs="Times New Roman" w:hint="eastAsia"/>
          <w:sz w:val="20"/>
          <w:szCs w:val="20"/>
        </w:rPr>
        <w:t>1</w:t>
      </w:r>
      <w:r>
        <w:rPr>
          <w:rFonts w:ascii="Times New Roman" w:hAnsi="Times New Roman" w:cs="Times New Roman"/>
          <w:sz w:val="20"/>
          <w:szCs w:val="20"/>
        </w:rPr>
        <w:t>.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Bias funnel plots for </w:t>
      </w:r>
      <w:proofErr w:type="spellStart"/>
      <w:r>
        <w:rPr>
          <w:rFonts w:ascii="Times New Roman" w:hAnsi="Times New Roman" w:cs="Times New Roman" w:hint="eastAsia"/>
          <w:sz w:val="20"/>
          <w:szCs w:val="20"/>
        </w:rPr>
        <w:t>iPFS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(A) and </w:t>
      </w:r>
      <w:r>
        <w:rPr>
          <w:rFonts w:ascii="Times New Roman" w:hAnsi="Times New Roman" w:cs="Times New Roman" w:hint="eastAsia"/>
          <w:sz w:val="20"/>
          <w:szCs w:val="20"/>
        </w:rPr>
        <w:t>OS</w:t>
      </w:r>
      <w:r>
        <w:rPr>
          <w:rFonts w:ascii="Times New Roman" w:hAnsi="Times New Roman" w:cs="Times New Roman"/>
          <w:sz w:val="20"/>
          <w:szCs w:val="20"/>
        </w:rPr>
        <w:t xml:space="preserve"> (B).</w:t>
      </w:r>
    </w:p>
    <w:p w:rsidR="00604A69" w:rsidRDefault="00604A69">
      <w:pPr>
        <w:rPr>
          <w:rFonts w:ascii="Times New Roman" w:hAnsi="Times New Roman" w:cs="Times New Roman"/>
          <w:sz w:val="20"/>
          <w:szCs w:val="20"/>
        </w:rPr>
        <w:sectPr w:rsidR="00604A6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604A69" w:rsidRDefault="0015639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FigureS</w:t>
      </w:r>
      <w:r>
        <w:rPr>
          <w:rFonts w:ascii="Times New Roman" w:hAnsi="Times New Roman" w:cs="Times New Roman" w:hint="eastAsia"/>
          <w:sz w:val="20"/>
          <w:szCs w:val="20"/>
        </w:rPr>
        <w:t>2</w:t>
      </w:r>
    </w:p>
    <w:p w:rsidR="00604A69" w:rsidRDefault="00156390">
      <w:r>
        <w:rPr>
          <w:noProof/>
          <w:lang w:val="en-PH" w:eastAsia="en-PH"/>
        </w:rPr>
        <w:drawing>
          <wp:inline distT="0" distB="0" distL="114300" distR="114300">
            <wp:extent cx="5271135" cy="7519035"/>
            <wp:effectExtent l="0" t="0" r="12065" b="12065"/>
            <wp:docPr id="1" name="图片 1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未标题-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51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4A69" w:rsidRDefault="0015639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Supplementary Figure </w:t>
      </w:r>
      <w:r>
        <w:rPr>
          <w:rFonts w:ascii="Times New Roman" w:hAnsi="Times New Roman" w:cs="Times New Roman" w:hint="eastAsia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: Sensitivity analysis of patient </w:t>
      </w:r>
      <w:proofErr w:type="spellStart"/>
      <w:r>
        <w:rPr>
          <w:rFonts w:ascii="Times New Roman" w:hAnsi="Times New Roman" w:cs="Times New Roman"/>
          <w:sz w:val="20"/>
          <w:szCs w:val="20"/>
        </w:rPr>
        <w:t>iPFS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(A) and OS (B) meta-analysis.</w:t>
      </w:r>
    </w:p>
    <w:p w:rsidR="00604A69" w:rsidRDefault="00604A69">
      <w:pPr>
        <w:rPr>
          <w:sz w:val="20"/>
          <w:szCs w:val="20"/>
        </w:rPr>
        <w:sectPr w:rsidR="00604A6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604A69" w:rsidRDefault="0015639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FigureS</w:t>
      </w:r>
      <w:r>
        <w:rPr>
          <w:rFonts w:ascii="Times New Roman" w:hAnsi="Times New Roman" w:cs="Times New Roman" w:hint="eastAsia"/>
          <w:sz w:val="20"/>
          <w:szCs w:val="20"/>
        </w:rPr>
        <w:t>3</w:t>
      </w:r>
    </w:p>
    <w:p w:rsidR="00604A69" w:rsidRDefault="00156390">
      <w:r>
        <w:rPr>
          <w:noProof/>
          <w:lang w:val="en-PH" w:eastAsia="en-PH"/>
        </w:rPr>
        <w:drawing>
          <wp:inline distT="0" distB="0" distL="114300" distR="114300">
            <wp:extent cx="5271135" cy="7054850"/>
            <wp:effectExtent l="0" t="0" r="12065" b="6350"/>
            <wp:docPr id="3" name="图片 3" descr="漏斗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漏斗图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05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4A69" w:rsidRDefault="00156390">
      <w:pPr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 xml:space="preserve">Supplementary Figure </w:t>
      </w:r>
      <w:r>
        <w:rPr>
          <w:rFonts w:ascii="Times New Roman" w:hAnsi="Times New Roman" w:cs="Times New Roman" w:hint="eastAsia"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t>.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Bias funnel plots for subgroups 1 (A) and 2 (B).</w:t>
      </w:r>
    </w:p>
    <w:p w:rsidR="00604A69" w:rsidRDefault="00604A69">
      <w:pPr>
        <w:rPr>
          <w:rFonts w:ascii="Times New Roman" w:hAnsi="Times New Roman" w:cs="Times New Roman"/>
          <w:sz w:val="20"/>
          <w:szCs w:val="20"/>
        </w:rPr>
        <w:sectPr w:rsidR="00604A6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604A69" w:rsidRDefault="0015639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FigureS</w:t>
      </w:r>
      <w:r>
        <w:rPr>
          <w:rFonts w:ascii="Times New Roman" w:hAnsi="Times New Roman" w:cs="Times New Roman" w:hint="eastAsia"/>
          <w:sz w:val="20"/>
          <w:szCs w:val="20"/>
        </w:rPr>
        <w:t>4</w:t>
      </w:r>
    </w:p>
    <w:p w:rsidR="00604A69" w:rsidRDefault="00604A69">
      <w:pPr>
        <w:rPr>
          <w:rFonts w:ascii="Times New Roman" w:hAnsi="Times New Roman" w:cs="Times New Roman"/>
          <w:sz w:val="20"/>
          <w:szCs w:val="20"/>
        </w:rPr>
      </w:pPr>
    </w:p>
    <w:p w:rsidR="00604A69" w:rsidRDefault="0015639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val="en-PH" w:eastAsia="en-PH"/>
        </w:rPr>
        <w:drawing>
          <wp:inline distT="0" distB="0" distL="114300" distR="114300">
            <wp:extent cx="5190490" cy="2360930"/>
            <wp:effectExtent l="0" t="0" r="3810" b="1270"/>
            <wp:docPr id="5" name="图片 5" descr="汇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汇总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90490" cy="236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4A69" w:rsidRDefault="00604A69">
      <w:pPr>
        <w:rPr>
          <w:rFonts w:ascii="Times New Roman" w:hAnsi="Times New Roman" w:cs="Times New Roman"/>
          <w:sz w:val="20"/>
          <w:szCs w:val="20"/>
        </w:rPr>
      </w:pPr>
    </w:p>
    <w:p w:rsidR="00604A69" w:rsidRDefault="00156390">
      <w:pPr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 xml:space="preserve">Supplementary Figure </w:t>
      </w:r>
      <w:r>
        <w:rPr>
          <w:rFonts w:ascii="Times New Roman" w:hAnsi="Times New Roman" w:cs="Times New Roman" w:hint="eastAsia"/>
          <w:sz w:val="20"/>
          <w:szCs w:val="20"/>
        </w:rPr>
        <w:t>4</w:t>
      </w:r>
      <w:r>
        <w:rPr>
          <w:rFonts w:ascii="Times New Roman" w:hAnsi="Times New Roman" w:cs="Times New Roman"/>
          <w:sz w:val="20"/>
          <w:szCs w:val="20"/>
        </w:rPr>
        <w:t>.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Survival analysis curve </w:t>
      </w:r>
      <w:r>
        <w:rPr>
          <w:rFonts w:ascii="Times New Roman" w:hAnsi="Times New Roman" w:cs="Times New Roman" w:hint="eastAsia"/>
          <w:sz w:val="20"/>
          <w:szCs w:val="20"/>
        </w:rPr>
        <w:t>after PSM</w:t>
      </w:r>
      <w:r>
        <w:rPr>
          <w:rFonts w:ascii="Times New Roman" w:hAnsi="Times New Roman" w:cs="Times New Roman"/>
          <w:sz w:val="20"/>
          <w:szCs w:val="20"/>
        </w:rPr>
        <w:t>.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The survival analysis curves of </w:t>
      </w:r>
      <w:proofErr w:type="spellStart"/>
      <w:r>
        <w:rPr>
          <w:rFonts w:ascii="Times New Roman" w:hAnsi="Times New Roman" w:cs="Times New Roman"/>
          <w:sz w:val="20"/>
          <w:szCs w:val="20"/>
        </w:rPr>
        <w:t>iPFS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(A) and OS (B) in patients treated with combination therapy and TKI alone. </w:t>
      </w:r>
    </w:p>
    <w:p w:rsidR="00604A69" w:rsidRDefault="00604A69">
      <w:pPr>
        <w:rPr>
          <w:rFonts w:ascii="Times New Roman" w:hAnsi="Times New Roman" w:cs="Times New Roman"/>
          <w:sz w:val="20"/>
          <w:szCs w:val="20"/>
        </w:rPr>
      </w:pPr>
    </w:p>
    <w:p w:rsidR="00604A69" w:rsidRDefault="0015639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FigureS</w:t>
      </w:r>
      <w:r>
        <w:rPr>
          <w:rFonts w:ascii="Times New Roman" w:hAnsi="Times New Roman" w:cs="Times New Roman" w:hint="eastAsia"/>
          <w:sz w:val="20"/>
          <w:szCs w:val="20"/>
        </w:rPr>
        <w:t>5</w:t>
      </w:r>
      <w:r>
        <w:rPr>
          <w:rFonts w:ascii="Times New Roman" w:hAnsi="Times New Roman" w:cs="Times New Roman"/>
          <w:noProof/>
          <w:sz w:val="20"/>
          <w:szCs w:val="20"/>
          <w:lang w:val="en-PH" w:eastAsia="en-PH"/>
        </w:rPr>
        <w:drawing>
          <wp:inline distT="0" distB="0" distL="114300" distR="114300">
            <wp:extent cx="5226685" cy="2529840"/>
            <wp:effectExtent l="0" t="0" r="5715" b="10160"/>
            <wp:docPr id="6" name="图片 6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未标题-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26685" cy="252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4A69" w:rsidRDefault="00604A69">
      <w:pPr>
        <w:rPr>
          <w:rFonts w:ascii="Times New Roman" w:hAnsi="Times New Roman" w:cs="Times New Roman"/>
          <w:sz w:val="20"/>
          <w:szCs w:val="20"/>
        </w:rPr>
      </w:pPr>
    </w:p>
    <w:p w:rsidR="00604A69" w:rsidRDefault="00156390">
      <w:pPr>
        <w:rPr>
          <w:rFonts w:ascii="Times New Roman" w:hAnsi="Times New Roman" w:cs="Times New Roman"/>
          <w:sz w:val="20"/>
          <w:szCs w:val="20"/>
        </w:rPr>
        <w:sectPr w:rsidR="00604A6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proofErr w:type="gramStart"/>
      <w:r>
        <w:rPr>
          <w:rFonts w:ascii="Times New Roman" w:hAnsi="Times New Roman" w:cs="Times New Roman"/>
          <w:sz w:val="20"/>
          <w:szCs w:val="20"/>
        </w:rPr>
        <w:t xml:space="preserve">Supplementary Figure </w:t>
      </w:r>
      <w:r>
        <w:rPr>
          <w:rFonts w:ascii="Times New Roman" w:hAnsi="Times New Roman" w:cs="Times New Roman" w:hint="eastAsia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>.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Survival analysis curve </w:t>
      </w:r>
      <w:r>
        <w:rPr>
          <w:rFonts w:ascii="Times New Roman" w:hAnsi="Times New Roman" w:cs="Times New Roman" w:hint="eastAsia"/>
          <w:sz w:val="20"/>
          <w:szCs w:val="20"/>
        </w:rPr>
        <w:t>of different radiotherapy technique</w:t>
      </w:r>
      <w:r>
        <w:rPr>
          <w:rFonts w:ascii="Times New Roman" w:hAnsi="Times New Roman" w:cs="Times New Roman"/>
          <w:sz w:val="20"/>
          <w:szCs w:val="20"/>
        </w:rPr>
        <w:t>.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The survival analysis curves of </w:t>
      </w:r>
      <w:proofErr w:type="spellStart"/>
      <w:r>
        <w:rPr>
          <w:rFonts w:ascii="Times New Roman" w:hAnsi="Times New Roman" w:cs="Times New Roman"/>
          <w:sz w:val="20"/>
          <w:szCs w:val="20"/>
        </w:rPr>
        <w:t>iPFS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(A) and OS (B) in patients treated with </w:t>
      </w:r>
      <w:r>
        <w:rPr>
          <w:rFonts w:ascii="Times New Roman" w:hAnsi="Times New Roman" w:cs="Times New Roman" w:hint="eastAsia"/>
          <w:sz w:val="20"/>
          <w:szCs w:val="20"/>
        </w:rPr>
        <w:t>SRS</w:t>
      </w:r>
      <w:r>
        <w:rPr>
          <w:rFonts w:ascii="Times New Roman" w:hAnsi="Times New Roman" w:cs="Times New Roman"/>
          <w:sz w:val="20"/>
          <w:szCs w:val="20"/>
        </w:rPr>
        <w:t xml:space="preserve"> and </w:t>
      </w:r>
      <w:r>
        <w:rPr>
          <w:rFonts w:ascii="Times New Roman" w:hAnsi="Times New Roman" w:cs="Times New Roman" w:hint="eastAsia"/>
          <w:sz w:val="20"/>
          <w:szCs w:val="20"/>
        </w:rPr>
        <w:t>WBRT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04A69" w:rsidRDefault="00156390">
      <w:pPr>
        <w:rPr>
          <w:rFonts w:ascii="Times New Roman" w:hAnsi="Times New Roman" w:cs="Times New Roman"/>
          <w:color w:val="000000"/>
          <w:szCs w:val="21"/>
        </w:rPr>
      </w:pPr>
      <w:proofErr w:type="gramStart"/>
      <w:r>
        <w:rPr>
          <w:rFonts w:ascii="Times New Roman" w:hAnsi="Times New Roman" w:cs="Times New Roman" w:hint="eastAsia"/>
          <w:szCs w:val="21"/>
        </w:rPr>
        <w:lastRenderedPageBreak/>
        <w:t>TableS1.</w:t>
      </w:r>
      <w:r>
        <w:rPr>
          <w:rFonts w:ascii="Times New Roman" w:hAnsi="Times New Roman" w:cs="Times New Roman"/>
          <w:szCs w:val="21"/>
        </w:rPr>
        <w:t>Baseline characteristics of patients</w:t>
      </w:r>
      <w:r>
        <w:rPr>
          <w:rFonts w:ascii="Times New Roman" w:hAnsi="Times New Roman" w:cs="Times New Roman" w:hint="eastAsia"/>
          <w:szCs w:val="21"/>
        </w:rPr>
        <w:t xml:space="preserve"> after</w:t>
      </w:r>
      <w:r>
        <w:rPr>
          <w:rFonts w:ascii="Times New Roman" w:hAnsi="Times New Roman" w:cs="Times New Roman" w:hint="eastAsia"/>
          <w:szCs w:val="21"/>
        </w:rPr>
        <w:t xml:space="preserve"> PSM.</w:t>
      </w:r>
      <w:proofErr w:type="gramEnd"/>
    </w:p>
    <w:tbl>
      <w:tblPr>
        <w:tblW w:w="4998" w:type="pct"/>
        <w:tblLook w:val="04A0" w:firstRow="1" w:lastRow="0" w:firstColumn="1" w:lastColumn="0" w:noHBand="0" w:noVBand="1"/>
      </w:tblPr>
      <w:tblGrid>
        <w:gridCol w:w="3449"/>
        <w:gridCol w:w="1798"/>
        <w:gridCol w:w="1636"/>
        <w:gridCol w:w="1636"/>
      </w:tblGrid>
      <w:tr w:rsidR="00604A69">
        <w:trPr>
          <w:trHeight w:val="310"/>
        </w:trPr>
        <w:tc>
          <w:tcPr>
            <w:tcW w:w="2023" w:type="pct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604A69" w:rsidRDefault="00604A69">
            <w:pPr>
              <w:widowControl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 w:rsidR="00604A69" w:rsidRDefault="0015639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</w:rPr>
              <w:t>Characteristic</w:t>
            </w:r>
          </w:p>
        </w:tc>
        <w:tc>
          <w:tcPr>
            <w:tcW w:w="1055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TKI+RT group</w:t>
            </w:r>
          </w:p>
        </w:tc>
        <w:tc>
          <w:tcPr>
            <w:tcW w:w="960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TKI group</w:t>
            </w:r>
          </w:p>
        </w:tc>
        <w:tc>
          <w:tcPr>
            <w:tcW w:w="960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604A69">
        <w:trPr>
          <w:trHeight w:val="310"/>
        </w:trPr>
        <w:tc>
          <w:tcPr>
            <w:tcW w:w="2023" w:type="pct"/>
            <w:vMerge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604A69" w:rsidRDefault="00604A69">
            <w:pPr>
              <w:jc w:val="left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5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（</w:t>
            </w:r>
            <w:r>
              <w:rPr>
                <w:rStyle w:val="font11"/>
                <w:rFonts w:ascii="Times New Roman" w:eastAsia="SimSun" w:hAnsi="Times New Roman" w:cs="Times New Roman"/>
                <w:lang w:bidi="ar"/>
              </w:rPr>
              <w:t>n=</w:t>
            </w:r>
            <w:r>
              <w:rPr>
                <w:rStyle w:val="font11"/>
                <w:rFonts w:ascii="Times New Roman" w:eastAsia="SimSun" w:hAnsi="Times New Roman" w:cs="Times New Roman" w:hint="eastAsia"/>
                <w:lang w:bidi="ar"/>
              </w:rPr>
              <w:t>53</w:t>
            </w:r>
            <w:r>
              <w:rPr>
                <w:rStyle w:val="font11"/>
                <w:rFonts w:ascii="Times New Roman" w:eastAsia="SimSun" w:hAnsi="Times New Roman" w:cs="Times New Roman"/>
                <w:lang w:bidi="ar"/>
              </w:rPr>
              <w:t>)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(n=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>53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P Value</w:t>
            </w:r>
          </w:p>
        </w:tc>
      </w:tr>
      <w:tr w:rsidR="00604A69">
        <w:trPr>
          <w:trHeight w:val="280"/>
        </w:trPr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Age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>.000</w:t>
            </w:r>
          </w:p>
        </w:tc>
      </w:tr>
      <w:tr w:rsidR="00604A69">
        <w:trPr>
          <w:trHeight w:val="280"/>
        </w:trPr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&lt;=60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28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（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58.2%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28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（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58.2%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604A69">
        <w:trPr>
          <w:trHeight w:val="280"/>
        </w:trPr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&gt;60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25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（</w:t>
            </w:r>
            <w:r>
              <w:rPr>
                <w:rStyle w:val="font11"/>
                <w:rFonts w:ascii="Times New Roman" w:eastAsia="SimSun" w:hAnsi="Times New Roman" w:cs="Times New Roman"/>
                <w:lang w:bidi="ar"/>
              </w:rPr>
              <w:t>47.2%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25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（</w:t>
            </w:r>
            <w:r>
              <w:rPr>
                <w:rStyle w:val="font11"/>
                <w:rFonts w:ascii="Times New Roman" w:eastAsia="SimSun" w:hAnsi="Times New Roman" w:cs="Times New Roman"/>
                <w:lang w:bidi="ar"/>
              </w:rPr>
              <w:t>47.2%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604A69">
        <w:trPr>
          <w:trHeight w:val="280"/>
        </w:trPr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Sex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0.698</w:t>
            </w:r>
          </w:p>
        </w:tc>
      </w:tr>
      <w:tr w:rsidR="00604A69">
        <w:trPr>
          <w:trHeight w:val="280"/>
        </w:trPr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Male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28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（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58.2%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26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（</w:t>
            </w:r>
            <w:r>
              <w:rPr>
                <w:rStyle w:val="font11"/>
                <w:rFonts w:ascii="Times New Roman" w:eastAsia="SimSun" w:hAnsi="Times New Roman" w:cs="Times New Roman"/>
                <w:lang w:bidi="ar"/>
              </w:rPr>
              <w:t>49.1%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604A69">
        <w:trPr>
          <w:trHeight w:val="280"/>
        </w:trPr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Woman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25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（</w:t>
            </w:r>
            <w:r>
              <w:rPr>
                <w:rStyle w:val="font11"/>
                <w:rFonts w:ascii="Times New Roman" w:eastAsia="SimSun" w:hAnsi="Times New Roman" w:cs="Times New Roman"/>
                <w:lang w:bidi="ar"/>
              </w:rPr>
              <w:t>47.2%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27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（</w:t>
            </w:r>
            <w:r>
              <w:rPr>
                <w:rStyle w:val="font11"/>
                <w:rFonts w:ascii="Times New Roman" w:eastAsia="SimSun" w:hAnsi="Times New Roman" w:cs="Times New Roman"/>
                <w:lang w:bidi="ar"/>
              </w:rPr>
              <w:t>50.9%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604A69">
        <w:trPr>
          <w:trHeight w:val="280"/>
        </w:trPr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KPS Grade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0.227</w:t>
            </w:r>
          </w:p>
        </w:tc>
      </w:tr>
      <w:tr w:rsidR="00604A69">
        <w:trPr>
          <w:trHeight w:val="280"/>
        </w:trPr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70 Points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9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（</w:t>
            </w:r>
            <w:r>
              <w:rPr>
                <w:rStyle w:val="font11"/>
                <w:rFonts w:ascii="Times New Roman" w:eastAsia="SimSun" w:hAnsi="Times New Roman" w:cs="Times New Roman"/>
                <w:lang w:bidi="ar"/>
              </w:rPr>
              <w:t>17.0%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10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（</w:t>
            </w:r>
            <w:r>
              <w:rPr>
                <w:rStyle w:val="font11"/>
                <w:rFonts w:ascii="Times New Roman" w:eastAsia="SimSun" w:hAnsi="Times New Roman" w:cs="Times New Roman"/>
                <w:lang w:bidi="ar"/>
              </w:rPr>
              <w:t>18.9%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4A69" w:rsidRDefault="00604A69">
            <w:pPr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604A69">
        <w:trPr>
          <w:trHeight w:val="280"/>
        </w:trPr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80 Points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34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（</w:t>
            </w:r>
            <w:r>
              <w:rPr>
                <w:rStyle w:val="font11"/>
                <w:rFonts w:ascii="Times New Roman" w:eastAsia="SimSun" w:hAnsi="Times New Roman" w:cs="Times New Roman"/>
                <w:lang w:bidi="ar"/>
              </w:rPr>
              <w:t>64.2%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39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（</w:t>
            </w:r>
            <w:r>
              <w:rPr>
                <w:rStyle w:val="font11"/>
                <w:rFonts w:ascii="Times New Roman" w:eastAsia="SimSun" w:hAnsi="Times New Roman" w:cs="Times New Roman"/>
                <w:lang w:bidi="ar"/>
              </w:rPr>
              <w:t>73.6%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604A69">
        <w:trPr>
          <w:trHeight w:val="280"/>
        </w:trPr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90 Points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10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（</w:t>
            </w:r>
            <w:r>
              <w:rPr>
                <w:rStyle w:val="font11"/>
                <w:rFonts w:ascii="Times New Roman" w:eastAsia="SimSun" w:hAnsi="Times New Roman" w:cs="Times New Roman"/>
                <w:lang w:bidi="ar"/>
              </w:rPr>
              <w:t>18.9%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4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（</w:t>
            </w:r>
            <w:r>
              <w:rPr>
                <w:rStyle w:val="font11"/>
                <w:rFonts w:ascii="Times New Roman" w:eastAsia="SimSun" w:hAnsi="Times New Roman" w:cs="Times New Roman"/>
                <w:lang w:bidi="ar"/>
              </w:rPr>
              <w:t>7.5%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604A69">
        <w:trPr>
          <w:trHeight w:val="280"/>
        </w:trPr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Symptom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604A69">
        <w:trPr>
          <w:trHeight w:val="280"/>
        </w:trPr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No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18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（</w:t>
            </w:r>
            <w:r>
              <w:rPr>
                <w:rStyle w:val="font11"/>
                <w:rFonts w:ascii="Times New Roman" w:eastAsia="SimSun" w:hAnsi="Times New Roman" w:cs="Times New Roman"/>
                <w:lang w:bidi="ar"/>
              </w:rPr>
              <w:t>34.0%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14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（</w:t>
            </w:r>
            <w:r>
              <w:rPr>
                <w:rStyle w:val="font11"/>
                <w:rFonts w:ascii="Times New Roman" w:eastAsia="SimSun" w:hAnsi="Times New Roman" w:cs="Times New Roman"/>
                <w:lang w:bidi="ar"/>
              </w:rPr>
              <w:t>26.4%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0.397</w:t>
            </w:r>
          </w:p>
        </w:tc>
      </w:tr>
      <w:tr w:rsidR="00604A69">
        <w:trPr>
          <w:trHeight w:val="280"/>
        </w:trPr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Yes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35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（</w:t>
            </w:r>
            <w:r>
              <w:rPr>
                <w:rStyle w:val="font11"/>
                <w:rFonts w:ascii="Times New Roman" w:eastAsia="SimSun" w:hAnsi="Times New Roman" w:cs="Times New Roman"/>
                <w:lang w:bidi="ar"/>
              </w:rPr>
              <w:t>66.0%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39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（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73.6%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604A69">
        <w:trPr>
          <w:trHeight w:val="280"/>
        </w:trPr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Discovery time of intracranial lesions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0.829</w:t>
            </w:r>
          </w:p>
        </w:tc>
      </w:tr>
      <w:tr w:rsidR="00604A69">
        <w:trPr>
          <w:trHeight w:val="280"/>
        </w:trPr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Isochronism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39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（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73.6%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38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（</w:t>
            </w:r>
            <w:r>
              <w:rPr>
                <w:rStyle w:val="font11"/>
                <w:rFonts w:ascii="Times New Roman" w:eastAsia="SimSun" w:hAnsi="Times New Roman" w:cs="Times New Roman"/>
                <w:lang w:bidi="ar"/>
              </w:rPr>
              <w:t>71.7%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604A69">
        <w:trPr>
          <w:trHeight w:val="280"/>
        </w:trPr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heterochrony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14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（</w:t>
            </w:r>
            <w:r>
              <w:rPr>
                <w:rStyle w:val="font11"/>
                <w:rFonts w:ascii="Times New Roman" w:eastAsia="SimSun" w:hAnsi="Times New Roman" w:cs="Times New Roman"/>
                <w:lang w:bidi="ar"/>
              </w:rPr>
              <w:t>26.4%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15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（</w:t>
            </w:r>
            <w:r>
              <w:rPr>
                <w:rStyle w:val="font11"/>
                <w:rFonts w:ascii="Times New Roman" w:eastAsia="SimSun" w:hAnsi="Times New Roman" w:cs="Times New Roman"/>
                <w:lang w:bidi="ar"/>
              </w:rPr>
              <w:t>28.3%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604A69">
        <w:trPr>
          <w:trHeight w:val="280"/>
        </w:trPr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 xml:space="preserve">The gene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mutation site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0.963</w:t>
            </w:r>
          </w:p>
        </w:tc>
      </w:tr>
      <w:tr w:rsidR="00604A69">
        <w:trPr>
          <w:trHeight w:val="280"/>
        </w:trPr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Exon 19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22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（</w:t>
            </w:r>
            <w:r>
              <w:rPr>
                <w:rStyle w:val="font11"/>
                <w:rFonts w:ascii="Times New Roman" w:eastAsia="SimSun" w:hAnsi="Times New Roman" w:cs="Times New Roman"/>
                <w:lang w:bidi="ar"/>
              </w:rPr>
              <w:t>41.5%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23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（</w:t>
            </w:r>
            <w:r>
              <w:rPr>
                <w:rStyle w:val="font11"/>
                <w:rFonts w:ascii="Times New Roman" w:eastAsia="SimSun" w:hAnsi="Times New Roman" w:cs="Times New Roman"/>
                <w:lang w:bidi="ar"/>
              </w:rPr>
              <w:t>43.4%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604A69">
        <w:trPr>
          <w:trHeight w:val="280"/>
        </w:trPr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Exon 21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21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（</w:t>
            </w:r>
            <w:r>
              <w:rPr>
                <w:rStyle w:val="font11"/>
                <w:rFonts w:ascii="Times New Roman" w:eastAsia="SimSun" w:hAnsi="Times New Roman" w:cs="Times New Roman"/>
                <w:lang w:bidi="ar"/>
              </w:rPr>
              <w:t>39.6%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21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（</w:t>
            </w:r>
            <w:r>
              <w:rPr>
                <w:rStyle w:val="font11"/>
                <w:rFonts w:ascii="Times New Roman" w:eastAsia="SimSun" w:hAnsi="Times New Roman" w:cs="Times New Roman"/>
                <w:lang w:bidi="ar"/>
              </w:rPr>
              <w:t>39.6%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604A69">
        <w:trPr>
          <w:trHeight w:val="280"/>
        </w:trPr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Other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10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（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18.9%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9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（</w:t>
            </w:r>
            <w:r>
              <w:rPr>
                <w:rStyle w:val="font11"/>
                <w:rFonts w:ascii="Times New Roman" w:eastAsia="SimSun" w:hAnsi="Times New Roman" w:cs="Times New Roman"/>
                <w:lang w:bidi="ar"/>
              </w:rPr>
              <w:t>17.0%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604A69">
        <w:trPr>
          <w:trHeight w:val="280"/>
        </w:trPr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BM number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0.291</w:t>
            </w:r>
          </w:p>
        </w:tc>
      </w:tr>
      <w:tr w:rsidR="00604A69">
        <w:trPr>
          <w:trHeight w:val="280"/>
        </w:trPr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&lt;=2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15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（</w:t>
            </w:r>
            <w:r>
              <w:rPr>
                <w:rStyle w:val="font11"/>
                <w:rFonts w:ascii="Times New Roman" w:eastAsia="SimSun" w:hAnsi="Times New Roman" w:cs="Times New Roman"/>
                <w:lang w:bidi="ar"/>
              </w:rPr>
              <w:t>28.3%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16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（</w:t>
            </w:r>
            <w:r>
              <w:rPr>
                <w:rStyle w:val="font11"/>
                <w:rFonts w:ascii="Times New Roman" w:eastAsia="SimSun" w:hAnsi="Times New Roman" w:cs="Times New Roman"/>
                <w:lang w:bidi="ar"/>
              </w:rPr>
              <w:t>30.2%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604A69">
        <w:trPr>
          <w:trHeight w:val="280"/>
        </w:trPr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3-5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26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（</w:t>
            </w:r>
            <w:r>
              <w:rPr>
                <w:rStyle w:val="font11"/>
                <w:rFonts w:ascii="Times New Roman" w:eastAsia="SimSun" w:hAnsi="Times New Roman" w:cs="Times New Roman"/>
                <w:lang w:bidi="ar"/>
              </w:rPr>
              <w:t>49.1%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31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（</w:t>
            </w:r>
            <w:r>
              <w:rPr>
                <w:rStyle w:val="font11"/>
                <w:rFonts w:ascii="Times New Roman" w:eastAsia="SimSun" w:hAnsi="Times New Roman" w:cs="Times New Roman"/>
                <w:lang w:bidi="ar"/>
              </w:rPr>
              <w:t>58.5%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604A69">
        <w:trPr>
          <w:trHeight w:val="280"/>
        </w:trPr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&gt;5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12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（</w:t>
            </w:r>
            <w:r>
              <w:rPr>
                <w:rStyle w:val="font11"/>
                <w:rFonts w:ascii="Times New Roman" w:eastAsia="SimSun" w:hAnsi="Times New Roman" w:cs="Times New Roman"/>
                <w:lang w:bidi="ar"/>
              </w:rPr>
              <w:t>22.6%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6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（</w:t>
            </w:r>
            <w:r>
              <w:rPr>
                <w:rStyle w:val="font11"/>
                <w:rFonts w:ascii="Times New Roman" w:eastAsia="SimSun" w:hAnsi="Times New Roman" w:cs="Times New Roman"/>
                <w:lang w:bidi="ar"/>
              </w:rPr>
              <w:t>11.3%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604A69">
        <w:trPr>
          <w:trHeight w:val="280"/>
        </w:trPr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History of the primary site of surgery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0.447</w:t>
            </w:r>
          </w:p>
        </w:tc>
      </w:tr>
      <w:tr w:rsidR="00604A69">
        <w:trPr>
          <w:trHeight w:val="280"/>
        </w:trPr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No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45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（</w:t>
            </w:r>
            <w:r>
              <w:rPr>
                <w:rStyle w:val="font11"/>
                <w:rFonts w:ascii="Times New Roman" w:eastAsia="SimSun" w:hAnsi="Times New Roman" w:cs="Times New Roman"/>
                <w:lang w:bidi="ar"/>
              </w:rPr>
              <w:t>84.9%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42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（</w:t>
            </w:r>
            <w:r>
              <w:rPr>
                <w:rStyle w:val="font11"/>
                <w:rFonts w:ascii="Times New Roman" w:eastAsia="SimSun" w:hAnsi="Times New Roman" w:cs="Times New Roman"/>
                <w:lang w:bidi="ar"/>
              </w:rPr>
              <w:t>79.2%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604A69">
        <w:trPr>
          <w:trHeight w:val="280"/>
        </w:trPr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Yes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8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（</w:t>
            </w:r>
            <w:r>
              <w:rPr>
                <w:rStyle w:val="font11"/>
                <w:rFonts w:ascii="Times New Roman" w:eastAsia="SimSun" w:hAnsi="Times New Roman" w:cs="Times New Roman"/>
                <w:lang w:bidi="ar"/>
              </w:rPr>
              <w:t>15.1%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11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（</w:t>
            </w:r>
            <w:r>
              <w:rPr>
                <w:rStyle w:val="font11"/>
                <w:rFonts w:ascii="Times New Roman" w:eastAsia="SimSun" w:hAnsi="Times New Roman" w:cs="Times New Roman"/>
                <w:lang w:bidi="ar"/>
              </w:rPr>
              <w:t>20.8%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604A69">
        <w:trPr>
          <w:trHeight w:val="280"/>
        </w:trPr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Intracranial lesion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0.814</w:t>
            </w:r>
          </w:p>
        </w:tc>
      </w:tr>
      <w:tr w:rsidR="00604A69">
        <w:trPr>
          <w:trHeight w:val="280"/>
        </w:trPr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Limit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11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（</w:t>
            </w:r>
            <w:r>
              <w:rPr>
                <w:rStyle w:val="font11"/>
                <w:rFonts w:ascii="Times New Roman" w:eastAsia="SimSun" w:hAnsi="Times New Roman" w:cs="Times New Roman"/>
                <w:lang w:bidi="ar"/>
              </w:rPr>
              <w:t>29.8%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12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（</w:t>
            </w:r>
            <w:r>
              <w:rPr>
                <w:rStyle w:val="font11"/>
                <w:rFonts w:ascii="Times New Roman" w:eastAsia="SimSun" w:hAnsi="Times New Roman" w:cs="Times New Roman"/>
                <w:lang w:bidi="ar"/>
              </w:rPr>
              <w:t>22.6%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604A69">
        <w:trPr>
          <w:trHeight w:val="280"/>
        </w:trPr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extensive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42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（</w:t>
            </w:r>
            <w:r>
              <w:rPr>
                <w:rStyle w:val="font11"/>
                <w:rFonts w:ascii="Times New Roman" w:eastAsia="SimSun" w:hAnsi="Times New Roman" w:cs="Times New Roman"/>
                <w:lang w:bidi="ar"/>
              </w:rPr>
              <w:t>79.2%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41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（</w:t>
            </w:r>
            <w:r>
              <w:rPr>
                <w:rStyle w:val="font11"/>
                <w:rFonts w:ascii="Times New Roman" w:eastAsia="SimSun" w:hAnsi="Times New Roman" w:cs="Times New Roman"/>
                <w:lang w:bidi="ar"/>
              </w:rPr>
              <w:t>77.4%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604A69">
        <w:trPr>
          <w:trHeight w:val="280"/>
        </w:trPr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Combined anti- vascular drugs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0.556</w:t>
            </w:r>
          </w:p>
        </w:tc>
      </w:tr>
      <w:tr w:rsidR="00604A69">
        <w:trPr>
          <w:trHeight w:val="280"/>
        </w:trPr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No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32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（</w:t>
            </w:r>
            <w:r>
              <w:rPr>
                <w:rStyle w:val="font11"/>
                <w:rFonts w:ascii="Times New Roman" w:eastAsia="SimSun" w:hAnsi="Times New Roman" w:cs="Times New Roman"/>
                <w:lang w:bidi="ar"/>
              </w:rPr>
              <w:t>60.4%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29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（</w:t>
            </w:r>
            <w:r>
              <w:rPr>
                <w:rStyle w:val="font11"/>
                <w:rFonts w:ascii="Times New Roman" w:eastAsia="SimSun" w:hAnsi="Times New Roman" w:cs="Times New Roman"/>
                <w:lang w:bidi="ar"/>
              </w:rPr>
              <w:t>54.7%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604A69">
        <w:trPr>
          <w:trHeight w:val="280"/>
        </w:trPr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Yes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21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（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39.6%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24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（</w:t>
            </w:r>
            <w:r>
              <w:rPr>
                <w:rStyle w:val="font11"/>
                <w:rFonts w:ascii="Times New Roman" w:eastAsia="SimSun" w:hAnsi="Times New Roman" w:cs="Times New Roman"/>
                <w:lang w:bidi="ar"/>
              </w:rPr>
              <w:t>45.3%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604A69">
        <w:trPr>
          <w:trHeight w:val="280"/>
        </w:trPr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Combined chemotherapy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0.276</w:t>
            </w:r>
          </w:p>
        </w:tc>
      </w:tr>
      <w:tr w:rsidR="00604A69">
        <w:trPr>
          <w:trHeight w:val="280"/>
        </w:trPr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No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36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（</w:t>
            </w:r>
            <w:r>
              <w:rPr>
                <w:rStyle w:val="font11"/>
                <w:rFonts w:ascii="Times New Roman" w:eastAsia="SimSun" w:hAnsi="Times New Roman" w:cs="Times New Roman"/>
                <w:lang w:bidi="ar"/>
              </w:rPr>
              <w:t>67.9%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41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（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77.4%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604A69">
        <w:trPr>
          <w:trHeight w:val="280"/>
        </w:trPr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Yes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17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（</w:t>
            </w:r>
            <w:r>
              <w:rPr>
                <w:rStyle w:val="font11"/>
                <w:rFonts w:ascii="Times New Roman" w:eastAsia="SimSun" w:hAnsi="Times New Roman" w:cs="Times New Roman"/>
                <w:lang w:bidi="ar"/>
              </w:rPr>
              <w:t>32.1%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12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（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22.6%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604A69">
        <w:trPr>
          <w:trHeight w:val="280"/>
        </w:trPr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RT Method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0.052</w:t>
            </w:r>
          </w:p>
        </w:tc>
      </w:tr>
      <w:tr w:rsidR="00604A69">
        <w:trPr>
          <w:trHeight w:val="280"/>
        </w:trPr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SRS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21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（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39.6%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31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（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58.5%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604A69">
        <w:trPr>
          <w:trHeight w:val="295"/>
        </w:trPr>
        <w:tc>
          <w:tcPr>
            <w:tcW w:w="2023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604A69" w:rsidRDefault="00156390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WB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32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（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60.4%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604A69" w:rsidRDefault="00156390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22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（</w:t>
            </w:r>
            <w:r>
              <w:rPr>
                <w:rStyle w:val="font11"/>
                <w:rFonts w:ascii="Times New Roman" w:eastAsia="SimSun" w:hAnsi="Times New Roman" w:cs="Times New Roman"/>
                <w:lang w:bidi="ar"/>
              </w:rPr>
              <w:t>41.5%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604A69" w:rsidRDefault="00604A69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604A69">
        <w:trPr>
          <w:trHeight w:val="280"/>
        </w:trPr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4A69" w:rsidRDefault="0015639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4A69" w:rsidRDefault="00604A69">
            <w:pPr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4A69" w:rsidRDefault="00604A69">
            <w:pPr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4A69" w:rsidRDefault="00604A69">
            <w:pPr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604A69">
        <w:trPr>
          <w:trHeight w:val="280"/>
        </w:trPr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4A69" w:rsidRDefault="0015639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4A69" w:rsidRDefault="00604A69">
            <w:pPr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4A69" w:rsidRDefault="00604A69">
            <w:pPr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4A69" w:rsidRDefault="00604A69">
            <w:pPr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</w:tbl>
    <w:p w:rsidR="00604A69" w:rsidRDefault="00604A69">
      <w:pPr>
        <w:rPr>
          <w:rFonts w:ascii="Times New Roman" w:hAnsi="Times New Roman" w:cs="Times New Roman"/>
          <w:szCs w:val="21"/>
        </w:rPr>
      </w:pPr>
    </w:p>
    <w:p w:rsidR="00604A69" w:rsidRDefault="00156390">
      <w:pPr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Table </w:t>
      </w:r>
      <w:r>
        <w:rPr>
          <w:rFonts w:ascii="Times New Roman" w:hAnsi="Times New Roman" w:cs="Times New Roman" w:hint="eastAsia"/>
          <w:szCs w:val="21"/>
        </w:rPr>
        <w:t>S2</w:t>
      </w:r>
      <w:r>
        <w:rPr>
          <w:rFonts w:ascii="Times New Roman" w:hAnsi="Times New Roman" w:cs="Times New Roman"/>
          <w:szCs w:val="21"/>
        </w:rPr>
        <w:t xml:space="preserve"> </w:t>
      </w:r>
      <w:proofErr w:type="gramStart"/>
      <w:r>
        <w:rPr>
          <w:rFonts w:ascii="Times New Roman" w:hAnsi="Times New Roman" w:cs="Times New Roman"/>
          <w:szCs w:val="21"/>
        </w:rPr>
        <w:t>The</w:t>
      </w:r>
      <w:proofErr w:type="gramEnd"/>
      <w:r>
        <w:rPr>
          <w:rFonts w:ascii="Times New Roman" w:hAnsi="Times New Roman" w:cs="Times New Roman"/>
          <w:szCs w:val="21"/>
        </w:rPr>
        <w:t xml:space="preserve"> side effects of TKI combined with brain radiotherapy in the treatment of lung cancer with brain metastasis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40"/>
        <w:gridCol w:w="4362"/>
        <w:gridCol w:w="360"/>
        <w:gridCol w:w="960"/>
      </w:tblGrid>
      <w:tr w:rsidR="00604A69">
        <w:tc>
          <w:tcPr>
            <w:tcW w:w="2840" w:type="dxa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vAlign w:val="center"/>
          </w:tcPr>
          <w:p w:rsidR="00604A69" w:rsidRDefault="0015639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Comparison of treatment plans</w:t>
            </w:r>
          </w:p>
        </w:tc>
        <w:tc>
          <w:tcPr>
            <w:tcW w:w="4362" w:type="dxa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vAlign w:val="center"/>
          </w:tcPr>
          <w:p w:rsidR="00604A69" w:rsidRDefault="0015639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Side effects of TKI+ brain radiotherapy</w:t>
            </w:r>
          </w:p>
        </w:tc>
        <w:tc>
          <w:tcPr>
            <w:tcW w:w="1320" w:type="dxa"/>
            <w:gridSpan w:val="2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vAlign w:val="center"/>
          </w:tcPr>
          <w:p w:rsidR="00604A69" w:rsidRDefault="0015639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References</w:t>
            </w:r>
          </w:p>
        </w:tc>
      </w:tr>
      <w:tr w:rsidR="00604A69">
        <w:tc>
          <w:tcPr>
            <w:tcW w:w="2840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vAlign w:val="center"/>
          </w:tcPr>
          <w:p w:rsidR="00604A69" w:rsidRDefault="001563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WBRT+ first generation TKI used in combination</w:t>
            </w:r>
          </w:p>
        </w:tc>
        <w:tc>
          <w:tcPr>
            <w:tcW w:w="4722" w:type="dxa"/>
            <w:gridSpan w:val="2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vAlign w:val="center"/>
          </w:tcPr>
          <w:p w:rsidR="00604A69" w:rsidRDefault="001563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All 43 patients with brain metastases could tolerate 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ectinib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combined with WBRT. Some patients have grade 1 or 2 headache, </w:t>
            </w:r>
            <w:r>
              <w:rPr>
                <w:rFonts w:ascii="Times New Roman" w:hAnsi="Times New Roman" w:cs="Times New Roman"/>
                <w:szCs w:val="21"/>
              </w:rPr>
              <w:t>which can be relieved by mannitol. Grade 4 or 5 treatment-related toxicity was not observed.</w:t>
            </w:r>
          </w:p>
        </w:tc>
        <w:tc>
          <w:tcPr>
            <w:tcW w:w="960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vAlign w:val="center"/>
          </w:tcPr>
          <w:p w:rsidR="00604A69" w:rsidRDefault="001563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（</w:t>
            </w: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）</w:t>
            </w:r>
          </w:p>
        </w:tc>
      </w:tr>
      <w:tr w:rsidR="00604A69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4A69" w:rsidRDefault="001563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WBRT+ first generation TKI used in combination</w:t>
            </w:r>
          </w:p>
        </w:tc>
        <w:tc>
          <w:tcPr>
            <w:tcW w:w="47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4A69" w:rsidRDefault="001563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The combination of WBRT with concurrent 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erlotinib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was well tolerated with no unexpected neurotoxicity.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4A69" w:rsidRDefault="001563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（</w:t>
            </w:r>
            <w:r>
              <w:rPr>
                <w:rFonts w:ascii="Times New Roman" w:hAnsi="Times New Roman" w:cs="Times New Roman"/>
                <w:szCs w:val="21"/>
              </w:rPr>
              <w:t>2</w:t>
            </w:r>
            <w:r>
              <w:rPr>
                <w:rFonts w:ascii="Times New Roman" w:hAnsi="Times New Roman" w:cs="Times New Roman"/>
                <w:szCs w:val="21"/>
              </w:rPr>
              <w:t>）</w:t>
            </w:r>
          </w:p>
        </w:tc>
      </w:tr>
      <w:tr w:rsidR="00604A69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4A69" w:rsidRDefault="001563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WBRT+ first generation TKI used in combination</w:t>
            </w:r>
          </w:p>
        </w:tc>
        <w:tc>
          <w:tcPr>
            <w:tcW w:w="47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4A69" w:rsidRDefault="001563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Most patients had grade 1 or grade 2 adverse events. No grade 4 adverse reactions, treatment-related deaths, or discontinuation were observed. No deterioration in neurocognitive function was detected at 20 wee</w:t>
            </w:r>
            <w:r>
              <w:rPr>
                <w:rFonts w:ascii="Times New Roman" w:hAnsi="Times New Roman" w:cs="Times New Roman"/>
                <w:szCs w:val="21"/>
              </w:rPr>
              <w:t>ks.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4A69" w:rsidRDefault="001563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（</w:t>
            </w:r>
            <w:r>
              <w:rPr>
                <w:rFonts w:ascii="Times New Roman" w:hAnsi="Times New Roman" w:cs="Times New Roman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）</w:t>
            </w:r>
          </w:p>
        </w:tc>
      </w:tr>
      <w:tr w:rsidR="00604A69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4A69" w:rsidRDefault="001563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WBRT+ third generation TKI used in combination</w:t>
            </w:r>
          </w:p>
        </w:tc>
        <w:tc>
          <w:tcPr>
            <w:tcW w:w="47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4A69" w:rsidRDefault="001563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By using highly active targeted therapy, WBRT can be safely delayed in patients with asymptomatic EGFR-mutated NSCLC with BMS, reducing associated toxic effects that may negatively affect QOL.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4A69" w:rsidRDefault="001563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（</w:t>
            </w:r>
            <w:r>
              <w:rPr>
                <w:rFonts w:ascii="Times New Roman" w:hAnsi="Times New Roman" w:cs="Times New Roman"/>
                <w:szCs w:val="21"/>
              </w:rPr>
              <w:t>4</w:t>
            </w:r>
            <w:r>
              <w:rPr>
                <w:rFonts w:ascii="Times New Roman" w:hAnsi="Times New Roman" w:cs="Times New Roman"/>
                <w:szCs w:val="21"/>
              </w:rPr>
              <w:t>）</w:t>
            </w:r>
          </w:p>
        </w:tc>
      </w:tr>
      <w:tr w:rsidR="00604A69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4A69" w:rsidRDefault="001563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WB</w:t>
            </w:r>
            <w:r>
              <w:rPr>
                <w:rFonts w:ascii="Times New Roman" w:hAnsi="Times New Roman" w:cs="Times New Roman"/>
                <w:szCs w:val="21"/>
              </w:rPr>
              <w:t>RT alone VS WBRT+ first and third generation TKI combined</w:t>
            </w:r>
          </w:p>
        </w:tc>
        <w:tc>
          <w:tcPr>
            <w:tcW w:w="47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4A69" w:rsidRDefault="001563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WBRT combined with 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ocitinib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ectinib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, or 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erlotinib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had a lower rate of adverse reactions than WBRT alone. In particular, the combination of WBRT and 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erlotinib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reduced adverse events.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4A69" w:rsidRDefault="001563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（</w:t>
            </w:r>
            <w:r>
              <w:rPr>
                <w:rFonts w:ascii="Times New Roman" w:hAnsi="Times New Roman" w:cs="Times New Roman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>）</w:t>
            </w:r>
          </w:p>
        </w:tc>
      </w:tr>
      <w:tr w:rsidR="00604A69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4A69" w:rsidRDefault="001563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WBRT+ firs</w:t>
            </w:r>
            <w:r>
              <w:rPr>
                <w:rFonts w:ascii="Times New Roman" w:hAnsi="Times New Roman" w:cs="Times New Roman"/>
                <w:szCs w:val="21"/>
              </w:rPr>
              <w:t>t generation TKI used in combination</w:t>
            </w:r>
          </w:p>
        </w:tc>
        <w:tc>
          <w:tcPr>
            <w:tcW w:w="47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4A69" w:rsidRDefault="001563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The meta-analysis showed that WBRT plus 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gefitinib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erlotinib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increased the incidence of rash but reduced the incidence of myelosuppression. Statistical differences were not found regarding other adverse events.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4A69" w:rsidRDefault="001563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（</w:t>
            </w:r>
            <w:r>
              <w:rPr>
                <w:rFonts w:ascii="Times New Roman" w:hAnsi="Times New Roman" w:cs="Times New Roman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）</w:t>
            </w:r>
          </w:p>
        </w:tc>
      </w:tr>
      <w:tr w:rsidR="00604A69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4A69" w:rsidRDefault="001563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lastRenderedPageBreak/>
              <w:t>WBRT</w:t>
            </w:r>
            <w:r>
              <w:rPr>
                <w:rFonts w:ascii="Times New Roman" w:hAnsi="Times New Roman" w:cs="Times New Roman"/>
                <w:szCs w:val="21"/>
              </w:rPr>
              <w:t>+ first generation TKI used in combination</w:t>
            </w:r>
          </w:p>
        </w:tc>
        <w:tc>
          <w:tcPr>
            <w:tcW w:w="47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4A69" w:rsidRDefault="001563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Cognitive function was impaired in only a minority at baseline, and both MMSE and Trails B scores tended to improve over the course of treatment. This suggests that cognitive function was not negatively affected b</w:t>
            </w:r>
            <w:r>
              <w:rPr>
                <w:rFonts w:ascii="Times New Roman" w:hAnsi="Times New Roman" w:cs="Times New Roman"/>
                <w:szCs w:val="21"/>
              </w:rPr>
              <w:t>y the treatment at short-term.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4A69" w:rsidRDefault="001563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（</w:t>
            </w:r>
            <w:r>
              <w:rPr>
                <w:rFonts w:ascii="Times New Roman" w:hAnsi="Times New Roman" w:cs="Times New Roman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）</w:t>
            </w:r>
          </w:p>
        </w:tc>
      </w:tr>
      <w:tr w:rsidR="00604A69">
        <w:tc>
          <w:tcPr>
            <w:tcW w:w="284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604A69" w:rsidRDefault="001563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WBRT+ first generation TKI used in combination</w:t>
            </w:r>
          </w:p>
        </w:tc>
        <w:tc>
          <w:tcPr>
            <w:tcW w:w="472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604A69" w:rsidRDefault="001563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The addition of 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Gefitinib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to RT was generally well tolerated. The most common toxicities were rash (86%) and diarrhea (43%). Grade III diarrhea developed in three patients </w:t>
            </w:r>
            <w:r>
              <w:rPr>
                <w:rFonts w:ascii="Times New Roman" w:hAnsi="Times New Roman" w:cs="Times New Roman"/>
                <w:szCs w:val="21"/>
              </w:rPr>
              <w:t>(14%). Other grade II or higher toxicities occurring in about 50% of patients included nausea, vomiting, headache, and fatigue. Most side effects were grade II and were well controlled by supportive care.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604A69" w:rsidRDefault="001563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（</w:t>
            </w:r>
            <w:r>
              <w:rPr>
                <w:rFonts w:ascii="Times New Roman" w:hAnsi="Times New Roman" w:cs="Times New Roman"/>
                <w:szCs w:val="21"/>
              </w:rPr>
              <w:t>8</w:t>
            </w:r>
            <w:r>
              <w:rPr>
                <w:rFonts w:ascii="Times New Roman" w:hAnsi="Times New Roman" w:cs="Times New Roman"/>
                <w:szCs w:val="21"/>
              </w:rPr>
              <w:t>）</w:t>
            </w:r>
          </w:p>
        </w:tc>
      </w:tr>
    </w:tbl>
    <w:p w:rsidR="00604A69" w:rsidRDefault="00604A69">
      <w:pPr>
        <w:spacing w:line="360" w:lineRule="auto"/>
        <w:jc w:val="left"/>
        <w:rPr>
          <w:rFonts w:ascii="Times New Roman Regular" w:hAnsi="Times New Roman Regular" w:cs="Times New Roman Regular"/>
          <w:sz w:val="24"/>
        </w:rPr>
      </w:pPr>
    </w:p>
    <w:p w:rsidR="00604A69" w:rsidRDefault="00156390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 xml:space="preserve">Li JR, Zhang Y, Zheng JL. </w:t>
      </w:r>
      <w:proofErr w:type="spellStart"/>
      <w:r>
        <w:rPr>
          <w:rFonts w:ascii="Times New Roman" w:hAnsi="Times New Roman" w:cs="Times New Roman" w:hint="eastAsia"/>
          <w:sz w:val="20"/>
          <w:szCs w:val="20"/>
        </w:rPr>
        <w:t>Icotinib</w:t>
      </w:r>
      <w:proofErr w:type="spellEnd"/>
      <w:r>
        <w:rPr>
          <w:rFonts w:ascii="Times New Roman" w:hAnsi="Times New Roman" w:cs="Times New Roman" w:hint="eastAsia"/>
          <w:sz w:val="20"/>
          <w:szCs w:val="20"/>
        </w:rPr>
        <w:t xml:space="preserve"> combined w</w:t>
      </w:r>
      <w:r>
        <w:rPr>
          <w:rFonts w:ascii="Times New Roman" w:hAnsi="Times New Roman" w:cs="Times New Roman" w:hint="eastAsia"/>
          <w:sz w:val="20"/>
          <w:szCs w:val="20"/>
        </w:rPr>
        <w:t xml:space="preserve">hole brain radiotherapy for patients with brain metastasis from lung adenocarcinoma harboring epidermal growth factor receptor mutation. J </w:t>
      </w:r>
      <w:proofErr w:type="spellStart"/>
      <w:r>
        <w:rPr>
          <w:rFonts w:ascii="Times New Roman" w:hAnsi="Times New Roman" w:cs="Times New Roman" w:hint="eastAsia"/>
          <w:sz w:val="20"/>
          <w:szCs w:val="20"/>
        </w:rPr>
        <w:t>Thorac</w:t>
      </w:r>
      <w:proofErr w:type="spellEnd"/>
      <w:r>
        <w:rPr>
          <w:rFonts w:ascii="Times New Roman" w:hAnsi="Times New Roman" w:cs="Times New Roman" w:hint="eastAsia"/>
          <w:sz w:val="20"/>
          <w:szCs w:val="20"/>
        </w:rPr>
        <w:t xml:space="preserve"> Dis. 2016 Jul</w:t>
      </w:r>
      <w:proofErr w:type="gramStart"/>
      <w:r>
        <w:rPr>
          <w:rFonts w:ascii="Times New Roman" w:hAnsi="Times New Roman" w:cs="Times New Roman" w:hint="eastAsia"/>
          <w:sz w:val="20"/>
          <w:szCs w:val="20"/>
        </w:rPr>
        <w:t>;8</w:t>
      </w:r>
      <w:proofErr w:type="gramEnd"/>
      <w:r>
        <w:rPr>
          <w:rFonts w:ascii="Times New Roman" w:hAnsi="Times New Roman" w:cs="Times New Roman" w:hint="eastAsia"/>
          <w:sz w:val="20"/>
          <w:szCs w:val="20"/>
        </w:rPr>
        <w:t xml:space="preserve">(7):1504-12. </w:t>
      </w:r>
    </w:p>
    <w:p w:rsidR="00604A69" w:rsidRDefault="00156390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 xml:space="preserve">Yang Z, Zhang Y, Li R, </w:t>
      </w:r>
      <w:bookmarkStart w:id="0" w:name="OLE_LINK1"/>
      <w:r>
        <w:rPr>
          <w:rFonts w:ascii="Times New Roman" w:eastAsia="SimSun" w:hAnsi="Times New Roman" w:cs="Times New Roman"/>
          <w:i/>
          <w:iCs/>
          <w:kern w:val="0"/>
          <w:sz w:val="20"/>
          <w:szCs w:val="20"/>
          <w:lang w:bidi="ar"/>
        </w:rPr>
        <w:t>et al</w:t>
      </w:r>
      <w:r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  <w:t>.</w:t>
      </w:r>
      <w:bookmarkEnd w:id="0"/>
      <w:r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  <w:t xml:space="preserve"> </w:t>
      </w:r>
      <w:r>
        <w:rPr>
          <w:rFonts w:ascii="Times New Roman" w:hAnsi="Times New Roman" w:cs="Times New Roman" w:hint="eastAsia"/>
          <w:sz w:val="20"/>
          <w:szCs w:val="20"/>
        </w:rPr>
        <w:t xml:space="preserve">Whole-brain radiotherapy with and without </w:t>
      </w:r>
      <w:r>
        <w:rPr>
          <w:rFonts w:ascii="Times New Roman" w:hAnsi="Times New Roman" w:cs="Times New Roman" w:hint="eastAsia"/>
          <w:sz w:val="20"/>
          <w:szCs w:val="20"/>
        </w:rPr>
        <w:t xml:space="preserve">concurrent </w:t>
      </w:r>
      <w:proofErr w:type="spellStart"/>
      <w:r>
        <w:rPr>
          <w:rFonts w:ascii="Times New Roman" w:hAnsi="Times New Roman" w:cs="Times New Roman" w:hint="eastAsia"/>
          <w:sz w:val="20"/>
          <w:szCs w:val="20"/>
        </w:rPr>
        <w:t>erlotinib</w:t>
      </w:r>
      <w:proofErr w:type="spellEnd"/>
      <w:r>
        <w:rPr>
          <w:rFonts w:ascii="Times New Roman" w:hAnsi="Times New Roman" w:cs="Times New Roman" w:hint="eastAsia"/>
          <w:sz w:val="20"/>
          <w:szCs w:val="20"/>
        </w:rPr>
        <w:t xml:space="preserve"> in NSCLC with brain metastases: a multicenter, open-label, randomized, controlled phase III trial. Neuro </w:t>
      </w:r>
      <w:proofErr w:type="spellStart"/>
      <w:r>
        <w:rPr>
          <w:rFonts w:ascii="Times New Roman" w:hAnsi="Times New Roman" w:cs="Times New Roman" w:hint="eastAsia"/>
          <w:sz w:val="20"/>
          <w:szCs w:val="20"/>
        </w:rPr>
        <w:t>Oncol</w:t>
      </w:r>
      <w:proofErr w:type="spellEnd"/>
      <w:r>
        <w:rPr>
          <w:rFonts w:ascii="Times New Roman" w:hAnsi="Times New Roman" w:cs="Times New Roman" w:hint="eastAsia"/>
          <w:sz w:val="20"/>
          <w:szCs w:val="20"/>
        </w:rPr>
        <w:t>. 2021 Jun 1</w:t>
      </w:r>
      <w:proofErr w:type="gramStart"/>
      <w:r>
        <w:rPr>
          <w:rFonts w:ascii="Times New Roman" w:hAnsi="Times New Roman" w:cs="Times New Roman" w:hint="eastAsia"/>
          <w:sz w:val="20"/>
          <w:szCs w:val="20"/>
        </w:rPr>
        <w:t>;23</w:t>
      </w:r>
      <w:proofErr w:type="gramEnd"/>
      <w:r>
        <w:rPr>
          <w:rFonts w:ascii="Times New Roman" w:hAnsi="Times New Roman" w:cs="Times New Roman" w:hint="eastAsia"/>
          <w:sz w:val="20"/>
          <w:szCs w:val="20"/>
        </w:rPr>
        <w:t>(6):967-978.</w:t>
      </w:r>
    </w:p>
    <w:p w:rsidR="00604A69" w:rsidRDefault="00156390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 xml:space="preserve">Zhou L, He J, </w:t>
      </w:r>
      <w:proofErr w:type="spellStart"/>
      <w:proofErr w:type="gramStart"/>
      <w:r>
        <w:rPr>
          <w:rFonts w:ascii="Times New Roman" w:hAnsi="Times New Roman" w:cs="Times New Roman" w:hint="eastAsia"/>
          <w:sz w:val="20"/>
          <w:szCs w:val="20"/>
        </w:rPr>
        <w:t>Xiong</w:t>
      </w:r>
      <w:proofErr w:type="spellEnd"/>
      <w:proofErr w:type="gramEnd"/>
      <w:r>
        <w:rPr>
          <w:rFonts w:ascii="Times New Roman" w:hAnsi="Times New Roman" w:cs="Times New Roman" w:hint="eastAsia"/>
          <w:sz w:val="20"/>
          <w:szCs w:val="20"/>
        </w:rPr>
        <w:t xml:space="preserve"> W, </w:t>
      </w:r>
      <w:r>
        <w:rPr>
          <w:rFonts w:ascii="Times New Roman" w:eastAsia="SimSun" w:hAnsi="Times New Roman" w:cs="Times New Roman"/>
          <w:i/>
          <w:iCs/>
          <w:kern w:val="0"/>
          <w:sz w:val="20"/>
          <w:szCs w:val="20"/>
          <w:lang w:bidi="ar"/>
        </w:rPr>
        <w:t>et al</w:t>
      </w:r>
      <w:r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  <w:t xml:space="preserve">. </w:t>
      </w:r>
      <w:r>
        <w:rPr>
          <w:rFonts w:ascii="Times New Roman" w:hAnsi="Times New Roman" w:cs="Times New Roman" w:hint="eastAsia"/>
          <w:sz w:val="20"/>
          <w:szCs w:val="20"/>
        </w:rPr>
        <w:t xml:space="preserve">Impact of whole brain radiation therapy on CSF penetration ability </w:t>
      </w:r>
      <w:r>
        <w:rPr>
          <w:rFonts w:ascii="Times New Roman" w:hAnsi="Times New Roman" w:cs="Times New Roman" w:hint="eastAsia"/>
          <w:sz w:val="20"/>
          <w:szCs w:val="20"/>
        </w:rPr>
        <w:t xml:space="preserve">of </w:t>
      </w:r>
      <w:proofErr w:type="spellStart"/>
      <w:r>
        <w:rPr>
          <w:rFonts w:ascii="Times New Roman" w:hAnsi="Times New Roman" w:cs="Times New Roman" w:hint="eastAsia"/>
          <w:sz w:val="20"/>
          <w:szCs w:val="20"/>
        </w:rPr>
        <w:t>Icotinib</w:t>
      </w:r>
      <w:proofErr w:type="spellEnd"/>
      <w:r>
        <w:rPr>
          <w:rFonts w:ascii="Times New Roman" w:hAnsi="Times New Roman" w:cs="Times New Roman" w:hint="eastAsia"/>
          <w:sz w:val="20"/>
          <w:szCs w:val="20"/>
        </w:rPr>
        <w:t xml:space="preserve"> in EGFR-mutated non-small cell lung cancer patients with brain metastases: Results of phase I dose-escalation study. Lung Cancer. 2016 Jun</w:t>
      </w:r>
      <w:proofErr w:type="gramStart"/>
      <w:r>
        <w:rPr>
          <w:rFonts w:ascii="Times New Roman" w:hAnsi="Times New Roman" w:cs="Times New Roman" w:hint="eastAsia"/>
          <w:sz w:val="20"/>
          <w:szCs w:val="20"/>
        </w:rPr>
        <w:t>;96:93</w:t>
      </w:r>
      <w:proofErr w:type="gramEnd"/>
      <w:r>
        <w:rPr>
          <w:rFonts w:ascii="Times New Roman" w:hAnsi="Times New Roman" w:cs="Times New Roman" w:hint="eastAsia"/>
          <w:sz w:val="20"/>
          <w:szCs w:val="20"/>
        </w:rPr>
        <w:t>-100.</w:t>
      </w:r>
    </w:p>
    <w:p w:rsidR="00604A69" w:rsidRDefault="00156390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 w:hint="eastAsia"/>
          <w:sz w:val="20"/>
          <w:szCs w:val="20"/>
        </w:rPr>
        <w:t>Achrol</w:t>
      </w:r>
      <w:proofErr w:type="spellEnd"/>
      <w:r>
        <w:rPr>
          <w:rFonts w:ascii="Times New Roman" w:hAnsi="Times New Roman" w:cs="Times New Roman" w:hint="eastAsia"/>
          <w:sz w:val="20"/>
          <w:szCs w:val="20"/>
        </w:rPr>
        <w:t xml:space="preserve"> AS, </w:t>
      </w:r>
      <w:proofErr w:type="spellStart"/>
      <w:r>
        <w:rPr>
          <w:rFonts w:ascii="Times New Roman" w:hAnsi="Times New Roman" w:cs="Times New Roman" w:hint="eastAsia"/>
          <w:sz w:val="20"/>
          <w:szCs w:val="20"/>
        </w:rPr>
        <w:t>Rennert</w:t>
      </w:r>
      <w:proofErr w:type="spellEnd"/>
      <w:r>
        <w:rPr>
          <w:rFonts w:ascii="Times New Roman" w:hAnsi="Times New Roman" w:cs="Times New Roman" w:hint="eastAsia"/>
          <w:sz w:val="20"/>
          <w:szCs w:val="20"/>
        </w:rPr>
        <w:t xml:space="preserve"> RC, Anders C, </w:t>
      </w:r>
      <w:r>
        <w:rPr>
          <w:rFonts w:ascii="Times New Roman" w:eastAsia="SimSun" w:hAnsi="Times New Roman" w:cs="Times New Roman"/>
          <w:i/>
          <w:iCs/>
          <w:kern w:val="0"/>
          <w:sz w:val="20"/>
          <w:szCs w:val="20"/>
          <w:lang w:bidi="ar"/>
        </w:rPr>
        <w:t>et al</w:t>
      </w:r>
      <w:r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  <w:t xml:space="preserve">. </w:t>
      </w:r>
      <w:r>
        <w:rPr>
          <w:rFonts w:ascii="Times New Roman" w:hAnsi="Times New Roman" w:cs="Times New Roman" w:hint="eastAsia"/>
          <w:sz w:val="20"/>
          <w:szCs w:val="20"/>
        </w:rPr>
        <w:t>Brain metastases. Nat Rev Dis Primers. 2019 Jan 17</w:t>
      </w:r>
      <w:proofErr w:type="gramStart"/>
      <w:r>
        <w:rPr>
          <w:rFonts w:ascii="Times New Roman" w:hAnsi="Times New Roman" w:cs="Times New Roman" w:hint="eastAsia"/>
          <w:sz w:val="20"/>
          <w:szCs w:val="20"/>
        </w:rPr>
        <w:t>;5</w:t>
      </w:r>
      <w:proofErr w:type="gramEnd"/>
      <w:r>
        <w:rPr>
          <w:rFonts w:ascii="Times New Roman" w:hAnsi="Times New Roman" w:cs="Times New Roman" w:hint="eastAsia"/>
          <w:sz w:val="20"/>
          <w:szCs w:val="20"/>
        </w:rPr>
        <w:t>(1</w:t>
      </w:r>
      <w:r>
        <w:rPr>
          <w:rFonts w:ascii="Times New Roman" w:hAnsi="Times New Roman" w:cs="Times New Roman" w:hint="eastAsia"/>
          <w:sz w:val="20"/>
          <w:szCs w:val="20"/>
        </w:rPr>
        <w:t xml:space="preserve">):5. </w:t>
      </w:r>
    </w:p>
    <w:p w:rsidR="00604A69" w:rsidRDefault="00156390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 xml:space="preserve">Li S, Xu S, Li L, </w:t>
      </w:r>
      <w:r>
        <w:rPr>
          <w:rFonts w:ascii="Times New Roman" w:eastAsia="SimSun" w:hAnsi="Times New Roman" w:cs="Times New Roman"/>
          <w:i/>
          <w:iCs/>
          <w:kern w:val="0"/>
          <w:sz w:val="20"/>
          <w:szCs w:val="20"/>
          <w:lang w:bidi="ar"/>
        </w:rPr>
        <w:t>et al</w:t>
      </w:r>
      <w:r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  <w:t xml:space="preserve">. </w:t>
      </w:r>
      <w:r>
        <w:rPr>
          <w:rFonts w:ascii="Times New Roman" w:hAnsi="Times New Roman" w:cs="Times New Roman" w:hint="eastAsia"/>
          <w:sz w:val="20"/>
          <w:szCs w:val="20"/>
        </w:rPr>
        <w:t>Efficacy and safety of EGFR-TKI combined with WBRT vs. WBRT alone in the treatment of brain metastases from NSCLC: a systematic review and meta-analysis. Front Neurol. 2024 Apr 26</w:t>
      </w:r>
      <w:proofErr w:type="gramStart"/>
      <w:r>
        <w:rPr>
          <w:rFonts w:ascii="Times New Roman" w:hAnsi="Times New Roman" w:cs="Times New Roman" w:hint="eastAsia"/>
          <w:sz w:val="20"/>
          <w:szCs w:val="20"/>
        </w:rPr>
        <w:t>;15:1362061</w:t>
      </w:r>
      <w:proofErr w:type="gramEnd"/>
      <w:r>
        <w:rPr>
          <w:rFonts w:ascii="Times New Roman" w:hAnsi="Times New Roman" w:cs="Times New Roman" w:hint="eastAsia"/>
          <w:sz w:val="20"/>
          <w:szCs w:val="20"/>
        </w:rPr>
        <w:t xml:space="preserve">. </w:t>
      </w:r>
    </w:p>
    <w:p w:rsidR="00604A69" w:rsidRDefault="00156390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 xml:space="preserve">Zheng MH, Sun HT, Xu JG, </w:t>
      </w:r>
      <w:r>
        <w:rPr>
          <w:rFonts w:ascii="Times New Roman" w:eastAsia="SimSun" w:hAnsi="Times New Roman" w:cs="Times New Roman"/>
          <w:i/>
          <w:iCs/>
          <w:kern w:val="0"/>
          <w:sz w:val="20"/>
          <w:szCs w:val="20"/>
          <w:lang w:bidi="ar"/>
        </w:rPr>
        <w:t>et al</w:t>
      </w:r>
      <w:r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  <w:t xml:space="preserve">. </w:t>
      </w:r>
      <w:r>
        <w:rPr>
          <w:rFonts w:ascii="Times New Roman" w:hAnsi="Times New Roman" w:cs="Times New Roman" w:hint="eastAsia"/>
          <w:sz w:val="20"/>
          <w:szCs w:val="20"/>
        </w:rPr>
        <w:t xml:space="preserve">Combining Whole-Brain Radiotherapy with </w:t>
      </w:r>
      <w:proofErr w:type="spellStart"/>
      <w:r>
        <w:rPr>
          <w:rFonts w:ascii="Times New Roman" w:hAnsi="Times New Roman" w:cs="Times New Roman" w:hint="eastAsia"/>
          <w:sz w:val="20"/>
          <w:szCs w:val="20"/>
        </w:rPr>
        <w:t>Gefitinib</w:t>
      </w:r>
      <w:proofErr w:type="spellEnd"/>
      <w:r>
        <w:rPr>
          <w:rFonts w:ascii="Times New Roman" w:hAnsi="Times New Roman" w:cs="Times New Roman" w:hint="eastAsia"/>
          <w:sz w:val="20"/>
          <w:szCs w:val="20"/>
        </w:rPr>
        <w:t>/</w:t>
      </w:r>
      <w:proofErr w:type="spellStart"/>
      <w:r>
        <w:rPr>
          <w:rFonts w:ascii="Times New Roman" w:hAnsi="Times New Roman" w:cs="Times New Roman" w:hint="eastAsia"/>
          <w:sz w:val="20"/>
          <w:szCs w:val="20"/>
        </w:rPr>
        <w:t>Erlotinib</w:t>
      </w:r>
      <w:proofErr w:type="spellEnd"/>
      <w:r>
        <w:rPr>
          <w:rFonts w:ascii="Times New Roman" w:hAnsi="Times New Roman" w:cs="Times New Roman" w:hint="eastAsia"/>
          <w:sz w:val="20"/>
          <w:szCs w:val="20"/>
        </w:rPr>
        <w:t xml:space="preserve"> for Brain Metastases from Non-Small-Cell Lung Cancer: A Meta-Analysis. Biomed Res Int. </w:t>
      </w:r>
      <w:r>
        <w:rPr>
          <w:rFonts w:ascii="Times New Roman" w:hAnsi="Times New Roman" w:cs="Times New Roman" w:hint="eastAsia"/>
          <w:sz w:val="20"/>
          <w:szCs w:val="20"/>
        </w:rPr>
        <w:lastRenderedPageBreak/>
        <w:t>2016</w:t>
      </w:r>
      <w:proofErr w:type="gramStart"/>
      <w:r>
        <w:rPr>
          <w:rFonts w:ascii="Times New Roman" w:hAnsi="Times New Roman" w:cs="Times New Roman" w:hint="eastAsia"/>
          <w:sz w:val="20"/>
          <w:szCs w:val="20"/>
        </w:rPr>
        <w:t>;2016:5807346</w:t>
      </w:r>
      <w:proofErr w:type="gramEnd"/>
      <w:r>
        <w:rPr>
          <w:rFonts w:ascii="Times New Roman" w:hAnsi="Times New Roman" w:cs="Times New Roman" w:hint="eastAsia"/>
          <w:sz w:val="20"/>
          <w:szCs w:val="20"/>
        </w:rPr>
        <w:t xml:space="preserve">. </w:t>
      </w:r>
    </w:p>
    <w:p w:rsidR="00604A69" w:rsidRDefault="00156390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 w:hint="eastAsia"/>
          <w:sz w:val="20"/>
          <w:szCs w:val="20"/>
        </w:rPr>
        <w:t>Pesce</w:t>
      </w:r>
      <w:proofErr w:type="spellEnd"/>
      <w:r>
        <w:rPr>
          <w:rFonts w:ascii="Times New Roman" w:hAnsi="Times New Roman" w:cs="Times New Roman" w:hint="eastAsia"/>
          <w:sz w:val="20"/>
          <w:szCs w:val="20"/>
        </w:rPr>
        <w:t xml:space="preserve"> GA, </w:t>
      </w:r>
      <w:proofErr w:type="spellStart"/>
      <w:r>
        <w:rPr>
          <w:rFonts w:ascii="Times New Roman" w:hAnsi="Times New Roman" w:cs="Times New Roman" w:hint="eastAsia"/>
          <w:sz w:val="20"/>
          <w:szCs w:val="20"/>
        </w:rPr>
        <w:t>Klingbiel</w:t>
      </w:r>
      <w:proofErr w:type="spellEnd"/>
      <w:r>
        <w:rPr>
          <w:rFonts w:ascii="Times New Roman" w:hAnsi="Times New Roman" w:cs="Times New Roman" w:hint="eastAsia"/>
          <w:sz w:val="20"/>
          <w:szCs w:val="20"/>
        </w:rPr>
        <w:t xml:space="preserve"> D, </w:t>
      </w:r>
      <w:proofErr w:type="spellStart"/>
      <w:r>
        <w:rPr>
          <w:rFonts w:ascii="Times New Roman" w:hAnsi="Times New Roman" w:cs="Times New Roman" w:hint="eastAsia"/>
          <w:sz w:val="20"/>
          <w:szCs w:val="20"/>
        </w:rPr>
        <w:t>Ribi</w:t>
      </w:r>
      <w:proofErr w:type="spellEnd"/>
      <w:r>
        <w:rPr>
          <w:rFonts w:ascii="Times New Roman" w:hAnsi="Times New Roman" w:cs="Times New Roman" w:hint="eastAsia"/>
          <w:sz w:val="20"/>
          <w:szCs w:val="20"/>
        </w:rPr>
        <w:t xml:space="preserve"> K, </w:t>
      </w:r>
      <w:r>
        <w:rPr>
          <w:rFonts w:ascii="Times New Roman" w:eastAsia="SimSun" w:hAnsi="Times New Roman" w:cs="Times New Roman"/>
          <w:i/>
          <w:iCs/>
          <w:kern w:val="0"/>
          <w:sz w:val="20"/>
          <w:szCs w:val="20"/>
          <w:lang w:bidi="ar"/>
        </w:rPr>
        <w:t>et al</w:t>
      </w:r>
      <w:r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  <w:t xml:space="preserve">. </w:t>
      </w:r>
      <w:r>
        <w:rPr>
          <w:rFonts w:ascii="Times New Roman" w:hAnsi="Times New Roman" w:cs="Times New Roman" w:hint="eastAsia"/>
          <w:sz w:val="20"/>
          <w:szCs w:val="20"/>
        </w:rPr>
        <w:t xml:space="preserve">Outcome, quality of life and cognitive function of </w:t>
      </w:r>
      <w:r>
        <w:rPr>
          <w:rFonts w:ascii="Times New Roman" w:hAnsi="Times New Roman" w:cs="Times New Roman" w:hint="eastAsia"/>
          <w:sz w:val="20"/>
          <w:szCs w:val="20"/>
        </w:rPr>
        <w:t xml:space="preserve">patients with brain metastases from non-small cell lung cancer treated with whole brain radiotherapy combined with </w:t>
      </w:r>
      <w:proofErr w:type="spellStart"/>
      <w:r>
        <w:rPr>
          <w:rFonts w:ascii="Times New Roman" w:hAnsi="Times New Roman" w:cs="Times New Roman" w:hint="eastAsia"/>
          <w:sz w:val="20"/>
          <w:szCs w:val="20"/>
        </w:rPr>
        <w:t>gefitinib</w:t>
      </w:r>
      <w:proofErr w:type="spellEnd"/>
      <w:r>
        <w:rPr>
          <w:rFonts w:ascii="Times New Roman" w:hAnsi="Times New Roman" w:cs="Times New Roman" w:hint="eastAsia"/>
          <w:sz w:val="20"/>
          <w:szCs w:val="20"/>
        </w:rPr>
        <w:t xml:space="preserve"> or </w:t>
      </w:r>
      <w:proofErr w:type="spellStart"/>
      <w:r>
        <w:rPr>
          <w:rFonts w:ascii="Times New Roman" w:hAnsi="Times New Roman" w:cs="Times New Roman" w:hint="eastAsia"/>
          <w:sz w:val="20"/>
          <w:szCs w:val="20"/>
        </w:rPr>
        <w:t>temozolomide</w:t>
      </w:r>
      <w:proofErr w:type="spellEnd"/>
      <w:r>
        <w:rPr>
          <w:rFonts w:ascii="Times New Roman" w:hAnsi="Times New Roman" w:cs="Times New Roman" w:hint="eastAsia"/>
          <w:sz w:val="20"/>
          <w:szCs w:val="20"/>
        </w:rPr>
        <w:t xml:space="preserve">. A </w:t>
      </w:r>
      <w:proofErr w:type="spellStart"/>
      <w:r>
        <w:rPr>
          <w:rFonts w:ascii="Times New Roman" w:hAnsi="Times New Roman" w:cs="Times New Roman" w:hint="eastAsia"/>
          <w:sz w:val="20"/>
          <w:szCs w:val="20"/>
        </w:rPr>
        <w:t>randomised</w:t>
      </w:r>
      <w:proofErr w:type="spellEnd"/>
      <w:r>
        <w:rPr>
          <w:rFonts w:ascii="Times New Roman" w:hAnsi="Times New Roman" w:cs="Times New Roman" w:hint="eastAsia"/>
          <w:sz w:val="20"/>
          <w:szCs w:val="20"/>
        </w:rPr>
        <w:t xml:space="preserve"> phase II trial of the Swiss Group for Clinical Cancer Research (SAKK 70/03). </w:t>
      </w:r>
      <w:proofErr w:type="spellStart"/>
      <w:r>
        <w:rPr>
          <w:rFonts w:ascii="Times New Roman" w:hAnsi="Times New Roman" w:cs="Times New Roman" w:hint="eastAsia"/>
          <w:sz w:val="20"/>
          <w:szCs w:val="20"/>
        </w:rPr>
        <w:t>Eur</w:t>
      </w:r>
      <w:proofErr w:type="spellEnd"/>
      <w:r>
        <w:rPr>
          <w:rFonts w:ascii="Times New Roman" w:hAnsi="Times New Roman" w:cs="Times New Roman" w:hint="eastAsia"/>
          <w:sz w:val="20"/>
          <w:szCs w:val="20"/>
        </w:rPr>
        <w:t xml:space="preserve"> J Cancer. 2012 Feb</w:t>
      </w:r>
      <w:proofErr w:type="gramStart"/>
      <w:r>
        <w:rPr>
          <w:rFonts w:ascii="Times New Roman" w:hAnsi="Times New Roman" w:cs="Times New Roman" w:hint="eastAsia"/>
          <w:sz w:val="20"/>
          <w:szCs w:val="20"/>
        </w:rPr>
        <w:t>;4</w:t>
      </w:r>
      <w:r>
        <w:rPr>
          <w:rFonts w:ascii="Times New Roman" w:hAnsi="Times New Roman" w:cs="Times New Roman" w:hint="eastAsia"/>
          <w:sz w:val="20"/>
          <w:szCs w:val="20"/>
        </w:rPr>
        <w:t>8</w:t>
      </w:r>
      <w:proofErr w:type="gramEnd"/>
      <w:r>
        <w:rPr>
          <w:rFonts w:ascii="Times New Roman" w:hAnsi="Times New Roman" w:cs="Times New Roman" w:hint="eastAsia"/>
          <w:sz w:val="20"/>
          <w:szCs w:val="20"/>
        </w:rPr>
        <w:t xml:space="preserve">(3):377-84. </w:t>
      </w:r>
    </w:p>
    <w:p w:rsidR="00604A69" w:rsidRDefault="00156390" w:rsidP="00156390">
      <w:pPr>
        <w:numPr>
          <w:ilvl w:val="0"/>
          <w:numId w:val="1"/>
        </w:numPr>
        <w:spacing w:line="360" w:lineRule="auto"/>
      </w:pPr>
      <w:r w:rsidRPr="00156390">
        <w:rPr>
          <w:rFonts w:ascii="Times New Roman" w:hAnsi="Times New Roman" w:cs="Times New Roman" w:hint="eastAsia"/>
          <w:sz w:val="20"/>
          <w:szCs w:val="20"/>
        </w:rPr>
        <w:t xml:space="preserve">Ma S, Xu Y, Deng Q, Yu X. Treatment of brain metastasis from non-small cell lung cancer with whole brain radiotherapy and </w:t>
      </w:r>
      <w:proofErr w:type="spellStart"/>
      <w:r w:rsidRPr="00156390">
        <w:rPr>
          <w:rFonts w:ascii="Times New Roman" w:hAnsi="Times New Roman" w:cs="Times New Roman" w:hint="eastAsia"/>
          <w:sz w:val="20"/>
          <w:szCs w:val="20"/>
        </w:rPr>
        <w:t>Gefitinib</w:t>
      </w:r>
      <w:proofErr w:type="spellEnd"/>
      <w:r w:rsidRPr="00156390">
        <w:rPr>
          <w:rFonts w:ascii="Times New Roman" w:hAnsi="Times New Roman" w:cs="Times New Roman" w:hint="eastAsia"/>
          <w:sz w:val="20"/>
          <w:szCs w:val="20"/>
        </w:rPr>
        <w:t xml:space="preserve"> in a Chinese population. Lung Cancer. 2009 Aug</w:t>
      </w:r>
      <w:proofErr w:type="gramStart"/>
      <w:r w:rsidRPr="00156390">
        <w:rPr>
          <w:rFonts w:ascii="Times New Roman" w:hAnsi="Times New Roman" w:cs="Times New Roman" w:hint="eastAsia"/>
          <w:sz w:val="20"/>
          <w:szCs w:val="20"/>
        </w:rPr>
        <w:t>;65</w:t>
      </w:r>
      <w:proofErr w:type="gramEnd"/>
      <w:r w:rsidRPr="00156390">
        <w:rPr>
          <w:rFonts w:ascii="Times New Roman" w:hAnsi="Times New Roman" w:cs="Times New Roman" w:hint="eastAsia"/>
          <w:sz w:val="20"/>
          <w:szCs w:val="20"/>
        </w:rPr>
        <w:t xml:space="preserve">(2):198-203. </w:t>
      </w:r>
      <w:bookmarkStart w:id="1" w:name="_GoBack"/>
      <w:bookmarkEnd w:id="1"/>
    </w:p>
    <w:sectPr w:rsidR="00604A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Regular">
    <w:altName w:val="Times New Roman"/>
    <w:charset w:val="00"/>
    <w:family w:val="auto"/>
    <w:pitch w:val="default"/>
    <w:sig w:usb0="00000000" w:usb1="00000000" w:usb2="00000009" w:usb3="00000000" w:csb0="400001FF" w:csb1="FFFF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1AF30FD"/>
    <w:multiLevelType w:val="singleLevel"/>
    <w:tmpl w:val="E1AF30FD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wMjhhMmM4MTg3MWIyZmEwOTkxNWRlMjE3OTM5MDAifQ=="/>
  </w:docVars>
  <w:rsids>
    <w:rsidRoot w:val="00604A69"/>
    <w:rsid w:val="00156390"/>
    <w:rsid w:val="00604A69"/>
    <w:rsid w:val="045F3751"/>
    <w:rsid w:val="1D0E49E6"/>
    <w:rsid w:val="54E06D9B"/>
    <w:rsid w:val="63AA5EC3"/>
    <w:rsid w:val="73D26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PH" w:eastAsia="en-P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11">
    <w:name w:val="font11"/>
    <w:basedOn w:val="DefaultParagraphFont"/>
    <w:qFormat/>
    <w:rPr>
      <w:rFonts w:ascii="Calibri" w:hAnsi="Calibri" w:cs="Calibri" w:hint="default"/>
      <w:color w:val="000000"/>
      <w:sz w:val="21"/>
      <w:szCs w:val="21"/>
      <w:u w:val="none"/>
    </w:rPr>
  </w:style>
  <w:style w:type="character" w:customStyle="1" w:styleId="font21">
    <w:name w:val="font21"/>
    <w:basedOn w:val="DefaultParagraphFont"/>
    <w:qFormat/>
    <w:rPr>
      <w:rFonts w:ascii="SimSun" w:eastAsia="SimSun" w:hAnsi="SimSun" w:cs="SimSun" w:hint="eastAsia"/>
      <w:color w:val="000000"/>
      <w:sz w:val="21"/>
      <w:szCs w:val="21"/>
      <w:u w:val="none"/>
    </w:rPr>
  </w:style>
  <w:style w:type="paragraph" w:styleId="BalloonText">
    <w:name w:val="Balloon Text"/>
    <w:basedOn w:val="Normal"/>
    <w:link w:val="BalloonTextChar"/>
    <w:rsid w:val="001563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6390"/>
    <w:rPr>
      <w:rFonts w:ascii="Tahoma" w:hAnsi="Tahoma" w:cs="Tahoma"/>
      <w:kern w:val="2"/>
      <w:sz w:val="16"/>
      <w:szCs w:val="16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PH" w:eastAsia="en-P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11">
    <w:name w:val="font11"/>
    <w:basedOn w:val="DefaultParagraphFont"/>
    <w:qFormat/>
    <w:rPr>
      <w:rFonts w:ascii="Calibri" w:hAnsi="Calibri" w:cs="Calibri" w:hint="default"/>
      <w:color w:val="000000"/>
      <w:sz w:val="21"/>
      <w:szCs w:val="21"/>
      <w:u w:val="none"/>
    </w:rPr>
  </w:style>
  <w:style w:type="character" w:customStyle="1" w:styleId="font21">
    <w:name w:val="font21"/>
    <w:basedOn w:val="DefaultParagraphFont"/>
    <w:qFormat/>
    <w:rPr>
      <w:rFonts w:ascii="SimSun" w:eastAsia="SimSun" w:hAnsi="SimSun" w:cs="SimSun" w:hint="eastAsia"/>
      <w:color w:val="000000"/>
      <w:sz w:val="21"/>
      <w:szCs w:val="21"/>
      <w:u w:val="none"/>
    </w:rPr>
  </w:style>
  <w:style w:type="paragraph" w:styleId="BalloonText">
    <w:name w:val="Balloon Text"/>
    <w:basedOn w:val="Normal"/>
    <w:link w:val="BalloonTextChar"/>
    <w:rsid w:val="001563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6390"/>
    <w:rPr>
      <w:rFonts w:ascii="Tahoma" w:hAnsi="Tahoma" w:cs="Tahoma"/>
      <w:kern w:val="2"/>
      <w:sz w:val="16"/>
      <w:szCs w:val="1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895</Words>
  <Characters>5106</Characters>
  <Application>Microsoft Office Word</Application>
  <DocSecurity>0</DocSecurity>
  <Lines>42</Lines>
  <Paragraphs>11</Paragraphs>
  <ScaleCrop>false</ScaleCrop>
  <Company/>
  <LinksUpToDate>false</LinksUpToDate>
  <CharactersWithSpaces>5990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q3323</dc:creator>
  <cp:lastModifiedBy>Ledirose Tampepe Amado</cp:lastModifiedBy>
  <cp:revision>2</cp:revision>
  <dcterms:created xsi:type="dcterms:W3CDTF">2024-04-26T09:30:00Z</dcterms:created>
  <dcterms:modified xsi:type="dcterms:W3CDTF">2024-10-21T23:13:00Z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2052-12.1.0.17142</vt:lpwstr>
  </property>
  <property fmtid="{D5CDD505-2E9C-101B-9397-08002B2CF9AE}" pid="3" name="ICV">
    <vt:lpwstr>4F9DBF98A3084FF5B40D5781ACBC8E38_12</vt:lpwstr>
  </property>
</Properties>
</file>