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124FF" w14:textId="510EA02C" w:rsidR="000229D7" w:rsidRDefault="000229D7" w:rsidP="000229D7">
      <w:pPr>
        <w:jc w:val="both"/>
        <w:rPr>
          <w:b/>
          <w:bCs/>
          <w:i/>
          <w:iCs/>
        </w:rPr>
      </w:pPr>
      <w:r>
        <w:rPr>
          <w:b/>
          <w:bCs/>
        </w:rPr>
        <w:t>O</w:t>
      </w:r>
      <w:r w:rsidRPr="00D14D19">
        <w:rPr>
          <w:b/>
          <w:bCs/>
        </w:rPr>
        <w:t>steosarcoma cells</w:t>
      </w:r>
      <w:r>
        <w:rPr>
          <w:b/>
          <w:bCs/>
        </w:rPr>
        <w:t xml:space="preserve"> depend on M</w:t>
      </w:r>
      <w:r w:rsidR="009334C3">
        <w:rPr>
          <w:b/>
          <w:bCs/>
        </w:rPr>
        <w:t>CL</w:t>
      </w:r>
      <w:r>
        <w:rPr>
          <w:b/>
          <w:bCs/>
        </w:rPr>
        <w:t>-1 for survival and osteosarcoma metastases respond to M</w:t>
      </w:r>
      <w:r w:rsidR="009334C3">
        <w:rPr>
          <w:b/>
          <w:bCs/>
        </w:rPr>
        <w:t>CL</w:t>
      </w:r>
      <w:r>
        <w:rPr>
          <w:b/>
          <w:bCs/>
        </w:rPr>
        <w:t>-1 antagonism plus regorafenib</w:t>
      </w:r>
      <w:r w:rsidRPr="00D14D19">
        <w:rPr>
          <w:b/>
          <w:bCs/>
        </w:rPr>
        <w:t xml:space="preserve"> </w:t>
      </w:r>
      <w:r w:rsidRPr="00D14D19">
        <w:rPr>
          <w:b/>
          <w:bCs/>
          <w:i/>
          <w:iCs/>
        </w:rPr>
        <w:t>in vivo</w:t>
      </w:r>
    </w:p>
    <w:p w14:paraId="79A175EF" w14:textId="77777777" w:rsidR="007A1008" w:rsidRPr="00D14D19" w:rsidRDefault="007A1008" w:rsidP="000229D7">
      <w:pPr>
        <w:jc w:val="both"/>
        <w:rPr>
          <w:b/>
          <w:bCs/>
          <w:i/>
          <w:iCs/>
        </w:rPr>
      </w:pPr>
    </w:p>
    <w:p w14:paraId="2900F9C6" w14:textId="2285DBCA" w:rsidR="00CF2BC0" w:rsidRDefault="00CF2BC0" w:rsidP="00CF2BC0">
      <w:pPr>
        <w:suppressLineNumbers/>
        <w:spacing w:after="0"/>
        <w:jc w:val="both"/>
      </w:pPr>
      <w:r>
        <w:t>Yanhao Ji</w:t>
      </w:r>
      <w:r w:rsidRPr="00FA694A">
        <w:rPr>
          <w:vertAlign w:val="superscript"/>
        </w:rPr>
        <w:t>1</w:t>
      </w:r>
      <w:r>
        <w:t>, Michael A. Harris</w:t>
      </w:r>
      <w:r w:rsidRPr="00FA694A">
        <w:rPr>
          <w:vertAlign w:val="superscript"/>
        </w:rPr>
        <w:t>1,2</w:t>
      </w:r>
      <w:r>
        <w:t>, Lucas M. Newton</w:t>
      </w:r>
      <w:r w:rsidRPr="00FA694A">
        <w:rPr>
          <w:vertAlign w:val="superscript"/>
        </w:rPr>
        <w:t>1,3</w:t>
      </w:r>
      <w:r>
        <w:t>, Tiffany J. Harris</w:t>
      </w:r>
      <w:r w:rsidRPr="00FA694A">
        <w:rPr>
          <w:vertAlign w:val="superscript"/>
        </w:rPr>
        <w:t>4</w:t>
      </w:r>
      <w:r>
        <w:t>, W. Douglas</w:t>
      </w:r>
      <w:r w:rsidR="007A1008">
        <w:t xml:space="preserve"> </w:t>
      </w:r>
      <w:r w:rsidR="007A1008" w:rsidRPr="007A1008">
        <w:t>Fairlie</w:t>
      </w:r>
      <w:r w:rsidRPr="00FA694A">
        <w:rPr>
          <w:vertAlign w:val="superscript"/>
        </w:rPr>
        <w:t>1,4,5</w:t>
      </w:r>
      <w:r>
        <w:t>, Erinna F. Lee</w:t>
      </w:r>
      <w:r w:rsidRPr="00FA694A">
        <w:rPr>
          <w:vertAlign w:val="superscript"/>
        </w:rPr>
        <w:t xml:space="preserve">1,4,5 </w:t>
      </w:r>
      <w:r>
        <w:t>&amp; Christine J. Hawkins</w:t>
      </w:r>
      <w:r w:rsidRPr="00FA694A">
        <w:rPr>
          <w:vertAlign w:val="superscript"/>
        </w:rPr>
        <w:t>1</w:t>
      </w:r>
      <w:r>
        <w:t xml:space="preserve"> (corresponding author)</w:t>
      </w:r>
    </w:p>
    <w:p w14:paraId="2D8CF2A8" w14:textId="77777777" w:rsidR="007A1008" w:rsidRPr="00FA694A" w:rsidRDefault="007A1008" w:rsidP="00CF2BC0">
      <w:pPr>
        <w:suppressLineNumbers/>
        <w:spacing w:after="0"/>
        <w:jc w:val="both"/>
      </w:pPr>
    </w:p>
    <w:p w14:paraId="257AF0CE" w14:textId="77777777" w:rsidR="00CF2BC0" w:rsidRPr="00FA694A" w:rsidRDefault="00CF2BC0" w:rsidP="00CF2BC0">
      <w:pPr>
        <w:pStyle w:val="ListParagraph"/>
        <w:numPr>
          <w:ilvl w:val="0"/>
          <w:numId w:val="1"/>
        </w:numPr>
        <w:suppressLineNumbers/>
        <w:spacing w:after="0" w:line="480" w:lineRule="auto"/>
        <w:ind w:left="714" w:hanging="357"/>
        <w:contextualSpacing w:val="0"/>
        <w:jc w:val="both"/>
        <w:rPr>
          <w:sz w:val="22"/>
          <w:szCs w:val="22"/>
        </w:rPr>
      </w:pPr>
      <w:r w:rsidRPr="00FA694A">
        <w:rPr>
          <w:sz w:val="22"/>
          <w:szCs w:val="22"/>
        </w:rPr>
        <w:t>La Trobe Institute for Molecular Science, La Trobe University, Melbourne, VIC, 3086, Australia</w:t>
      </w:r>
    </w:p>
    <w:p w14:paraId="7874DA6F" w14:textId="77777777" w:rsidR="00CF2BC0" w:rsidRPr="00FA694A" w:rsidRDefault="00CF2BC0" w:rsidP="00CF2BC0">
      <w:pPr>
        <w:pStyle w:val="ListParagraph"/>
        <w:numPr>
          <w:ilvl w:val="0"/>
          <w:numId w:val="1"/>
        </w:numPr>
        <w:suppressLineNumbers/>
        <w:spacing w:after="0" w:line="480" w:lineRule="auto"/>
        <w:ind w:left="714" w:hanging="357"/>
        <w:contextualSpacing w:val="0"/>
        <w:jc w:val="both"/>
        <w:rPr>
          <w:sz w:val="22"/>
          <w:szCs w:val="22"/>
        </w:rPr>
      </w:pPr>
      <w:r w:rsidRPr="00FA694A">
        <w:rPr>
          <w:sz w:val="22"/>
          <w:szCs w:val="22"/>
        </w:rPr>
        <w:t>Peter MacCallum Cancer Centre, Melbourne, VIC, 3000, Australia</w:t>
      </w:r>
    </w:p>
    <w:p w14:paraId="35ECDF18" w14:textId="77777777" w:rsidR="00CF2BC0" w:rsidRPr="00FA694A" w:rsidRDefault="00CF2BC0" w:rsidP="00CF2BC0">
      <w:pPr>
        <w:pStyle w:val="ListParagraph"/>
        <w:numPr>
          <w:ilvl w:val="0"/>
          <w:numId w:val="1"/>
        </w:numPr>
        <w:suppressLineNumbers/>
        <w:spacing w:after="0" w:line="480" w:lineRule="auto"/>
        <w:ind w:left="714" w:hanging="357"/>
        <w:contextualSpacing w:val="0"/>
        <w:jc w:val="both"/>
        <w:rPr>
          <w:sz w:val="22"/>
          <w:szCs w:val="22"/>
        </w:rPr>
      </w:pPr>
      <w:r w:rsidRPr="00FA694A">
        <w:rPr>
          <w:sz w:val="22"/>
          <w:szCs w:val="22"/>
        </w:rPr>
        <w:t>Swinburne University, Hawthorn, VIC, 3122, Australia</w:t>
      </w:r>
    </w:p>
    <w:p w14:paraId="5B375E7B" w14:textId="77777777" w:rsidR="00CF2BC0" w:rsidRPr="00FA694A" w:rsidRDefault="00CF2BC0" w:rsidP="00CF2BC0">
      <w:pPr>
        <w:pStyle w:val="ListParagraph"/>
        <w:numPr>
          <w:ilvl w:val="0"/>
          <w:numId w:val="1"/>
        </w:numPr>
        <w:suppressLineNumbers/>
        <w:spacing w:after="0" w:line="480" w:lineRule="auto"/>
        <w:ind w:left="714" w:hanging="357"/>
        <w:contextualSpacing w:val="0"/>
        <w:jc w:val="both"/>
        <w:rPr>
          <w:sz w:val="22"/>
          <w:szCs w:val="22"/>
        </w:rPr>
      </w:pPr>
      <w:r w:rsidRPr="00FA694A">
        <w:rPr>
          <w:sz w:val="22"/>
          <w:szCs w:val="22"/>
        </w:rPr>
        <w:t>Olivia Newton-John Cancer Research Institute, Heidelberg, VIC, 3084, Australia</w:t>
      </w:r>
    </w:p>
    <w:p w14:paraId="76306873" w14:textId="77777777" w:rsidR="00CF2BC0" w:rsidRPr="00257C24" w:rsidRDefault="00CF2BC0" w:rsidP="00CF2BC0">
      <w:pPr>
        <w:pStyle w:val="ListParagraph"/>
        <w:numPr>
          <w:ilvl w:val="0"/>
          <w:numId w:val="1"/>
        </w:numPr>
        <w:suppressLineNumbers/>
        <w:spacing w:after="0" w:line="480" w:lineRule="auto"/>
        <w:ind w:left="714" w:hanging="357"/>
        <w:contextualSpacing w:val="0"/>
        <w:jc w:val="both"/>
        <w:rPr>
          <w:rFonts w:eastAsia="SimSun"/>
          <w:lang w:eastAsia="en-US"/>
        </w:rPr>
      </w:pPr>
      <w:r w:rsidRPr="000C4320">
        <w:rPr>
          <w:rFonts w:eastAsia="Times New Roman" w:cstheme="minorHAnsi"/>
          <w:color w:val="222222"/>
        </w:rPr>
        <w:t>School of Cancer Medicine, La Trobe University, Melbourne, VIC, 3086, Australia</w:t>
      </w:r>
    </w:p>
    <w:p w14:paraId="1A764DE7" w14:textId="4797479F" w:rsidR="00257C24" w:rsidRDefault="00257C24">
      <w:pPr>
        <w:spacing w:line="278" w:lineRule="auto"/>
        <w:rPr>
          <w:rFonts w:eastAsia="Times New Roman" w:cstheme="minorHAnsi"/>
          <w:color w:val="222222"/>
          <w:kern w:val="2"/>
          <w:sz w:val="24"/>
          <w:szCs w:val="24"/>
          <w:lang w:eastAsia="zh-CN"/>
          <w14:ligatures w14:val="standardContextual"/>
        </w:rPr>
      </w:pPr>
      <w:r>
        <w:rPr>
          <w:rFonts w:eastAsia="Times New Roman" w:cstheme="minorHAnsi"/>
          <w:color w:val="222222"/>
        </w:rPr>
        <w:br w:type="page"/>
      </w:r>
    </w:p>
    <w:p w14:paraId="134AF0BA" w14:textId="39AC3186" w:rsidR="00257C24" w:rsidRDefault="00257C24" w:rsidP="00257C24">
      <w:pPr>
        <w:spacing w:line="278" w:lineRule="auto"/>
      </w:pPr>
    </w:p>
    <w:p w14:paraId="79F187D3" w14:textId="1D323A02" w:rsidR="00257C24" w:rsidRDefault="00444AE2" w:rsidP="00257C24">
      <w:pPr>
        <w:spacing w:line="278" w:lineRule="auto"/>
      </w:pPr>
      <w:r>
        <w:rPr>
          <w:noProof/>
          <w14:ligatures w14:val="standardContextual"/>
        </w:rPr>
        <w:drawing>
          <wp:inline distT="0" distB="0" distL="0" distR="0" wp14:anchorId="2AE812BA" wp14:editId="022C0B00">
            <wp:extent cx="5568950" cy="4032992"/>
            <wp:effectExtent l="0" t="0" r="0" b="5715"/>
            <wp:docPr id="1421647616" name="Picture 1" descr="A diagram of a computer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647616" name="Picture 1" descr="A diagram of a computer flowchart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5" t="6840" r="24239" b="16707"/>
                    <a:stretch/>
                  </pic:blipFill>
                  <pic:spPr bwMode="auto">
                    <a:xfrm>
                      <a:off x="0" y="0"/>
                      <a:ext cx="5575795" cy="4037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5EB14D" w14:textId="77777777" w:rsidR="00257C24" w:rsidRDefault="00257C24" w:rsidP="00257C24">
      <w:pPr>
        <w:spacing w:line="278" w:lineRule="auto"/>
      </w:pPr>
    </w:p>
    <w:p w14:paraId="11A37B27" w14:textId="310AB0C4" w:rsidR="00257C24" w:rsidRDefault="00257C24" w:rsidP="00444AE2">
      <w:pPr>
        <w:spacing w:line="278" w:lineRule="auto"/>
        <w:rPr>
          <w:kern w:val="2"/>
          <w:sz w:val="24"/>
          <w:szCs w:val="24"/>
          <w14:ligatures w14:val="standardContextual"/>
        </w:rPr>
      </w:pPr>
      <w:r w:rsidRPr="00257C24">
        <w:rPr>
          <w:b/>
          <w:bCs/>
        </w:rPr>
        <w:t>Supplementary Figure 1</w:t>
      </w:r>
      <w:r w:rsidRPr="00257C24">
        <w:t xml:space="preserve">: </w:t>
      </w:r>
      <w:r>
        <w:t xml:space="preserve">Model </w:t>
      </w:r>
      <w:r w:rsidR="002D1441">
        <w:t>illustrating</w:t>
      </w:r>
      <w:r>
        <w:t xml:space="preserve"> interactions between proteins and drugs analyzed in this study</w:t>
      </w:r>
      <w:r w:rsidR="00444AE2" w:rsidRPr="00444AE2">
        <w:t xml:space="preserve"> (</w:t>
      </w:r>
      <w:r w:rsidR="00444AE2">
        <w:t xml:space="preserve">Fairlie WD and Lee EF, </w:t>
      </w:r>
      <w:r w:rsidR="00444AE2" w:rsidRPr="00444AE2">
        <w:t>Biochem Soc Trans 49:2397-2410, 2021)</w:t>
      </w:r>
      <w:r>
        <w:t xml:space="preserve">. </w:t>
      </w:r>
      <w:r w:rsidR="00444AE2">
        <w:t xml:space="preserve">Regorafenib has been shown to boost Bim expression </w:t>
      </w:r>
      <w:r>
        <w:t>(</w:t>
      </w:r>
      <w:r w:rsidR="00444AE2">
        <w:t xml:space="preserve">Sun B et al, </w:t>
      </w:r>
      <w:r>
        <w:t>Cell Death Discov 9:37, 2023)</w:t>
      </w:r>
      <w:r w:rsidR="00444AE2">
        <w:t xml:space="preserve"> but may also interact with Bcl-2 family proteins via other mechanisms</w:t>
      </w:r>
      <w:r>
        <w:t xml:space="preserve">. </w:t>
      </w:r>
      <w:r w:rsidRPr="00257C24">
        <w:t>Created in BioRender.com</w:t>
      </w:r>
    </w:p>
    <w:p w14:paraId="724A8C6B" w14:textId="77777777" w:rsidR="00257C24" w:rsidRPr="00585226" w:rsidRDefault="00257C24" w:rsidP="00257C24">
      <w:pPr>
        <w:pStyle w:val="ListParagraph"/>
        <w:suppressLineNumbers/>
        <w:spacing w:after="0" w:line="480" w:lineRule="auto"/>
        <w:ind w:left="714"/>
        <w:contextualSpacing w:val="0"/>
        <w:jc w:val="both"/>
        <w:rPr>
          <w:rFonts w:eastAsia="SimSun"/>
          <w:lang w:eastAsia="en-US"/>
        </w:rPr>
      </w:pPr>
    </w:p>
    <w:p w14:paraId="35E28655" w14:textId="258041BF" w:rsidR="000229D7" w:rsidRDefault="008064F2" w:rsidP="008064F2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zh-CN"/>
        </w:rPr>
        <w:lastRenderedPageBreak/>
        <w:drawing>
          <wp:inline distT="0" distB="0" distL="0" distR="0" wp14:anchorId="41285572" wp14:editId="0741BF41">
            <wp:extent cx="5723255" cy="6383655"/>
            <wp:effectExtent l="0" t="0" r="0" b="0"/>
            <wp:docPr id="137983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638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F5AE1" w14:textId="5CC920B6" w:rsidR="000229D7" w:rsidRPr="003634AB" w:rsidRDefault="000229D7" w:rsidP="003634AB">
      <w:pPr>
        <w:jc w:val="both"/>
        <w:rPr>
          <w:rFonts w:ascii="Calibri" w:hAnsi="Calibri" w:cs="Calibri"/>
          <w:lang w:eastAsia="zh-CN"/>
        </w:rPr>
      </w:pPr>
      <w:r w:rsidRPr="000229D7">
        <w:rPr>
          <w:rFonts w:ascii="Calibri" w:hAnsi="Calibri" w:cs="Calibri" w:hint="eastAsia"/>
          <w:b/>
          <w:bCs/>
          <w:lang w:eastAsia="zh-CN"/>
        </w:rPr>
        <w:t xml:space="preserve">Supplementary Figure </w:t>
      </w:r>
      <w:r w:rsidR="00257C24">
        <w:rPr>
          <w:rFonts w:ascii="Calibri" w:hAnsi="Calibri" w:cs="Calibri"/>
          <w:b/>
          <w:bCs/>
          <w:lang w:eastAsia="zh-CN"/>
        </w:rPr>
        <w:t>2</w:t>
      </w:r>
      <w:r w:rsidRPr="000229D7">
        <w:rPr>
          <w:rFonts w:ascii="Calibri" w:hAnsi="Calibri" w:cs="Calibri" w:hint="eastAsia"/>
          <w:b/>
          <w:bCs/>
          <w:lang w:eastAsia="zh-CN"/>
        </w:rPr>
        <w:t>:</w:t>
      </w:r>
      <w:r>
        <w:rPr>
          <w:rFonts w:ascii="Calibri" w:hAnsi="Calibri" w:cs="Calibri" w:hint="eastAsia"/>
          <w:lang w:eastAsia="zh-CN"/>
        </w:rPr>
        <w:t xml:space="preserve"> Uncropped western blots for Figure 1B. Expression of Bcl-2 family proteins were assessed by western blot. Each membrane was immunoblotted by: </w:t>
      </w:r>
      <w:r w:rsidRPr="000229D7">
        <w:rPr>
          <w:rFonts w:ascii="Calibri" w:hAnsi="Calibri" w:cs="Calibri" w:hint="eastAsia"/>
          <w:b/>
          <w:bCs/>
          <w:lang w:eastAsia="zh-CN"/>
        </w:rPr>
        <w:t>a</w:t>
      </w:r>
      <w:r>
        <w:rPr>
          <w:rFonts w:ascii="Calibri" w:hAnsi="Calibri" w:cs="Calibri" w:hint="eastAsia"/>
          <w:lang w:eastAsia="zh-CN"/>
        </w:rPr>
        <w:t xml:space="preserve"> anti-Bcl-2 antibody; </w:t>
      </w:r>
      <w:r w:rsidRPr="000229D7">
        <w:rPr>
          <w:rFonts w:ascii="Calibri" w:hAnsi="Calibri" w:cs="Calibri" w:hint="eastAsia"/>
          <w:b/>
          <w:bCs/>
          <w:lang w:eastAsia="zh-CN"/>
        </w:rPr>
        <w:t>b</w:t>
      </w:r>
      <w:r>
        <w:rPr>
          <w:rFonts w:ascii="Calibri" w:hAnsi="Calibri" w:cs="Calibri" w:hint="eastAsia"/>
          <w:lang w:eastAsia="zh-CN"/>
        </w:rPr>
        <w:t xml:space="preserve"> anti Bcl-x</w:t>
      </w:r>
      <w:r w:rsidRPr="000229D7">
        <w:rPr>
          <w:rFonts w:ascii="Calibri" w:hAnsi="Calibri" w:cs="Calibri" w:hint="eastAsia"/>
          <w:vertAlign w:val="subscript"/>
          <w:lang w:eastAsia="zh-CN"/>
        </w:rPr>
        <w:t>L</w:t>
      </w:r>
      <w:r>
        <w:rPr>
          <w:rFonts w:ascii="Calibri" w:hAnsi="Calibri" w:cs="Calibri" w:hint="eastAsia"/>
          <w:lang w:eastAsia="zh-CN"/>
        </w:rPr>
        <w:t xml:space="preserve"> antibody; </w:t>
      </w:r>
      <w:r w:rsidRPr="000229D7">
        <w:rPr>
          <w:rFonts w:ascii="Calibri" w:hAnsi="Calibri" w:cs="Calibri" w:hint="eastAsia"/>
          <w:b/>
          <w:bCs/>
          <w:lang w:eastAsia="zh-CN"/>
        </w:rPr>
        <w:t>c</w:t>
      </w:r>
      <w:r>
        <w:rPr>
          <w:rFonts w:ascii="Calibri" w:hAnsi="Calibri" w:cs="Calibri" w:hint="eastAsia"/>
          <w:lang w:eastAsia="zh-CN"/>
        </w:rPr>
        <w:t xml:space="preserve"> anti-Mcl-1 antibody; </w:t>
      </w:r>
      <w:r w:rsidRPr="000229D7">
        <w:rPr>
          <w:rFonts w:ascii="Calibri" w:hAnsi="Calibri" w:cs="Calibri" w:hint="eastAsia"/>
          <w:b/>
          <w:bCs/>
          <w:lang w:eastAsia="zh-CN"/>
        </w:rPr>
        <w:t>d</w:t>
      </w:r>
      <w:r>
        <w:rPr>
          <w:rFonts w:ascii="Calibri" w:hAnsi="Calibri" w:cs="Calibri" w:hint="eastAsia"/>
          <w:lang w:eastAsia="zh-CN"/>
        </w:rPr>
        <w:t xml:space="preserve"> anti-BMF antibody; </w:t>
      </w:r>
      <w:r w:rsidRPr="000229D7">
        <w:rPr>
          <w:rFonts w:ascii="Calibri" w:hAnsi="Calibri" w:cs="Calibri" w:hint="eastAsia"/>
          <w:b/>
          <w:bCs/>
          <w:lang w:eastAsia="zh-CN"/>
        </w:rPr>
        <w:t>e</w:t>
      </w:r>
      <w:r>
        <w:rPr>
          <w:rFonts w:ascii="Calibri" w:hAnsi="Calibri" w:cs="Calibri" w:hint="eastAsia"/>
          <w:lang w:eastAsia="zh-CN"/>
        </w:rPr>
        <w:t xml:space="preserve"> anti-BIM antibody; and </w:t>
      </w:r>
      <w:r w:rsidRPr="000229D7">
        <w:rPr>
          <w:rFonts w:ascii="Calibri" w:hAnsi="Calibri" w:cs="Calibri" w:hint="eastAsia"/>
          <w:b/>
          <w:bCs/>
          <w:lang w:eastAsia="zh-CN"/>
        </w:rPr>
        <w:t>f</w:t>
      </w:r>
      <w:r>
        <w:rPr>
          <w:rFonts w:ascii="Calibri" w:hAnsi="Calibri" w:cs="Calibri" w:hint="eastAsia"/>
          <w:lang w:eastAsia="zh-CN"/>
        </w:rPr>
        <w:t xml:space="preserve"> anti-Bik antibody. </w:t>
      </w:r>
      <w:r w:rsidR="008064F2">
        <w:rPr>
          <w:rFonts w:ascii="Calibri" w:hAnsi="Calibri" w:cs="Calibri"/>
          <w:lang w:eastAsia="zh-CN"/>
        </w:rPr>
        <w:t xml:space="preserve">The red-outlined rectangle highlights the cropped area shown in Figure 1B. </w:t>
      </w:r>
      <w:r>
        <w:rPr>
          <w:rFonts w:ascii="Calibri" w:hAnsi="Calibri" w:cs="Calibri" w:hint="eastAsia"/>
          <w:lang w:eastAsia="zh-CN"/>
        </w:rPr>
        <w:t xml:space="preserve">The remaining uncropped figures for Figure 1B are </w:t>
      </w:r>
      <w:r w:rsidR="00406075">
        <w:rPr>
          <w:rFonts w:ascii="Calibri" w:hAnsi="Calibri" w:cs="Calibri" w:hint="eastAsia"/>
          <w:lang w:eastAsia="zh-CN"/>
        </w:rPr>
        <w:t>provided</w:t>
      </w:r>
      <w:r>
        <w:rPr>
          <w:rFonts w:ascii="Calibri" w:hAnsi="Calibri" w:cs="Calibri" w:hint="eastAsia"/>
          <w:lang w:eastAsia="zh-CN"/>
        </w:rPr>
        <w:t xml:space="preserve"> in </w:t>
      </w:r>
      <w:r w:rsidRPr="000229D7">
        <w:rPr>
          <w:rFonts w:ascii="Calibri" w:hAnsi="Calibri" w:cs="Calibri" w:hint="eastAsia"/>
          <w:lang w:eastAsia="zh-CN"/>
        </w:rPr>
        <w:t>Supplementary Figure 2.</w:t>
      </w:r>
    </w:p>
    <w:p w14:paraId="4C829041" w14:textId="5532BB86" w:rsidR="000229D7" w:rsidRDefault="000229D7" w:rsidP="000229D7">
      <w:pPr>
        <w:rPr>
          <w:rFonts w:ascii="Calibri" w:hAnsi="Calibri" w:cs="Calibri"/>
          <w:b/>
          <w:bCs/>
          <w:lang w:eastAsia="zh-CN"/>
        </w:rPr>
      </w:pPr>
      <w:r>
        <w:rPr>
          <w:rFonts w:ascii="Calibri" w:hAnsi="Calibri" w:cs="Calibri"/>
          <w:b/>
          <w:bCs/>
          <w:noProof/>
          <w:lang w:eastAsia="zh-CN"/>
        </w:rPr>
        <w:lastRenderedPageBreak/>
        <w:drawing>
          <wp:inline distT="0" distB="0" distL="0" distR="0" wp14:anchorId="33C07FB9" wp14:editId="74AB281A">
            <wp:extent cx="5727700" cy="6383655"/>
            <wp:effectExtent l="0" t="0" r="6350" b="0"/>
            <wp:docPr id="8286088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38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F111D" w14:textId="5DE7234A" w:rsidR="000229D7" w:rsidRDefault="000229D7" w:rsidP="000229D7">
      <w:pPr>
        <w:jc w:val="both"/>
        <w:rPr>
          <w:rFonts w:ascii="Calibri" w:hAnsi="Calibri" w:cs="Calibri"/>
          <w:lang w:eastAsia="zh-CN"/>
        </w:rPr>
      </w:pPr>
      <w:r w:rsidRPr="000229D7">
        <w:rPr>
          <w:rFonts w:ascii="Calibri" w:hAnsi="Calibri" w:cs="Calibri" w:hint="eastAsia"/>
          <w:b/>
          <w:bCs/>
          <w:lang w:eastAsia="zh-CN"/>
        </w:rPr>
        <w:t xml:space="preserve">Supplementary Figure </w:t>
      </w:r>
      <w:r>
        <w:rPr>
          <w:rFonts w:ascii="Calibri" w:hAnsi="Calibri" w:cs="Calibri" w:hint="eastAsia"/>
          <w:b/>
          <w:bCs/>
          <w:lang w:eastAsia="zh-CN"/>
        </w:rPr>
        <w:t>2</w:t>
      </w:r>
      <w:r w:rsidRPr="000229D7">
        <w:rPr>
          <w:rFonts w:ascii="Calibri" w:hAnsi="Calibri" w:cs="Calibri" w:hint="eastAsia"/>
          <w:b/>
          <w:bCs/>
          <w:lang w:eastAsia="zh-CN"/>
        </w:rPr>
        <w:t>:</w:t>
      </w:r>
      <w:r>
        <w:rPr>
          <w:rFonts w:ascii="Calibri" w:hAnsi="Calibri" w:cs="Calibri" w:hint="eastAsia"/>
          <w:lang w:eastAsia="zh-CN"/>
        </w:rPr>
        <w:t xml:space="preserve"> Uncropped western blots for Figure 1B. Expression of Bcl-2 family proteins were assessed by western blot. Each membrane was immunoblotted by: </w:t>
      </w:r>
      <w:r w:rsidRPr="000229D7">
        <w:rPr>
          <w:rFonts w:ascii="Calibri" w:hAnsi="Calibri" w:cs="Calibri" w:hint="eastAsia"/>
          <w:b/>
          <w:bCs/>
          <w:lang w:eastAsia="zh-CN"/>
        </w:rPr>
        <w:t>a</w:t>
      </w:r>
      <w:r>
        <w:rPr>
          <w:rFonts w:ascii="Calibri" w:hAnsi="Calibri" w:cs="Calibri" w:hint="eastAsia"/>
          <w:lang w:eastAsia="zh-CN"/>
        </w:rPr>
        <w:t xml:space="preserve"> anti-Bid antibody; </w:t>
      </w:r>
      <w:r w:rsidRPr="000229D7">
        <w:rPr>
          <w:rFonts w:ascii="Calibri" w:hAnsi="Calibri" w:cs="Calibri" w:hint="eastAsia"/>
          <w:b/>
          <w:bCs/>
          <w:lang w:eastAsia="zh-CN"/>
        </w:rPr>
        <w:t>b</w:t>
      </w:r>
      <w:r>
        <w:rPr>
          <w:rFonts w:ascii="Calibri" w:hAnsi="Calibri" w:cs="Calibri" w:hint="eastAsia"/>
          <w:lang w:eastAsia="zh-CN"/>
        </w:rPr>
        <w:t xml:space="preserve"> anti PUMA antibody; </w:t>
      </w:r>
      <w:r w:rsidRPr="000229D7">
        <w:rPr>
          <w:rFonts w:ascii="Calibri" w:hAnsi="Calibri" w:cs="Calibri" w:hint="eastAsia"/>
          <w:b/>
          <w:bCs/>
          <w:lang w:eastAsia="zh-CN"/>
        </w:rPr>
        <w:t>c</w:t>
      </w:r>
      <w:r>
        <w:rPr>
          <w:rFonts w:ascii="Calibri" w:hAnsi="Calibri" w:cs="Calibri" w:hint="eastAsia"/>
          <w:lang w:eastAsia="zh-CN"/>
        </w:rPr>
        <w:t xml:space="preserve"> anti-Bad antibody; </w:t>
      </w:r>
      <w:r w:rsidRPr="000229D7">
        <w:rPr>
          <w:rFonts w:ascii="Calibri" w:hAnsi="Calibri" w:cs="Calibri" w:hint="eastAsia"/>
          <w:b/>
          <w:bCs/>
          <w:lang w:eastAsia="zh-CN"/>
        </w:rPr>
        <w:t>d</w:t>
      </w:r>
      <w:r>
        <w:rPr>
          <w:rFonts w:ascii="Calibri" w:hAnsi="Calibri" w:cs="Calibri" w:hint="eastAsia"/>
          <w:lang w:eastAsia="zh-CN"/>
        </w:rPr>
        <w:t xml:space="preserve"> anti-Bak antibody; </w:t>
      </w:r>
      <w:r w:rsidRPr="000229D7">
        <w:rPr>
          <w:rFonts w:ascii="Calibri" w:hAnsi="Calibri" w:cs="Calibri" w:hint="eastAsia"/>
          <w:b/>
          <w:bCs/>
          <w:lang w:eastAsia="zh-CN"/>
        </w:rPr>
        <w:t>e</w:t>
      </w:r>
      <w:r>
        <w:rPr>
          <w:rFonts w:ascii="Calibri" w:hAnsi="Calibri" w:cs="Calibri" w:hint="eastAsia"/>
          <w:lang w:eastAsia="zh-CN"/>
        </w:rPr>
        <w:t xml:space="preserve"> anti-Bax antibody; and </w:t>
      </w:r>
      <w:r w:rsidRPr="000229D7">
        <w:rPr>
          <w:rFonts w:ascii="Calibri" w:hAnsi="Calibri" w:cs="Calibri" w:hint="eastAsia"/>
          <w:b/>
          <w:bCs/>
          <w:lang w:eastAsia="zh-CN"/>
        </w:rPr>
        <w:t>f</w:t>
      </w:r>
      <w:r>
        <w:rPr>
          <w:rFonts w:ascii="Calibri" w:hAnsi="Calibri" w:cs="Calibri" w:hint="eastAsia"/>
          <w:lang w:eastAsia="zh-CN"/>
        </w:rPr>
        <w:t xml:space="preserve"> anti-Actin antibody.</w:t>
      </w:r>
      <w:r w:rsidR="008064F2" w:rsidRPr="008064F2">
        <w:rPr>
          <w:rFonts w:ascii="Calibri" w:hAnsi="Calibri" w:cs="Calibri"/>
          <w:lang w:eastAsia="zh-CN"/>
        </w:rPr>
        <w:t xml:space="preserve"> </w:t>
      </w:r>
      <w:r w:rsidR="008064F2">
        <w:rPr>
          <w:rFonts w:ascii="Calibri" w:hAnsi="Calibri" w:cs="Calibri"/>
          <w:lang w:eastAsia="zh-CN"/>
        </w:rPr>
        <w:t>The red-outlined rectangle highlights the cropped area shown in Figure 1B.</w:t>
      </w:r>
    </w:p>
    <w:p w14:paraId="36F8CCDE" w14:textId="77777777" w:rsidR="000229D7" w:rsidRPr="000229D7" w:rsidRDefault="000229D7" w:rsidP="000229D7">
      <w:pPr>
        <w:rPr>
          <w:rFonts w:ascii="Calibri" w:hAnsi="Calibri" w:cs="Calibri"/>
          <w:b/>
          <w:bCs/>
          <w:lang w:eastAsia="zh-CN"/>
        </w:rPr>
      </w:pPr>
    </w:p>
    <w:p w14:paraId="067171A2" w14:textId="77777777" w:rsidR="000229D7" w:rsidRPr="000229D7" w:rsidRDefault="000229D7" w:rsidP="000229D7">
      <w:pPr>
        <w:jc w:val="both"/>
        <w:rPr>
          <w:rFonts w:ascii="Calibri" w:hAnsi="Calibri" w:cs="Calibri"/>
          <w:lang w:eastAsia="zh-CN"/>
        </w:rPr>
      </w:pPr>
    </w:p>
    <w:sectPr w:rsidR="000229D7" w:rsidRPr="000229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83274C"/>
    <w:multiLevelType w:val="hybridMultilevel"/>
    <w:tmpl w:val="2B407E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190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9D7"/>
    <w:rsid w:val="00013612"/>
    <w:rsid w:val="000229D7"/>
    <w:rsid w:val="000E0A65"/>
    <w:rsid w:val="00194001"/>
    <w:rsid w:val="0021582B"/>
    <w:rsid w:val="00257C24"/>
    <w:rsid w:val="00276E21"/>
    <w:rsid w:val="002D1441"/>
    <w:rsid w:val="003634AB"/>
    <w:rsid w:val="00390300"/>
    <w:rsid w:val="00406075"/>
    <w:rsid w:val="00444AE2"/>
    <w:rsid w:val="00491050"/>
    <w:rsid w:val="005F766E"/>
    <w:rsid w:val="00794E02"/>
    <w:rsid w:val="007A1008"/>
    <w:rsid w:val="008064F2"/>
    <w:rsid w:val="008168AD"/>
    <w:rsid w:val="009334C3"/>
    <w:rsid w:val="00BD5F62"/>
    <w:rsid w:val="00C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AA311"/>
  <w15:chartTrackingRefBased/>
  <w15:docId w15:val="{E6930936-0B6F-485D-9012-94708419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9D7"/>
    <w:pPr>
      <w:spacing w:line="259" w:lineRule="auto"/>
    </w:pPr>
    <w:rPr>
      <w:rFonts w:eastAsia="SimSun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9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9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9D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9D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9D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9D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9D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9D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9D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9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9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2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9D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2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9D7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2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9D7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29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9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9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7C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7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7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Yanhao Ji</dc:creator>
  <cp:keywords/>
  <dc:description/>
  <cp:lastModifiedBy>Christine Hawkins</cp:lastModifiedBy>
  <cp:revision>6</cp:revision>
  <dcterms:created xsi:type="dcterms:W3CDTF">2024-10-14T23:02:00Z</dcterms:created>
  <dcterms:modified xsi:type="dcterms:W3CDTF">2024-10-15T20:39:00Z</dcterms:modified>
</cp:coreProperties>
</file>