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FC48A" w14:textId="77777777" w:rsidR="00EF6D85"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w:t>
      </w:r>
      <w:r>
        <w:rPr>
          <w:rFonts w:ascii="Times New Roman" w:hAnsi="Times New Roman" w:cs="Times New Roman" w:hint="eastAsia"/>
          <w:sz w:val="24"/>
        </w:rPr>
        <w:t xml:space="preserve">upplementary </w:t>
      </w:r>
      <w:r>
        <w:rPr>
          <w:rFonts w:ascii="Times New Roman" w:hAnsi="Times New Roman" w:cs="Times New Roman"/>
          <w:sz w:val="24"/>
        </w:rPr>
        <w:t>Table 1: T</w:t>
      </w:r>
      <w:r>
        <w:rPr>
          <w:rFonts w:ascii="Times New Roman" w:hAnsi="Times New Roman" w:cs="Times New Roman" w:hint="eastAsia"/>
          <w:sz w:val="24"/>
        </w:rPr>
        <w:t>he</w:t>
      </w:r>
      <w:r>
        <w:rPr>
          <w:rFonts w:ascii="Times New Roman" w:hAnsi="Times New Roman" w:cs="Times New Roman"/>
          <w:sz w:val="24"/>
        </w:rPr>
        <w:t xml:space="preserve"> </w:t>
      </w:r>
      <w:r>
        <w:rPr>
          <w:rFonts w:ascii="Times New Roman" w:hAnsi="Times New Roman" w:cs="Times New Roman" w:hint="eastAsia"/>
          <w:sz w:val="24"/>
        </w:rPr>
        <w:t xml:space="preserve">literature quality scores </w:t>
      </w:r>
      <w:r>
        <w:rPr>
          <w:rFonts w:ascii="Times New Roman" w:hAnsi="Times New Roman" w:cs="Times New Roman"/>
          <w:sz w:val="24"/>
        </w:rPr>
        <w:t>of the included studies using the MINORS.</w:t>
      </w:r>
    </w:p>
    <w:tbl>
      <w:tblPr>
        <w:tblStyle w:val="a7"/>
        <w:tblW w:w="8296" w:type="dxa"/>
        <w:jc w:val="center"/>
        <w:tblLook w:val="04A0" w:firstRow="1" w:lastRow="0" w:firstColumn="1" w:lastColumn="0" w:noHBand="0" w:noVBand="1"/>
      </w:tblPr>
      <w:tblGrid>
        <w:gridCol w:w="1406"/>
        <w:gridCol w:w="767"/>
        <w:gridCol w:w="486"/>
        <w:gridCol w:w="484"/>
        <w:gridCol w:w="484"/>
        <w:gridCol w:w="484"/>
        <w:gridCol w:w="484"/>
        <w:gridCol w:w="484"/>
        <w:gridCol w:w="484"/>
        <w:gridCol w:w="484"/>
        <w:gridCol w:w="484"/>
        <w:gridCol w:w="591"/>
        <w:gridCol w:w="583"/>
        <w:gridCol w:w="591"/>
      </w:tblGrid>
      <w:tr w:rsidR="00EF6D85" w14:paraId="400CDECE" w14:textId="77777777">
        <w:trPr>
          <w:jc w:val="center"/>
        </w:trPr>
        <w:tc>
          <w:tcPr>
            <w:tcW w:w="1406" w:type="dxa"/>
            <w:vAlign w:val="center"/>
          </w:tcPr>
          <w:p w14:paraId="7D938CEA"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Corresponding author</w:t>
            </w:r>
          </w:p>
        </w:tc>
        <w:tc>
          <w:tcPr>
            <w:tcW w:w="767" w:type="dxa"/>
          </w:tcPr>
          <w:p w14:paraId="2091E25A"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Y</w:t>
            </w:r>
            <w:r>
              <w:rPr>
                <w:rFonts w:ascii="Times New Roman" w:hAnsi="Times New Roman" w:cs="Times New Roman" w:hint="eastAsia"/>
                <w:sz w:val="20"/>
                <w:szCs w:val="20"/>
              </w:rPr>
              <w:t>ear</w:t>
            </w:r>
          </w:p>
        </w:tc>
        <w:tc>
          <w:tcPr>
            <w:tcW w:w="486" w:type="dxa"/>
            <w:vAlign w:val="center"/>
          </w:tcPr>
          <w:p w14:paraId="17A54C1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Q1</w:t>
            </w:r>
          </w:p>
        </w:tc>
        <w:tc>
          <w:tcPr>
            <w:tcW w:w="484" w:type="dxa"/>
            <w:vAlign w:val="center"/>
          </w:tcPr>
          <w:p w14:paraId="3B66084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Q2</w:t>
            </w:r>
          </w:p>
        </w:tc>
        <w:tc>
          <w:tcPr>
            <w:tcW w:w="484" w:type="dxa"/>
            <w:vAlign w:val="center"/>
          </w:tcPr>
          <w:p w14:paraId="54590694"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Q3</w:t>
            </w:r>
          </w:p>
        </w:tc>
        <w:tc>
          <w:tcPr>
            <w:tcW w:w="484" w:type="dxa"/>
            <w:vAlign w:val="center"/>
          </w:tcPr>
          <w:p w14:paraId="765E33BA"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Q4</w:t>
            </w:r>
          </w:p>
        </w:tc>
        <w:tc>
          <w:tcPr>
            <w:tcW w:w="484" w:type="dxa"/>
            <w:vAlign w:val="center"/>
          </w:tcPr>
          <w:p w14:paraId="16F3703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Q5</w:t>
            </w:r>
          </w:p>
        </w:tc>
        <w:tc>
          <w:tcPr>
            <w:tcW w:w="484" w:type="dxa"/>
            <w:vAlign w:val="center"/>
          </w:tcPr>
          <w:p w14:paraId="1424BB62"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Q6</w:t>
            </w:r>
          </w:p>
        </w:tc>
        <w:tc>
          <w:tcPr>
            <w:tcW w:w="484" w:type="dxa"/>
            <w:vAlign w:val="center"/>
          </w:tcPr>
          <w:p w14:paraId="60356A6D"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Q7</w:t>
            </w:r>
          </w:p>
        </w:tc>
        <w:tc>
          <w:tcPr>
            <w:tcW w:w="484" w:type="dxa"/>
            <w:vAlign w:val="center"/>
          </w:tcPr>
          <w:p w14:paraId="7C40D0E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Q8</w:t>
            </w:r>
          </w:p>
        </w:tc>
        <w:tc>
          <w:tcPr>
            <w:tcW w:w="484" w:type="dxa"/>
            <w:vAlign w:val="center"/>
          </w:tcPr>
          <w:p w14:paraId="5D9B310A"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Q9</w:t>
            </w:r>
          </w:p>
        </w:tc>
        <w:tc>
          <w:tcPr>
            <w:tcW w:w="591" w:type="dxa"/>
            <w:vAlign w:val="center"/>
          </w:tcPr>
          <w:p w14:paraId="25B5480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Q10</w:t>
            </w:r>
          </w:p>
        </w:tc>
        <w:tc>
          <w:tcPr>
            <w:tcW w:w="583" w:type="dxa"/>
            <w:vAlign w:val="center"/>
          </w:tcPr>
          <w:p w14:paraId="369987B1"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Q11</w:t>
            </w:r>
          </w:p>
        </w:tc>
        <w:tc>
          <w:tcPr>
            <w:tcW w:w="591" w:type="dxa"/>
            <w:vAlign w:val="center"/>
          </w:tcPr>
          <w:p w14:paraId="3AF765E5"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Q12</w:t>
            </w:r>
          </w:p>
        </w:tc>
      </w:tr>
      <w:tr w:rsidR="00EF6D85" w14:paraId="574C203C" w14:textId="77777777">
        <w:trPr>
          <w:jc w:val="center"/>
        </w:trPr>
        <w:tc>
          <w:tcPr>
            <w:tcW w:w="1406" w:type="dxa"/>
            <w:vAlign w:val="center"/>
          </w:tcPr>
          <w:p w14:paraId="48CC4BCB"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Cheng Y</w:t>
            </w:r>
          </w:p>
        </w:tc>
        <w:tc>
          <w:tcPr>
            <w:tcW w:w="767" w:type="dxa"/>
            <w:vAlign w:val="center"/>
          </w:tcPr>
          <w:p w14:paraId="6084851C"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2024</w:t>
            </w:r>
          </w:p>
        </w:tc>
        <w:tc>
          <w:tcPr>
            <w:tcW w:w="486" w:type="dxa"/>
            <w:vAlign w:val="center"/>
          </w:tcPr>
          <w:p w14:paraId="56F35F42"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519A49E2"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w:t>
            </w:r>
          </w:p>
        </w:tc>
        <w:tc>
          <w:tcPr>
            <w:tcW w:w="484" w:type="dxa"/>
            <w:vAlign w:val="center"/>
          </w:tcPr>
          <w:p w14:paraId="271133F3"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5A02CABE"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3828B038"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0</w:t>
            </w:r>
          </w:p>
        </w:tc>
        <w:tc>
          <w:tcPr>
            <w:tcW w:w="484" w:type="dxa"/>
            <w:vAlign w:val="center"/>
          </w:tcPr>
          <w:p w14:paraId="0BFD1BF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0827122D"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5DF0FF58"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0180B940"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424F7D67"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83" w:type="dxa"/>
            <w:vAlign w:val="center"/>
          </w:tcPr>
          <w:p w14:paraId="7E8AB840"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2ACB60C5"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r>
      <w:tr w:rsidR="00EF6D85" w14:paraId="0FE12F2D" w14:textId="77777777">
        <w:trPr>
          <w:jc w:val="center"/>
        </w:trPr>
        <w:tc>
          <w:tcPr>
            <w:tcW w:w="1406" w:type="dxa"/>
            <w:vAlign w:val="center"/>
          </w:tcPr>
          <w:p w14:paraId="1E7D8041" w14:textId="77777777" w:rsidR="00EF6D85" w:rsidRDefault="00000000">
            <w:pPr>
              <w:jc w:val="center"/>
              <w:rPr>
                <w:rFonts w:ascii="AdvTT5235d5a9" w:eastAsia="宋体" w:hAnsi="AdvTT5235d5a9" w:cs="AdvTT5235d5a9"/>
                <w:kern w:val="0"/>
                <w:sz w:val="13"/>
                <w:szCs w:val="13"/>
              </w:rPr>
            </w:pPr>
            <w:bookmarkStart w:id="0" w:name="OLE_LINK2" w:colFirst="0" w:colLast="0"/>
            <w:r>
              <w:rPr>
                <w:rFonts w:ascii="AdvTT5235d5a9" w:eastAsia="宋体" w:hAnsi="AdvTT5235d5a9" w:cs="AdvTT5235d5a9" w:hint="eastAsia"/>
                <w:kern w:val="0"/>
                <w:sz w:val="13"/>
                <w:szCs w:val="13"/>
              </w:rPr>
              <w:t>Alexander M</w:t>
            </w:r>
          </w:p>
        </w:tc>
        <w:tc>
          <w:tcPr>
            <w:tcW w:w="767" w:type="dxa"/>
            <w:vAlign w:val="center"/>
          </w:tcPr>
          <w:p w14:paraId="4FAE0B03"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2024</w:t>
            </w:r>
          </w:p>
        </w:tc>
        <w:tc>
          <w:tcPr>
            <w:tcW w:w="486" w:type="dxa"/>
            <w:vAlign w:val="center"/>
          </w:tcPr>
          <w:p w14:paraId="62E9644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2EB8F11A"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w:t>
            </w:r>
          </w:p>
        </w:tc>
        <w:tc>
          <w:tcPr>
            <w:tcW w:w="484" w:type="dxa"/>
            <w:vAlign w:val="center"/>
          </w:tcPr>
          <w:p w14:paraId="08064F36"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75197925"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6D4978EC"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0</w:t>
            </w:r>
          </w:p>
        </w:tc>
        <w:tc>
          <w:tcPr>
            <w:tcW w:w="484" w:type="dxa"/>
            <w:vAlign w:val="center"/>
          </w:tcPr>
          <w:p w14:paraId="36B0F8E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3E4AC4C3"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556B41CF"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0EC87B4B"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3C2E9E99"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83" w:type="dxa"/>
            <w:vAlign w:val="center"/>
          </w:tcPr>
          <w:p w14:paraId="63872FD1"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544255C4"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r>
      <w:bookmarkEnd w:id="0"/>
      <w:tr w:rsidR="00EF6D85" w14:paraId="5C37BF66" w14:textId="77777777">
        <w:trPr>
          <w:jc w:val="center"/>
        </w:trPr>
        <w:tc>
          <w:tcPr>
            <w:tcW w:w="1406" w:type="dxa"/>
            <w:vAlign w:val="center"/>
          </w:tcPr>
          <w:p w14:paraId="4CDB8533"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Aix SP</w:t>
            </w:r>
          </w:p>
        </w:tc>
        <w:tc>
          <w:tcPr>
            <w:tcW w:w="767" w:type="dxa"/>
            <w:vAlign w:val="center"/>
          </w:tcPr>
          <w:p w14:paraId="1C91C3AE"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2023</w:t>
            </w:r>
          </w:p>
        </w:tc>
        <w:tc>
          <w:tcPr>
            <w:tcW w:w="486" w:type="dxa"/>
            <w:vAlign w:val="center"/>
          </w:tcPr>
          <w:p w14:paraId="1F0CAEF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44A23CBC"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1F00D8C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7E8A2EE0"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163531A0"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484" w:type="dxa"/>
            <w:vAlign w:val="center"/>
          </w:tcPr>
          <w:p w14:paraId="11BD907C"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305C91D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6A5449DC"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3EA26BD1"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1</w:t>
            </w:r>
          </w:p>
        </w:tc>
        <w:tc>
          <w:tcPr>
            <w:tcW w:w="591" w:type="dxa"/>
            <w:vAlign w:val="center"/>
          </w:tcPr>
          <w:p w14:paraId="780F042B"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583" w:type="dxa"/>
            <w:vAlign w:val="center"/>
          </w:tcPr>
          <w:p w14:paraId="731FDE41"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c>
          <w:tcPr>
            <w:tcW w:w="591" w:type="dxa"/>
            <w:vAlign w:val="center"/>
          </w:tcPr>
          <w:p w14:paraId="289E4E8A"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2</w:t>
            </w:r>
          </w:p>
        </w:tc>
      </w:tr>
      <w:tr w:rsidR="00EF6D85" w14:paraId="5057E52B" w14:textId="77777777">
        <w:trPr>
          <w:jc w:val="center"/>
        </w:trPr>
        <w:tc>
          <w:tcPr>
            <w:tcW w:w="1406" w:type="dxa"/>
            <w:vAlign w:val="center"/>
          </w:tcPr>
          <w:p w14:paraId="61B69FE4"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Olmedo ME</w:t>
            </w:r>
          </w:p>
        </w:tc>
        <w:tc>
          <w:tcPr>
            <w:tcW w:w="767" w:type="dxa"/>
            <w:vAlign w:val="center"/>
          </w:tcPr>
          <w:p w14:paraId="3620E6FD"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2021</w:t>
            </w:r>
          </w:p>
        </w:tc>
        <w:tc>
          <w:tcPr>
            <w:tcW w:w="486" w:type="dxa"/>
            <w:vAlign w:val="center"/>
          </w:tcPr>
          <w:p w14:paraId="274A46BD"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6788776E"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w:t>
            </w:r>
          </w:p>
        </w:tc>
        <w:tc>
          <w:tcPr>
            <w:tcW w:w="484" w:type="dxa"/>
            <w:vAlign w:val="center"/>
          </w:tcPr>
          <w:p w14:paraId="795AAEB1"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26ECC68C"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6489A14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0</w:t>
            </w:r>
          </w:p>
        </w:tc>
        <w:tc>
          <w:tcPr>
            <w:tcW w:w="484" w:type="dxa"/>
            <w:vAlign w:val="center"/>
          </w:tcPr>
          <w:p w14:paraId="0EFD1862"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1E9D172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0B8F26AA"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0DCB1144"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42621872"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83" w:type="dxa"/>
            <w:vAlign w:val="center"/>
          </w:tcPr>
          <w:p w14:paraId="4850B6D7"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5B831F62"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r>
      <w:tr w:rsidR="00EF6D85" w14:paraId="6EC9FED9" w14:textId="77777777">
        <w:trPr>
          <w:jc w:val="center"/>
        </w:trPr>
        <w:tc>
          <w:tcPr>
            <w:tcW w:w="1406" w:type="dxa"/>
            <w:vAlign w:val="center"/>
          </w:tcPr>
          <w:p w14:paraId="56FF720B" w14:textId="3A1CC7AB"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Trigo</w:t>
            </w:r>
            <w:r w:rsidR="00975849">
              <w:rPr>
                <w:rFonts w:ascii="AdvTT5235d5a9" w:eastAsia="宋体" w:hAnsi="AdvTT5235d5a9" w:cs="AdvTT5235d5a9" w:hint="eastAsia"/>
                <w:kern w:val="0"/>
                <w:sz w:val="13"/>
                <w:szCs w:val="13"/>
              </w:rPr>
              <w:t xml:space="preserve"> </w:t>
            </w:r>
            <w:r>
              <w:rPr>
                <w:rFonts w:ascii="AdvTT5235d5a9" w:eastAsia="宋体" w:hAnsi="AdvTT5235d5a9" w:cs="AdvTT5235d5a9" w:hint="eastAsia"/>
                <w:kern w:val="0"/>
                <w:sz w:val="13"/>
                <w:szCs w:val="13"/>
              </w:rPr>
              <w:t>J</w:t>
            </w:r>
          </w:p>
        </w:tc>
        <w:tc>
          <w:tcPr>
            <w:tcW w:w="767" w:type="dxa"/>
            <w:vAlign w:val="center"/>
          </w:tcPr>
          <w:p w14:paraId="20C6FE84"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2020</w:t>
            </w:r>
          </w:p>
        </w:tc>
        <w:tc>
          <w:tcPr>
            <w:tcW w:w="486" w:type="dxa"/>
            <w:vAlign w:val="center"/>
          </w:tcPr>
          <w:p w14:paraId="0D1EE4B9"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75394DB8"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w:t>
            </w:r>
          </w:p>
        </w:tc>
        <w:tc>
          <w:tcPr>
            <w:tcW w:w="484" w:type="dxa"/>
            <w:vAlign w:val="center"/>
          </w:tcPr>
          <w:p w14:paraId="326774BF"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45F68240"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1CEFBA4D"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0</w:t>
            </w:r>
          </w:p>
        </w:tc>
        <w:tc>
          <w:tcPr>
            <w:tcW w:w="484" w:type="dxa"/>
            <w:vAlign w:val="center"/>
          </w:tcPr>
          <w:p w14:paraId="33CAE8C6"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0A50D4BE"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59FE2436"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05C00563"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329B4B4E"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83" w:type="dxa"/>
            <w:vAlign w:val="center"/>
          </w:tcPr>
          <w:p w14:paraId="0AA4CCDA"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6F536EAE"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r>
      <w:tr w:rsidR="00EF6D85" w14:paraId="32BB012D" w14:textId="77777777">
        <w:trPr>
          <w:trHeight w:val="242"/>
          <w:jc w:val="center"/>
        </w:trPr>
        <w:tc>
          <w:tcPr>
            <w:tcW w:w="1406" w:type="dxa"/>
            <w:vAlign w:val="center"/>
          </w:tcPr>
          <w:p w14:paraId="5642AB90"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Calvo E</w:t>
            </w:r>
          </w:p>
        </w:tc>
        <w:tc>
          <w:tcPr>
            <w:tcW w:w="767" w:type="dxa"/>
            <w:vAlign w:val="center"/>
          </w:tcPr>
          <w:p w14:paraId="56BCA055" w14:textId="77777777" w:rsidR="00EF6D85" w:rsidRDefault="00000000">
            <w:pPr>
              <w:jc w:val="center"/>
              <w:rPr>
                <w:rFonts w:ascii="AdvTT5235d5a9" w:eastAsia="宋体" w:hAnsi="AdvTT5235d5a9" w:cs="AdvTT5235d5a9"/>
                <w:kern w:val="0"/>
                <w:sz w:val="13"/>
                <w:szCs w:val="13"/>
              </w:rPr>
            </w:pPr>
            <w:r>
              <w:rPr>
                <w:rFonts w:ascii="AdvTT5235d5a9" w:eastAsia="宋体" w:hAnsi="AdvTT5235d5a9" w:cs="AdvTT5235d5a9" w:hint="eastAsia"/>
                <w:kern w:val="0"/>
                <w:sz w:val="13"/>
                <w:szCs w:val="13"/>
              </w:rPr>
              <w:t>2017</w:t>
            </w:r>
          </w:p>
        </w:tc>
        <w:tc>
          <w:tcPr>
            <w:tcW w:w="486" w:type="dxa"/>
            <w:vAlign w:val="center"/>
          </w:tcPr>
          <w:p w14:paraId="1D5FC1BC"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7D980F80"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w:t>
            </w:r>
          </w:p>
        </w:tc>
        <w:tc>
          <w:tcPr>
            <w:tcW w:w="484" w:type="dxa"/>
            <w:vAlign w:val="center"/>
          </w:tcPr>
          <w:p w14:paraId="4D97A945"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4E459B00"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5F582E28"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54EFA898"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0923B6EC"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2</w:t>
            </w:r>
          </w:p>
        </w:tc>
        <w:tc>
          <w:tcPr>
            <w:tcW w:w="484" w:type="dxa"/>
            <w:vAlign w:val="center"/>
          </w:tcPr>
          <w:p w14:paraId="3A2D3E32"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0</w:t>
            </w:r>
          </w:p>
        </w:tc>
        <w:tc>
          <w:tcPr>
            <w:tcW w:w="484" w:type="dxa"/>
            <w:vAlign w:val="center"/>
          </w:tcPr>
          <w:p w14:paraId="74B7E26C"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4D763668"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83" w:type="dxa"/>
            <w:vAlign w:val="center"/>
          </w:tcPr>
          <w:p w14:paraId="4B120048"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c>
          <w:tcPr>
            <w:tcW w:w="591" w:type="dxa"/>
            <w:vAlign w:val="center"/>
          </w:tcPr>
          <w:p w14:paraId="0CA1B575" w14:textId="77777777" w:rsidR="00EF6D85" w:rsidRDefault="00000000">
            <w:pPr>
              <w:rPr>
                <w:rFonts w:ascii="Times New Roman" w:hAnsi="Times New Roman" w:cs="Times New Roman"/>
                <w:sz w:val="20"/>
                <w:szCs w:val="20"/>
              </w:rPr>
            </w:pPr>
            <w:r>
              <w:rPr>
                <w:rFonts w:ascii="Times New Roman" w:hAnsi="Times New Roman" w:cs="Times New Roman" w:hint="eastAsia"/>
                <w:sz w:val="20"/>
                <w:szCs w:val="20"/>
              </w:rPr>
              <w:t>/</w:t>
            </w:r>
          </w:p>
        </w:tc>
      </w:tr>
    </w:tbl>
    <w:p w14:paraId="4B28F39D" w14:textId="77777777" w:rsidR="00EF6D85" w:rsidRDefault="00EF6D85">
      <w:pPr>
        <w:widowControl/>
        <w:jc w:val="center"/>
        <w:rPr>
          <w:rFonts w:ascii="Times New Roman" w:hAnsi="Times New Roman" w:cs="Times New Roman"/>
          <w:spacing w:val="15"/>
          <w:sz w:val="20"/>
          <w:szCs w:val="20"/>
        </w:rPr>
      </w:pPr>
    </w:p>
    <w:p w14:paraId="7D16A6D2" w14:textId="77777777" w:rsidR="00EF6D85" w:rsidRDefault="00000000">
      <w:pPr>
        <w:jc w:val="center"/>
        <w:rPr>
          <w:rFonts w:ascii="Times New Roman" w:hAnsi="Times New Roman" w:cs="Times New Roman"/>
          <w:sz w:val="24"/>
        </w:rPr>
      </w:pPr>
      <w:r>
        <w:rPr>
          <w:rFonts w:ascii="Times New Roman" w:hAnsi="Times New Roman" w:cs="Times New Roman"/>
          <w:sz w:val="24"/>
        </w:rPr>
        <w:t>MINORS</w:t>
      </w:r>
    </w:p>
    <w:p w14:paraId="690ACFDB" w14:textId="77777777" w:rsidR="00EF6D85" w:rsidRDefault="00EF6D85">
      <w:pPr>
        <w:rPr>
          <w:rFonts w:ascii="Times New Roman" w:hAnsi="Times New Roman" w:cs="Times New Roman"/>
          <w:sz w:val="24"/>
        </w:rPr>
      </w:pPr>
    </w:p>
    <w:p w14:paraId="5ED4F14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Note: The items are scored 0 (not reported), 1 (reported but inadequate) or 2 (reported and adequate). The global ideal score being 16 for non-comparative studies and 24 for comparative studies.</w:t>
      </w:r>
    </w:p>
    <w:p w14:paraId="2A392023" w14:textId="77777777" w:rsidR="00EF6D85" w:rsidRDefault="00EF6D85">
      <w:pPr>
        <w:rPr>
          <w:rFonts w:ascii="Times New Roman" w:hAnsi="Times New Roman" w:cs="Times New Roman"/>
          <w:sz w:val="20"/>
          <w:szCs w:val="20"/>
        </w:rPr>
      </w:pPr>
    </w:p>
    <w:p w14:paraId="6C92B568"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 A clearly stated aim: the question addressed should be precise and relevant in the light of available literature</w:t>
      </w:r>
    </w:p>
    <w:p w14:paraId="534636B0"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 xml:space="preserve">2) Inclusion of consecutive patients: all patients potentially fit for inclusion (satisfying the criteria for inclusion) have been included in the study during the study period (no exclusion or details about the reasons for exclusion) </w:t>
      </w:r>
      <w:r>
        <w:rPr>
          <w:rFonts w:ascii="Times New Roman" w:hAnsi="Times New Roman" w:cs="Times New Roman"/>
          <w:sz w:val="20"/>
          <w:szCs w:val="20"/>
        </w:rPr>
        <w:t></w:t>
      </w:r>
    </w:p>
    <w:p w14:paraId="47ACEAF5"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3) Prospective collection of data: data were collected according to a protocol established before the beginning of the study</w:t>
      </w:r>
    </w:p>
    <w:p w14:paraId="4FBE9DD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4) Endpoints appropriate to the aim of the study: unambiguous explanation of the criteria used to evaluate the main outcome which should be in accordance with the question addressed by the study. Also, the endpoints should be assessed on an intention-to-treat basis.</w:t>
      </w:r>
    </w:p>
    <w:p w14:paraId="5EBAC721"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 xml:space="preserve">5) Unbiased assessment of the study endpoint: blind evaluation of objective endpoints and double-blind evaluation of subjective endpoints. </w:t>
      </w:r>
      <w:proofErr w:type="gramStart"/>
      <w:r>
        <w:rPr>
          <w:rFonts w:ascii="Times New Roman" w:hAnsi="Times New Roman" w:cs="Times New Roman"/>
          <w:sz w:val="20"/>
          <w:szCs w:val="20"/>
        </w:rPr>
        <w:t>Otherwise</w:t>
      </w:r>
      <w:proofErr w:type="gramEnd"/>
      <w:r>
        <w:rPr>
          <w:rFonts w:ascii="Times New Roman" w:hAnsi="Times New Roman" w:cs="Times New Roman"/>
          <w:sz w:val="20"/>
          <w:szCs w:val="20"/>
        </w:rPr>
        <w:t xml:space="preserve"> the reasons for not blinding should be stated.</w:t>
      </w:r>
    </w:p>
    <w:p w14:paraId="3E761E65"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6) Follow-up period appropriate to the aim of the study: the follow-up should be sufficiently long to allow the assessment of the main endpoint and possible adverse events</w:t>
      </w:r>
    </w:p>
    <w:p w14:paraId="5478E7A0"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7) Loss to follow up less than 5%: all patients should be included in the follow up. Otherwise, the proportion lost to follow up should not exceed the proportion experiencing the major endpoint</w:t>
      </w:r>
    </w:p>
    <w:p w14:paraId="3D5AC449"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8) Prospective calculation of the study size: information of the size of detectable difference of interest with a calculation of 95% confidence interval, according to the expected incidence of the outcome event, and information about the level for statistical significance and estimates of power when comparing the outcomes</w:t>
      </w:r>
    </w:p>
    <w:p w14:paraId="5E28F238" w14:textId="77777777" w:rsidR="00EF6D85" w:rsidRDefault="00EF6D85">
      <w:pPr>
        <w:rPr>
          <w:rFonts w:ascii="Times New Roman" w:hAnsi="Times New Roman" w:cs="Times New Roman"/>
          <w:sz w:val="20"/>
          <w:szCs w:val="20"/>
        </w:rPr>
      </w:pPr>
    </w:p>
    <w:p w14:paraId="63E1360B"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Additional criteria in the case of comparative study</w:t>
      </w:r>
    </w:p>
    <w:p w14:paraId="51E32CD2"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9) An adequate control group: having a gold standard diagnostic test or therapeutic intervention recognized as the optimal intervention according to the available published data</w:t>
      </w:r>
    </w:p>
    <w:p w14:paraId="133B528D"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10) Contemporary groups: control and studied group should be managed during the same time period (no historical comparison)</w:t>
      </w:r>
    </w:p>
    <w:p w14:paraId="65DAB207"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 xml:space="preserve">11) Baseline equivalence of groups: the groups should be similar regarding the criteria other than the </w:t>
      </w:r>
      <w:r>
        <w:rPr>
          <w:rFonts w:ascii="Times New Roman" w:hAnsi="Times New Roman" w:cs="Times New Roman"/>
          <w:sz w:val="20"/>
          <w:szCs w:val="20"/>
        </w:rPr>
        <w:lastRenderedPageBreak/>
        <w:t>studied endpoints. Absence of confounding factors that could bias the interpretation of the results</w:t>
      </w:r>
    </w:p>
    <w:p w14:paraId="11ECA956" w14:textId="77777777" w:rsidR="00EF6D85" w:rsidRDefault="00000000">
      <w:pPr>
        <w:rPr>
          <w:rFonts w:ascii="Times New Roman" w:hAnsi="Times New Roman" w:cs="Times New Roman"/>
          <w:sz w:val="20"/>
          <w:szCs w:val="20"/>
        </w:rPr>
      </w:pPr>
      <w:r>
        <w:rPr>
          <w:rFonts w:ascii="Times New Roman" w:hAnsi="Times New Roman" w:cs="Times New Roman"/>
          <w:sz w:val="20"/>
          <w:szCs w:val="20"/>
        </w:rPr>
        <w:t>12) Adequate statistical analyses: whether the statistics were in accordance with the type of study with calculation of confidence intervals or relative risk</w:t>
      </w:r>
    </w:p>
    <w:sectPr w:rsidR="00EF6D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7C97A" w14:textId="77777777" w:rsidR="00F75258" w:rsidRDefault="00F75258" w:rsidP="00975849">
      <w:r>
        <w:separator/>
      </w:r>
    </w:p>
  </w:endnote>
  <w:endnote w:type="continuationSeparator" w:id="0">
    <w:p w14:paraId="01E244BF" w14:textId="77777777" w:rsidR="00F75258" w:rsidRDefault="00F75258" w:rsidP="0097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dvTT5235d5a9">
    <w:altName w:val="Cambria"/>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C66CB" w14:textId="77777777" w:rsidR="00F75258" w:rsidRDefault="00F75258" w:rsidP="00975849">
      <w:r>
        <w:separator/>
      </w:r>
    </w:p>
  </w:footnote>
  <w:footnote w:type="continuationSeparator" w:id="0">
    <w:p w14:paraId="5A39F5C0" w14:textId="77777777" w:rsidR="00F75258" w:rsidRDefault="00F75258" w:rsidP="009758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M2MjNlMzkzMjFhMWYzMTNiOTFhODFhMDMxMmEzMDgifQ=="/>
  </w:docVars>
  <w:rsids>
    <w:rsidRoot w:val="13A16D20"/>
    <w:rsid w:val="00007B88"/>
    <w:rsid w:val="00053D18"/>
    <w:rsid w:val="00054B48"/>
    <w:rsid w:val="000C0FB5"/>
    <w:rsid w:val="000C1B1F"/>
    <w:rsid w:val="000F4AEC"/>
    <w:rsid w:val="00101D4A"/>
    <w:rsid w:val="00116130"/>
    <w:rsid w:val="00137B8F"/>
    <w:rsid w:val="00166216"/>
    <w:rsid w:val="0018467D"/>
    <w:rsid w:val="001C4583"/>
    <w:rsid w:val="001E28B2"/>
    <w:rsid w:val="0020120A"/>
    <w:rsid w:val="002249CB"/>
    <w:rsid w:val="00224B2A"/>
    <w:rsid w:val="00234F11"/>
    <w:rsid w:val="00263897"/>
    <w:rsid w:val="00275762"/>
    <w:rsid w:val="00297E25"/>
    <w:rsid w:val="002A1FE1"/>
    <w:rsid w:val="002B036A"/>
    <w:rsid w:val="002F0592"/>
    <w:rsid w:val="00347E87"/>
    <w:rsid w:val="003561EB"/>
    <w:rsid w:val="003571AE"/>
    <w:rsid w:val="003821D6"/>
    <w:rsid w:val="003844C0"/>
    <w:rsid w:val="00394C2E"/>
    <w:rsid w:val="003A7E69"/>
    <w:rsid w:val="003C2160"/>
    <w:rsid w:val="003E5791"/>
    <w:rsid w:val="0049729B"/>
    <w:rsid w:val="004B269B"/>
    <w:rsid w:val="004C7451"/>
    <w:rsid w:val="00526B01"/>
    <w:rsid w:val="005C0413"/>
    <w:rsid w:val="005D587B"/>
    <w:rsid w:val="005E2168"/>
    <w:rsid w:val="00600771"/>
    <w:rsid w:val="00601843"/>
    <w:rsid w:val="00604589"/>
    <w:rsid w:val="006741F7"/>
    <w:rsid w:val="00676F79"/>
    <w:rsid w:val="006774BB"/>
    <w:rsid w:val="006D4463"/>
    <w:rsid w:val="006D5A57"/>
    <w:rsid w:val="00770F3E"/>
    <w:rsid w:val="007F438C"/>
    <w:rsid w:val="00862A8B"/>
    <w:rsid w:val="0087743F"/>
    <w:rsid w:val="008D47B3"/>
    <w:rsid w:val="008F1B17"/>
    <w:rsid w:val="009714E0"/>
    <w:rsid w:val="009728BE"/>
    <w:rsid w:val="00975849"/>
    <w:rsid w:val="009A7469"/>
    <w:rsid w:val="009F0D8F"/>
    <w:rsid w:val="00A056A6"/>
    <w:rsid w:val="00A11C26"/>
    <w:rsid w:val="00AC6E5E"/>
    <w:rsid w:val="00AD4721"/>
    <w:rsid w:val="00B110A5"/>
    <w:rsid w:val="00B26209"/>
    <w:rsid w:val="00B30FBE"/>
    <w:rsid w:val="00B564F2"/>
    <w:rsid w:val="00B7233F"/>
    <w:rsid w:val="00B731A0"/>
    <w:rsid w:val="00BA7456"/>
    <w:rsid w:val="00BE4FE7"/>
    <w:rsid w:val="00C11F38"/>
    <w:rsid w:val="00C54556"/>
    <w:rsid w:val="00C558F2"/>
    <w:rsid w:val="00C74FAB"/>
    <w:rsid w:val="00C80AF4"/>
    <w:rsid w:val="00C9378C"/>
    <w:rsid w:val="00CD6926"/>
    <w:rsid w:val="00CE4860"/>
    <w:rsid w:val="00CF4EEA"/>
    <w:rsid w:val="00D16EDB"/>
    <w:rsid w:val="00D211BE"/>
    <w:rsid w:val="00DA5565"/>
    <w:rsid w:val="00DB476D"/>
    <w:rsid w:val="00DC23A0"/>
    <w:rsid w:val="00DC26EE"/>
    <w:rsid w:val="00DC76DA"/>
    <w:rsid w:val="00DD57A6"/>
    <w:rsid w:val="00DF1F0C"/>
    <w:rsid w:val="00E5305A"/>
    <w:rsid w:val="00E747B6"/>
    <w:rsid w:val="00E9766F"/>
    <w:rsid w:val="00EA22CC"/>
    <w:rsid w:val="00EE4449"/>
    <w:rsid w:val="00EF6D85"/>
    <w:rsid w:val="00F06F57"/>
    <w:rsid w:val="00F75258"/>
    <w:rsid w:val="00FA66F6"/>
    <w:rsid w:val="00FC7EC5"/>
    <w:rsid w:val="00FD52FF"/>
    <w:rsid w:val="01FE5971"/>
    <w:rsid w:val="035717DD"/>
    <w:rsid w:val="0780737B"/>
    <w:rsid w:val="08A97A1C"/>
    <w:rsid w:val="0E385649"/>
    <w:rsid w:val="0F4D6676"/>
    <w:rsid w:val="13A16D20"/>
    <w:rsid w:val="239A2F99"/>
    <w:rsid w:val="29FD1087"/>
    <w:rsid w:val="2D3E79D6"/>
    <w:rsid w:val="33815631"/>
    <w:rsid w:val="3BFA1602"/>
    <w:rsid w:val="40C369D1"/>
    <w:rsid w:val="4BD10C5D"/>
    <w:rsid w:val="51BD4CC1"/>
    <w:rsid w:val="579345CE"/>
    <w:rsid w:val="57FE1189"/>
    <w:rsid w:val="5BD615F6"/>
    <w:rsid w:val="5C1A3BE7"/>
    <w:rsid w:val="5ED27112"/>
    <w:rsid w:val="62DD6863"/>
    <w:rsid w:val="62E5404C"/>
    <w:rsid w:val="66997FD2"/>
    <w:rsid w:val="67D55E7B"/>
    <w:rsid w:val="688B27D8"/>
    <w:rsid w:val="6A875BA3"/>
    <w:rsid w:val="6D597534"/>
    <w:rsid w:val="70B226F6"/>
    <w:rsid w:val="73D5156F"/>
    <w:rsid w:val="75C72748"/>
    <w:rsid w:val="793A7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A9584"/>
  <w15:docId w15:val="{685A54E2-6B1D-4FC6-9041-9B1E0EC1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439</Words>
  <Characters>2508</Characters>
  <Application>Microsoft Office Word</Application>
  <DocSecurity>0</DocSecurity>
  <Lines>20</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真真假假</dc:creator>
  <cp:lastModifiedBy>8617780548023</cp:lastModifiedBy>
  <cp:revision>16</cp:revision>
  <dcterms:created xsi:type="dcterms:W3CDTF">2022-12-12T01:54:00Z</dcterms:created>
  <dcterms:modified xsi:type="dcterms:W3CDTF">2024-07-09T10:01:00Z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431B3F6FF2AF4F2DAEFC70EE514F591C_13</vt:lpwstr>
  </property>
</Properties>
</file>