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A6269" w14:textId="33177C0A" w:rsidR="008F202A" w:rsidRDefault="008F202A" w:rsidP="008F202A">
      <w:pPr>
        <w:pStyle w:val="Heading1"/>
      </w:pPr>
      <w:r>
        <w:t>Appendix 5: D</w:t>
      </w:r>
      <w:bookmarkStart w:id="0" w:name="_GoBack"/>
      <w:bookmarkEnd w:id="0"/>
      <w:r>
        <w:t>ose modifications for fedratinib during FEDORA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8F202A" w:rsidRPr="004F0F45" w14:paraId="00FB7586" w14:textId="77777777" w:rsidTr="006B73CC">
        <w:tc>
          <w:tcPr>
            <w:tcW w:w="4957" w:type="dxa"/>
          </w:tcPr>
          <w:p w14:paraId="4C1E18D5" w14:textId="77777777" w:rsidR="008F202A" w:rsidRPr="004F0F45" w:rsidRDefault="008F202A" w:rsidP="006B73CC">
            <w:pPr>
              <w:spacing w:line="240" w:lineRule="auto"/>
              <w:jc w:val="left"/>
              <w:rPr>
                <w:b/>
                <w:lang w:eastAsia="ja-JP"/>
              </w:rPr>
            </w:pPr>
            <w:r w:rsidRPr="004F0F45">
              <w:rPr>
                <w:b/>
                <w:lang w:eastAsia="ja-JP"/>
              </w:rPr>
              <w:t>Toxicity observed</w:t>
            </w:r>
          </w:p>
        </w:tc>
        <w:tc>
          <w:tcPr>
            <w:tcW w:w="4961" w:type="dxa"/>
          </w:tcPr>
          <w:p w14:paraId="39AB702E" w14:textId="77777777" w:rsidR="008F202A" w:rsidRPr="004F0F45" w:rsidRDefault="008F202A" w:rsidP="006B73CC">
            <w:pPr>
              <w:spacing w:line="240" w:lineRule="auto"/>
              <w:rPr>
                <w:b/>
                <w:lang w:eastAsia="ja-JP"/>
              </w:rPr>
            </w:pPr>
            <w:r w:rsidRPr="004F0F45">
              <w:rPr>
                <w:b/>
                <w:lang w:eastAsia="ja-JP"/>
              </w:rPr>
              <w:t>Dose reduction</w:t>
            </w:r>
          </w:p>
        </w:tc>
      </w:tr>
      <w:tr w:rsidR="008F202A" w:rsidRPr="004F0F45" w14:paraId="07A3EA6B" w14:textId="77777777" w:rsidTr="006B73CC">
        <w:tc>
          <w:tcPr>
            <w:tcW w:w="9918" w:type="dxa"/>
            <w:gridSpan w:val="2"/>
          </w:tcPr>
          <w:p w14:paraId="49D83CDE" w14:textId="77777777" w:rsidR="008F202A" w:rsidRPr="004F0F45" w:rsidRDefault="008F202A" w:rsidP="006B73CC">
            <w:pPr>
              <w:spacing w:line="240" w:lineRule="auto"/>
              <w:jc w:val="left"/>
              <w:rPr>
                <w:b/>
                <w:lang w:eastAsia="ja-JP"/>
              </w:rPr>
            </w:pPr>
            <w:r w:rsidRPr="004F0F45">
              <w:rPr>
                <w:b/>
                <w:lang w:eastAsia="ja-JP"/>
              </w:rPr>
              <w:t>Haematological toxicity</w:t>
            </w:r>
          </w:p>
        </w:tc>
      </w:tr>
      <w:tr w:rsidR="008F202A" w:rsidRPr="004F0F45" w14:paraId="089A2168" w14:textId="77777777" w:rsidTr="006B73CC">
        <w:tc>
          <w:tcPr>
            <w:tcW w:w="4957" w:type="dxa"/>
          </w:tcPr>
          <w:p w14:paraId="3664BAAD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 xml:space="preserve">Grade 3 thrombocytopenia (&lt;50 </w:t>
            </w:r>
            <w:r>
              <w:rPr>
                <w:rFonts w:cstheme="minorHAnsi"/>
              </w:rPr>
              <w:t>×</w:t>
            </w:r>
            <w:r w:rsidRPr="004F0F45">
              <w:rPr>
                <w:lang w:eastAsia="ja-JP"/>
              </w:rPr>
              <w:t>10</w:t>
            </w:r>
            <w:r w:rsidRPr="004F0F45">
              <w:rPr>
                <w:vertAlign w:val="superscript"/>
                <w:lang w:eastAsia="ja-JP"/>
              </w:rPr>
              <w:t>9</w:t>
            </w:r>
            <w:r w:rsidRPr="004F0F45">
              <w:rPr>
                <w:lang w:eastAsia="ja-JP"/>
              </w:rPr>
              <w:t>/L) with bleeding</w:t>
            </w:r>
          </w:p>
          <w:p w14:paraId="515A5457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 xml:space="preserve">Grade 4 thrombocytopenia (&lt;25 </w:t>
            </w:r>
            <w:r>
              <w:rPr>
                <w:rFonts w:cstheme="minorHAnsi"/>
              </w:rPr>
              <w:t>×</w:t>
            </w:r>
            <w:r w:rsidRPr="004F0F45">
              <w:rPr>
                <w:lang w:eastAsia="ja-JP"/>
              </w:rPr>
              <w:t>10</w:t>
            </w:r>
            <w:r w:rsidRPr="004F0F45">
              <w:rPr>
                <w:vertAlign w:val="superscript"/>
                <w:lang w:eastAsia="ja-JP"/>
              </w:rPr>
              <w:t>9</w:t>
            </w:r>
            <w:r w:rsidRPr="004F0F45">
              <w:rPr>
                <w:lang w:eastAsia="ja-JP"/>
              </w:rPr>
              <w:t>/L)</w:t>
            </w:r>
          </w:p>
        </w:tc>
        <w:tc>
          <w:tcPr>
            <w:tcW w:w="4961" w:type="dxa"/>
          </w:tcPr>
          <w:p w14:paraId="1162711D" w14:textId="77777777" w:rsidR="008F202A" w:rsidRPr="004F0F45" w:rsidRDefault="008F202A" w:rsidP="006B73CC">
            <w:pPr>
              <w:spacing w:line="24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Interrupt fedratinib until platelet count </w:t>
            </w:r>
            <w:r>
              <w:rPr>
                <w:rFonts w:cstheme="minorHAnsi"/>
                <w:lang w:eastAsia="ja-JP"/>
              </w:rPr>
              <w:t>≥</w:t>
            </w:r>
            <w:r>
              <w:rPr>
                <w:lang w:eastAsia="ja-JP"/>
              </w:rPr>
              <w:t xml:space="preserve">75 </w:t>
            </w:r>
            <w:r>
              <w:rPr>
                <w:rFonts w:cstheme="minorHAnsi"/>
              </w:rPr>
              <w:t>×</w:t>
            </w:r>
            <w:r>
              <w:rPr>
                <w:lang w:eastAsia="ja-JP"/>
              </w:rPr>
              <w:t>10</w:t>
            </w:r>
            <w:r>
              <w:rPr>
                <w:vertAlign w:val="superscript"/>
                <w:lang w:eastAsia="ja-JP"/>
              </w:rPr>
              <w:t>9</w:t>
            </w:r>
            <w:r>
              <w:rPr>
                <w:lang w:eastAsia="ja-JP"/>
              </w:rPr>
              <w:t>/L. Restart at 100mg daily below the last given dose.</w:t>
            </w:r>
          </w:p>
        </w:tc>
      </w:tr>
      <w:tr w:rsidR="008F202A" w:rsidRPr="004F0F45" w14:paraId="76712879" w14:textId="77777777" w:rsidTr="006B73CC">
        <w:tc>
          <w:tcPr>
            <w:tcW w:w="4957" w:type="dxa"/>
          </w:tcPr>
          <w:p w14:paraId="1C004B48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 xml:space="preserve">Grade 4 neutropenia (&lt;0.5 </w:t>
            </w:r>
            <w:r>
              <w:rPr>
                <w:rFonts w:cstheme="minorHAnsi"/>
              </w:rPr>
              <w:t>×</w:t>
            </w:r>
            <w:r w:rsidRPr="004F0F45">
              <w:rPr>
                <w:lang w:eastAsia="ja-JP"/>
              </w:rPr>
              <w:t>10</w:t>
            </w:r>
            <w:r w:rsidRPr="004F0F45">
              <w:rPr>
                <w:vertAlign w:val="superscript"/>
                <w:lang w:eastAsia="ja-JP"/>
              </w:rPr>
              <w:t>9</w:t>
            </w:r>
            <w:r w:rsidRPr="004F0F45">
              <w:rPr>
                <w:lang w:eastAsia="ja-JP"/>
              </w:rPr>
              <w:t>/L)</w:t>
            </w:r>
          </w:p>
        </w:tc>
        <w:tc>
          <w:tcPr>
            <w:tcW w:w="4961" w:type="dxa"/>
          </w:tcPr>
          <w:p w14:paraId="5254BAFC" w14:textId="77777777" w:rsidR="008F202A" w:rsidRPr="004F0F45" w:rsidRDefault="008F202A" w:rsidP="006B73CC">
            <w:pPr>
              <w:spacing w:line="240" w:lineRule="auto"/>
              <w:rPr>
                <w:lang w:eastAsia="ja-JP"/>
              </w:rPr>
            </w:pPr>
            <w:r w:rsidRPr="004F0F45">
              <w:rPr>
                <w:lang w:eastAsia="ja-JP"/>
              </w:rPr>
              <w:t xml:space="preserve">Interrupt fedratinib until neutrophil count </w:t>
            </w:r>
            <w:r w:rsidRPr="004F0F45">
              <w:rPr>
                <w:rFonts w:cstheme="minorHAnsi"/>
                <w:lang w:eastAsia="ja-JP"/>
              </w:rPr>
              <w:t>≥</w:t>
            </w:r>
            <w:r w:rsidRPr="004F0F45">
              <w:rPr>
                <w:lang w:eastAsia="ja-JP"/>
              </w:rPr>
              <w:t xml:space="preserve">1.5 </w:t>
            </w:r>
            <w:r>
              <w:rPr>
                <w:rFonts w:cstheme="minorHAnsi"/>
              </w:rPr>
              <w:t>×</w:t>
            </w:r>
            <w:r w:rsidRPr="004F0F45">
              <w:rPr>
                <w:lang w:eastAsia="ja-JP"/>
              </w:rPr>
              <w:t>10</w:t>
            </w:r>
            <w:r w:rsidRPr="004F0F45">
              <w:rPr>
                <w:vertAlign w:val="superscript"/>
                <w:lang w:eastAsia="ja-JP"/>
              </w:rPr>
              <w:t>9</w:t>
            </w:r>
            <w:r w:rsidRPr="004F0F45">
              <w:rPr>
                <w:lang w:eastAsia="ja-JP"/>
              </w:rPr>
              <w:t>/L, or baseline. Restart at 100mg daily below the last given dose.</w:t>
            </w:r>
          </w:p>
          <w:p w14:paraId="1796275F" w14:textId="77777777" w:rsidR="008F202A" w:rsidRPr="004F0F45" w:rsidRDefault="008F202A" w:rsidP="006B73CC">
            <w:pPr>
              <w:spacing w:line="240" w:lineRule="auto"/>
            </w:pPr>
            <w:r w:rsidRPr="004F0F45">
              <w:rPr>
                <w:lang w:eastAsia="ja-JP"/>
              </w:rPr>
              <w:t>Granulocyte growth factors may be used at investigator’s discretion.</w:t>
            </w:r>
          </w:p>
        </w:tc>
      </w:tr>
      <w:tr w:rsidR="008F202A" w:rsidRPr="004F0F45" w14:paraId="6FAD8EDA" w14:textId="77777777" w:rsidTr="006B73CC">
        <w:tc>
          <w:tcPr>
            <w:tcW w:w="4957" w:type="dxa"/>
          </w:tcPr>
          <w:p w14:paraId="6E2A964D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Grade 3-4 anaemia (haemoglobin &lt;80g/L), transfusion indicated</w:t>
            </w:r>
          </w:p>
        </w:tc>
        <w:tc>
          <w:tcPr>
            <w:tcW w:w="4961" w:type="dxa"/>
          </w:tcPr>
          <w:p w14:paraId="72D4FAFC" w14:textId="77777777" w:rsidR="008F202A" w:rsidRPr="004F0F45" w:rsidRDefault="008F202A" w:rsidP="006B73CC">
            <w:pPr>
              <w:spacing w:line="240" w:lineRule="auto"/>
            </w:pPr>
            <w:r w:rsidRPr="004F0F45">
              <w:rPr>
                <w:lang w:eastAsia="ja-JP"/>
              </w:rPr>
              <w:t xml:space="preserve">Interrupt fedratinib until haemoglobin concentration </w:t>
            </w:r>
            <w:r w:rsidRPr="004F0F45">
              <w:rPr>
                <w:rFonts w:cstheme="minorHAnsi"/>
                <w:lang w:eastAsia="ja-JP"/>
              </w:rPr>
              <w:t>≥100g/L</w:t>
            </w:r>
            <w:r w:rsidRPr="004F0F45">
              <w:rPr>
                <w:lang w:eastAsia="ja-JP"/>
              </w:rPr>
              <w:t>, or baseline. Restart at 100mg daily below the last given dose.</w:t>
            </w:r>
          </w:p>
        </w:tc>
      </w:tr>
      <w:tr w:rsidR="008F202A" w:rsidRPr="004F0F45" w14:paraId="4DAB9F88" w14:textId="77777777" w:rsidTr="006B73CC">
        <w:tc>
          <w:tcPr>
            <w:tcW w:w="4957" w:type="dxa"/>
          </w:tcPr>
          <w:p w14:paraId="704E4464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Recurrent grade 4 haematological toxicity</w:t>
            </w:r>
          </w:p>
        </w:tc>
        <w:tc>
          <w:tcPr>
            <w:tcW w:w="4961" w:type="dxa"/>
          </w:tcPr>
          <w:p w14:paraId="05A2B2A2" w14:textId="77777777" w:rsidR="008F202A" w:rsidRPr="004F0F45" w:rsidRDefault="008F202A" w:rsidP="006B73CC">
            <w:pPr>
              <w:spacing w:line="240" w:lineRule="auto"/>
            </w:pPr>
            <w:r w:rsidRPr="004F0F45">
              <w:t>Discontinuation, as per investigator’s discretion</w:t>
            </w:r>
          </w:p>
        </w:tc>
      </w:tr>
      <w:tr w:rsidR="008F202A" w:rsidRPr="004F0F45" w14:paraId="36FC1DD3" w14:textId="77777777" w:rsidTr="006B73CC">
        <w:tc>
          <w:tcPr>
            <w:tcW w:w="9918" w:type="dxa"/>
            <w:gridSpan w:val="2"/>
          </w:tcPr>
          <w:p w14:paraId="4C140477" w14:textId="77777777" w:rsidR="008F202A" w:rsidRPr="004F0F45" w:rsidRDefault="008F202A" w:rsidP="006B73CC">
            <w:pPr>
              <w:spacing w:line="240" w:lineRule="auto"/>
              <w:jc w:val="left"/>
              <w:rPr>
                <w:b/>
              </w:rPr>
            </w:pPr>
            <w:r w:rsidRPr="004F0F45">
              <w:rPr>
                <w:b/>
              </w:rPr>
              <w:t>Non-haematological toxicity</w:t>
            </w:r>
          </w:p>
        </w:tc>
      </w:tr>
      <w:tr w:rsidR="008F202A" w:rsidRPr="004F0F45" w14:paraId="3D780CC2" w14:textId="77777777" w:rsidTr="006B73CC">
        <w:tc>
          <w:tcPr>
            <w:tcW w:w="4957" w:type="dxa"/>
          </w:tcPr>
          <w:p w14:paraId="01110445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Grade 3-4 nausea, vomiting or diarrhoea not responding to supportive measures within 48 hours</w:t>
            </w:r>
          </w:p>
        </w:tc>
        <w:tc>
          <w:tcPr>
            <w:tcW w:w="4961" w:type="dxa"/>
          </w:tcPr>
          <w:p w14:paraId="04DD6BAA" w14:textId="77777777" w:rsidR="008F202A" w:rsidRPr="004F0F45" w:rsidRDefault="008F202A" w:rsidP="006B73CC">
            <w:pPr>
              <w:spacing w:line="240" w:lineRule="auto"/>
            </w:pPr>
            <w:r w:rsidRPr="004F0F45">
              <w:t xml:space="preserve">Interrupt fedratinib until resolved to </w:t>
            </w:r>
            <w:r w:rsidRPr="004F0F45">
              <w:rPr>
                <w:rFonts w:cstheme="minorHAnsi"/>
              </w:rPr>
              <w:t>≤</w:t>
            </w:r>
            <w:r w:rsidRPr="004F0F45">
              <w:t>Grade 1 or baseline.</w:t>
            </w:r>
            <w:r>
              <w:t xml:space="preserve"> Check for thiamine deficiency associated with gastrointestinal toxicity.</w:t>
            </w:r>
            <w:r w:rsidRPr="004F0F45">
              <w:t xml:space="preserve"> </w:t>
            </w:r>
            <w:r w:rsidRPr="004F0F45">
              <w:rPr>
                <w:lang w:eastAsia="ja-JP"/>
              </w:rPr>
              <w:t>Restart at 100mg daily below the last given dose.</w:t>
            </w:r>
          </w:p>
        </w:tc>
      </w:tr>
      <w:tr w:rsidR="008F202A" w:rsidRPr="004F0F45" w14:paraId="04ABA679" w14:textId="77777777" w:rsidTr="006B73CC">
        <w:tc>
          <w:tcPr>
            <w:tcW w:w="4957" w:type="dxa"/>
          </w:tcPr>
          <w:p w14:paraId="418E560F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Grade 3-4 rise in</w:t>
            </w:r>
            <w:r>
              <w:t xml:space="preserve"> alanine transferase (</w:t>
            </w:r>
            <w:r w:rsidRPr="004F0F45">
              <w:rPr>
                <w:lang w:eastAsia="ja-JP"/>
              </w:rPr>
              <w:t>ALT</w:t>
            </w:r>
            <w:r>
              <w:rPr>
                <w:lang w:eastAsia="ja-JP"/>
              </w:rPr>
              <w:t>)</w:t>
            </w:r>
            <w:r w:rsidRPr="004F0F45">
              <w:rPr>
                <w:lang w:eastAsia="ja-JP"/>
              </w:rPr>
              <w:t xml:space="preserve">, </w:t>
            </w:r>
            <w:r>
              <w:t xml:space="preserve">aspartate </w:t>
            </w:r>
            <w:r w:rsidRPr="00435D21">
              <w:t>aminotransferase</w:t>
            </w:r>
            <w:r w:rsidRPr="004F0F45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(</w:t>
            </w:r>
            <w:r w:rsidRPr="004F0F45">
              <w:rPr>
                <w:lang w:eastAsia="ja-JP"/>
              </w:rPr>
              <w:t>AST</w:t>
            </w:r>
            <w:r>
              <w:rPr>
                <w:lang w:eastAsia="ja-JP"/>
              </w:rPr>
              <w:t>)</w:t>
            </w:r>
            <w:r w:rsidRPr="004F0F45">
              <w:rPr>
                <w:lang w:eastAsia="ja-JP"/>
              </w:rPr>
              <w:t>, bilirubin, amylase, or lipase concentration</w:t>
            </w:r>
          </w:p>
        </w:tc>
        <w:tc>
          <w:tcPr>
            <w:tcW w:w="4961" w:type="dxa"/>
          </w:tcPr>
          <w:p w14:paraId="0C886767" w14:textId="77777777" w:rsidR="008F202A" w:rsidRPr="004F0F45" w:rsidRDefault="008F202A" w:rsidP="006B73CC">
            <w:pPr>
              <w:spacing w:line="240" w:lineRule="auto"/>
              <w:rPr>
                <w:lang w:eastAsia="ja-JP"/>
              </w:rPr>
            </w:pPr>
            <w:r w:rsidRPr="004F0F45">
              <w:t xml:space="preserve">Interrupt fedratinib until resolved to </w:t>
            </w:r>
            <w:r w:rsidRPr="004F0F45">
              <w:rPr>
                <w:rFonts w:cstheme="minorHAnsi"/>
              </w:rPr>
              <w:t>≤</w:t>
            </w:r>
            <w:r w:rsidRPr="004F0F45">
              <w:t xml:space="preserve">Grade 1 or baseline. </w:t>
            </w:r>
            <w:r w:rsidRPr="004F0F45">
              <w:rPr>
                <w:lang w:eastAsia="ja-JP"/>
              </w:rPr>
              <w:t>Restart at 100mg daily below the last given dose.</w:t>
            </w:r>
          </w:p>
          <w:p w14:paraId="67F387BF" w14:textId="77777777" w:rsidR="008F202A" w:rsidRPr="004F0F45" w:rsidRDefault="008F202A" w:rsidP="006B73CC">
            <w:pPr>
              <w:spacing w:line="240" w:lineRule="auto"/>
            </w:pPr>
            <w:r w:rsidRPr="004F0F45">
              <w:rPr>
                <w:lang w:eastAsia="ja-JP"/>
              </w:rPr>
              <w:t xml:space="preserve">Monitor </w:t>
            </w:r>
            <w:bookmarkStart w:id="1" w:name="_Hlk148966473"/>
            <w:r w:rsidRPr="004F0F45">
              <w:rPr>
                <w:lang w:eastAsia="ja-JP"/>
              </w:rPr>
              <w:t>ALT, AST,</w:t>
            </w:r>
            <w:bookmarkEnd w:id="1"/>
            <w:r w:rsidRPr="004F0F45">
              <w:rPr>
                <w:lang w:eastAsia="ja-JP"/>
              </w:rPr>
              <w:t xml:space="preserve"> bilirubin (total and direct), amylase and lipase every 2 weeks for at least 3 months following the dose reduction. If re-occurrence of grade 3-4 rise, discontinue treatment.</w:t>
            </w:r>
          </w:p>
        </w:tc>
      </w:tr>
      <w:tr w:rsidR="008F202A" w:rsidRPr="004F0F45" w14:paraId="03DD4D67" w14:textId="77777777" w:rsidTr="006B73CC">
        <w:tc>
          <w:tcPr>
            <w:tcW w:w="4957" w:type="dxa"/>
          </w:tcPr>
          <w:p w14:paraId="481E1BA4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Grade 3-4 other non-haematological toxicity</w:t>
            </w:r>
          </w:p>
        </w:tc>
        <w:tc>
          <w:tcPr>
            <w:tcW w:w="4961" w:type="dxa"/>
          </w:tcPr>
          <w:p w14:paraId="46173872" w14:textId="77777777" w:rsidR="008F202A" w:rsidRPr="004F0F45" w:rsidRDefault="008F202A" w:rsidP="006B73CC">
            <w:pPr>
              <w:spacing w:line="240" w:lineRule="auto"/>
              <w:rPr>
                <w:lang w:eastAsia="ja-JP"/>
              </w:rPr>
            </w:pPr>
            <w:r w:rsidRPr="004F0F45">
              <w:t xml:space="preserve">Interrupt fedratinib until resolved to </w:t>
            </w:r>
            <w:r w:rsidRPr="004F0F45">
              <w:rPr>
                <w:rFonts w:cstheme="minorHAnsi"/>
              </w:rPr>
              <w:t>≤</w:t>
            </w:r>
            <w:r w:rsidRPr="004F0F45">
              <w:t xml:space="preserve">Grade 1 or baseline. </w:t>
            </w:r>
            <w:r w:rsidRPr="004F0F45">
              <w:rPr>
                <w:lang w:eastAsia="ja-JP"/>
              </w:rPr>
              <w:t>Restart at 100mg daily below the last given dose.</w:t>
            </w:r>
          </w:p>
        </w:tc>
      </w:tr>
      <w:tr w:rsidR="008F202A" w:rsidRPr="004F0F45" w14:paraId="7D3966F1" w14:textId="77777777" w:rsidTr="006B73CC">
        <w:tc>
          <w:tcPr>
            <w:tcW w:w="9918" w:type="dxa"/>
            <w:gridSpan w:val="2"/>
          </w:tcPr>
          <w:p w14:paraId="5BEF0FAE" w14:textId="77777777" w:rsidR="008F202A" w:rsidRPr="004F0F45" w:rsidRDefault="008F202A" w:rsidP="006B73CC">
            <w:pPr>
              <w:spacing w:line="240" w:lineRule="auto"/>
              <w:jc w:val="left"/>
              <w:rPr>
                <w:b/>
              </w:rPr>
            </w:pPr>
            <w:r w:rsidRPr="004F0F45">
              <w:rPr>
                <w:b/>
                <w:lang w:eastAsia="ja-JP"/>
              </w:rPr>
              <w:t>Management of thiamine levels and Wernicke’s encephalopathy (WE)</w:t>
            </w:r>
          </w:p>
        </w:tc>
      </w:tr>
      <w:tr w:rsidR="008F202A" w:rsidRPr="004F0F45" w14:paraId="117FD641" w14:textId="77777777" w:rsidTr="006B73CC">
        <w:tc>
          <w:tcPr>
            <w:tcW w:w="4957" w:type="dxa"/>
          </w:tcPr>
          <w:p w14:paraId="1E2F1880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 xml:space="preserve">For thiamine concentration below the lower limit of normal (LLN) but </w:t>
            </w:r>
            <w:r w:rsidRPr="004F0F45">
              <w:rPr>
                <w:rFonts w:cstheme="minorHAnsi"/>
                <w:lang w:eastAsia="ja-JP"/>
              </w:rPr>
              <w:t>≥</w:t>
            </w:r>
            <w:r w:rsidRPr="004F0F45">
              <w:rPr>
                <w:lang w:eastAsia="ja-JP"/>
              </w:rPr>
              <w:t>30nmol/L, and no signs or symptoms of WE</w:t>
            </w:r>
          </w:p>
        </w:tc>
        <w:tc>
          <w:tcPr>
            <w:tcW w:w="4961" w:type="dxa"/>
          </w:tcPr>
          <w:p w14:paraId="0FCB9E2D" w14:textId="77777777" w:rsidR="008F202A" w:rsidRPr="004F0F45" w:rsidRDefault="008F202A" w:rsidP="006B73CC">
            <w:pPr>
              <w:spacing w:line="240" w:lineRule="auto"/>
            </w:pPr>
            <w:r w:rsidRPr="004F0F45">
              <w:t>Interrupt fedratinib treatment. Dose with thiamine 100mg orally</w:t>
            </w:r>
            <w:r>
              <w:t xml:space="preserve"> two to three times</w:t>
            </w:r>
            <w:r w:rsidRPr="004F0F45">
              <w:t xml:space="preserve"> </w:t>
            </w:r>
            <w:r w:rsidRPr="001D31D7">
              <w:rPr>
                <w:rFonts w:ascii="Calibri" w:eastAsia="Times New Roman" w:hAnsi="Calibri" w:cs="Times New Roman"/>
              </w:rPr>
              <w:t xml:space="preserve">daily </w:t>
            </w:r>
            <w:r w:rsidRPr="004F0F45">
              <w:t>until thiamine levels are restored to the normal range. Consider re-starting fedratinib</w:t>
            </w:r>
            <w:r>
              <w:t xml:space="preserve"> when thiamine levels normal</w:t>
            </w:r>
            <w:r w:rsidRPr="004F0F45">
              <w:t>.</w:t>
            </w:r>
          </w:p>
        </w:tc>
      </w:tr>
      <w:tr w:rsidR="008F202A" w:rsidRPr="004F0F45" w14:paraId="0FEFB677" w14:textId="77777777" w:rsidTr="006B73CC">
        <w:tc>
          <w:tcPr>
            <w:tcW w:w="4957" w:type="dxa"/>
          </w:tcPr>
          <w:p w14:paraId="704B2E0A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For thiamine concentration &lt;30nmol/L, and no signs or symptoms of WE</w:t>
            </w:r>
          </w:p>
        </w:tc>
        <w:tc>
          <w:tcPr>
            <w:tcW w:w="4961" w:type="dxa"/>
          </w:tcPr>
          <w:p w14:paraId="0F3218D7" w14:textId="77777777" w:rsidR="008F202A" w:rsidRPr="004F0F45" w:rsidRDefault="008F202A" w:rsidP="006B73CC">
            <w:pPr>
              <w:spacing w:line="240" w:lineRule="auto"/>
            </w:pPr>
            <w:r w:rsidRPr="004F0F45">
              <w:t>Interrupt fedratinib treatment. Dose with thiamine therapeutic dosage parenterally until thiamine levels are restored to the normal range. Consider re-starting fedratinib</w:t>
            </w:r>
            <w:r>
              <w:t xml:space="preserve"> when thiamine levels normal</w:t>
            </w:r>
            <w:r w:rsidRPr="004F0F45">
              <w:t>.</w:t>
            </w:r>
          </w:p>
        </w:tc>
      </w:tr>
      <w:tr w:rsidR="008F202A" w:rsidRPr="004F0F45" w14:paraId="6C95C8AE" w14:textId="77777777" w:rsidTr="006B73CC">
        <w:tc>
          <w:tcPr>
            <w:tcW w:w="4957" w:type="dxa"/>
          </w:tcPr>
          <w:p w14:paraId="7A37BC35" w14:textId="77777777" w:rsidR="008F202A" w:rsidRPr="004F0F45" w:rsidRDefault="008F202A" w:rsidP="006B73CC">
            <w:pPr>
              <w:spacing w:line="240" w:lineRule="auto"/>
              <w:jc w:val="left"/>
              <w:rPr>
                <w:lang w:eastAsia="ja-JP"/>
              </w:rPr>
            </w:pPr>
            <w:r w:rsidRPr="004F0F45">
              <w:rPr>
                <w:lang w:eastAsia="ja-JP"/>
              </w:rPr>
              <w:t>For signs or symptoms of WE, regardless of thiamine concentration</w:t>
            </w:r>
          </w:p>
        </w:tc>
        <w:tc>
          <w:tcPr>
            <w:tcW w:w="4961" w:type="dxa"/>
          </w:tcPr>
          <w:p w14:paraId="473C3A4F" w14:textId="77777777" w:rsidR="008F202A" w:rsidRPr="004F0F45" w:rsidRDefault="008F202A" w:rsidP="006B73CC">
            <w:pPr>
              <w:spacing w:line="240" w:lineRule="auto"/>
            </w:pPr>
            <w:r w:rsidRPr="004F0F45">
              <w:t>Discontinue fedratinib, and immediately administer parenteral thiamine at therapeutic dosage.</w:t>
            </w:r>
          </w:p>
        </w:tc>
      </w:tr>
    </w:tbl>
    <w:p w14:paraId="32830640" w14:textId="184DCFE6" w:rsidR="007A6053" w:rsidRDefault="007A6053" w:rsidP="005049BF"/>
    <w:sectPr w:rsidR="007A6053" w:rsidSect="00637F68">
      <w:headerReference w:type="default" r:id="rId8"/>
      <w:footerReference w:type="default" r:id="rId9"/>
      <w:pgSz w:w="11906" w:h="16838"/>
      <w:pgMar w:top="1440" w:right="1440" w:bottom="1440" w:left="1440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BAFF" w14:textId="77777777" w:rsidR="00E33FAF" w:rsidRDefault="00E33FAF" w:rsidP="005049BF">
      <w:r>
        <w:separator/>
      </w:r>
    </w:p>
  </w:endnote>
  <w:endnote w:type="continuationSeparator" w:id="0">
    <w:p w14:paraId="07BA3D9F" w14:textId="77777777" w:rsidR="00E33FAF" w:rsidRDefault="00E33FAF" w:rsidP="005049BF">
      <w:r>
        <w:continuationSeparator/>
      </w:r>
    </w:p>
  </w:endnote>
  <w:endnote w:type="continuationNotice" w:id="1">
    <w:p w14:paraId="34229AC4" w14:textId="77777777" w:rsidR="00E33FAF" w:rsidRDefault="00E33FAF" w:rsidP="00504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60"/>
      <w:gridCol w:w="3561"/>
      <w:gridCol w:w="3561"/>
    </w:tblGrid>
    <w:tr w:rsidR="00E33FAF" w14:paraId="32AB1EF1" w14:textId="77777777" w:rsidTr="00E33FAF">
      <w:tc>
        <w:tcPr>
          <w:tcW w:w="3560" w:type="dxa"/>
        </w:tcPr>
        <w:p w14:paraId="235F6964" w14:textId="24E83468" w:rsidR="00E33FAF" w:rsidRDefault="00E33FAF" w:rsidP="005049BF">
          <w:pPr>
            <w:rPr>
              <w:color w:val="1F497D" w:themeColor="text2"/>
            </w:rPr>
          </w:pPr>
        </w:p>
      </w:tc>
      <w:tc>
        <w:tcPr>
          <w:tcW w:w="3561" w:type="dxa"/>
          <w:vAlign w:val="center"/>
        </w:tcPr>
        <w:p w14:paraId="1E5AEBE2" w14:textId="6BF9189C" w:rsidR="00E33FAF" w:rsidRDefault="00E33FAF" w:rsidP="005049BF">
          <w:r w:rsidRPr="00D22717">
            <w:t xml:space="preserve">Page </w:t>
          </w:r>
          <w:r w:rsidRPr="00D22717">
            <w:fldChar w:fldCharType="begin"/>
          </w:r>
          <w:r w:rsidRPr="00D22717">
            <w:instrText xml:space="preserve"> PAGE  \* Arabic  \* MERGEFORMAT </w:instrText>
          </w:r>
          <w:r w:rsidRPr="00D22717">
            <w:fldChar w:fldCharType="separate"/>
          </w:r>
          <w:r w:rsidR="00637F68">
            <w:rPr>
              <w:noProof/>
            </w:rPr>
            <w:t>1</w:t>
          </w:r>
          <w:r w:rsidRPr="00D22717">
            <w:fldChar w:fldCharType="end"/>
          </w:r>
          <w:r w:rsidRPr="00D22717">
            <w:t xml:space="preserve"> of </w:t>
          </w:r>
          <w:fldSimple w:instr=" NUMPAGES  \* Arabic  \* MERGEFORMAT ">
            <w:r w:rsidR="00637F68">
              <w:rPr>
                <w:noProof/>
              </w:rPr>
              <w:t>1</w:t>
            </w:r>
          </w:fldSimple>
        </w:p>
      </w:tc>
      <w:tc>
        <w:tcPr>
          <w:tcW w:w="3561" w:type="dxa"/>
          <w:vAlign w:val="center"/>
        </w:tcPr>
        <w:p w14:paraId="21180CAD" w14:textId="49022999" w:rsidR="00E33FAF" w:rsidRDefault="00E33FAF" w:rsidP="005049BF">
          <w:pPr>
            <w:rPr>
              <w:color w:val="1F497D" w:themeColor="text2"/>
            </w:rPr>
          </w:pPr>
        </w:p>
      </w:tc>
    </w:tr>
  </w:tbl>
  <w:p w14:paraId="6E44985F" w14:textId="77777777" w:rsidR="00E33FAF" w:rsidRDefault="00E33FAF" w:rsidP="00504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B3672" w14:textId="77777777" w:rsidR="00E33FAF" w:rsidRDefault="00E33FAF" w:rsidP="005049BF">
      <w:r>
        <w:separator/>
      </w:r>
    </w:p>
  </w:footnote>
  <w:footnote w:type="continuationSeparator" w:id="0">
    <w:p w14:paraId="67A2A024" w14:textId="77777777" w:rsidR="00E33FAF" w:rsidRDefault="00E33FAF" w:rsidP="005049BF">
      <w:r>
        <w:continuationSeparator/>
      </w:r>
    </w:p>
  </w:footnote>
  <w:footnote w:type="continuationNotice" w:id="1">
    <w:p w14:paraId="0A9A95D3" w14:textId="77777777" w:rsidR="00E33FAF" w:rsidRDefault="00E33FAF" w:rsidP="00504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EABA6" w14:textId="3DF4B696" w:rsidR="00E33FAF" w:rsidRDefault="00C944B1" w:rsidP="005049BF">
    <w:pPr>
      <w:pStyle w:val="Header"/>
    </w:pPr>
    <w:r>
      <w:t>FEDORA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18"/>
    <w:multiLevelType w:val="multilevel"/>
    <w:tmpl w:val="2870D090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61D4375"/>
    <w:multiLevelType w:val="hybridMultilevel"/>
    <w:tmpl w:val="D64E2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243F2"/>
    <w:multiLevelType w:val="hybridMultilevel"/>
    <w:tmpl w:val="AD96F9E0"/>
    <w:lvl w:ilvl="0" w:tplc="AB821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8D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EC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E4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E9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A0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C8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E25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63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667A49"/>
    <w:multiLevelType w:val="multilevel"/>
    <w:tmpl w:val="F4C6090E"/>
    <w:lvl w:ilvl="0">
      <w:start w:val="1"/>
      <w:numFmt w:val="decimal"/>
      <w:pStyle w:val="Mainlistpoin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listpoint1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ublistpoin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697310"/>
    <w:multiLevelType w:val="multilevel"/>
    <w:tmpl w:val="B3C626B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Numberedheading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5" w15:restartNumberingAfterBreak="0">
    <w:nsid w:val="0CFB1C03"/>
    <w:multiLevelType w:val="hybridMultilevel"/>
    <w:tmpl w:val="CD584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153DD"/>
    <w:multiLevelType w:val="hybridMultilevel"/>
    <w:tmpl w:val="FDFC73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054E0D"/>
    <w:multiLevelType w:val="hybridMultilevel"/>
    <w:tmpl w:val="2C588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51912"/>
    <w:multiLevelType w:val="hybridMultilevel"/>
    <w:tmpl w:val="5D341352"/>
    <w:lvl w:ilvl="0" w:tplc="81F641EC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73A5F"/>
    <w:multiLevelType w:val="multilevel"/>
    <w:tmpl w:val="706A21A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4"/>
        </w:tabs>
        <w:ind w:left="34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44"/>
        </w:tabs>
        <w:ind w:left="41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4"/>
        </w:tabs>
        <w:ind w:left="48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4"/>
        </w:tabs>
        <w:ind w:left="55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04"/>
        </w:tabs>
        <w:ind w:left="6304" w:hanging="360"/>
      </w:pPr>
      <w:rPr>
        <w:rFonts w:ascii="Wingdings" w:hAnsi="Wingdings" w:hint="default"/>
      </w:rPr>
    </w:lvl>
  </w:abstractNum>
  <w:abstractNum w:abstractNumId="10" w15:restartNumberingAfterBreak="0">
    <w:nsid w:val="3DA6389B"/>
    <w:multiLevelType w:val="hybridMultilevel"/>
    <w:tmpl w:val="AF12C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E44205"/>
    <w:multiLevelType w:val="hybridMultilevel"/>
    <w:tmpl w:val="A30EE55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EEBA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9051C6"/>
    <w:multiLevelType w:val="multilevel"/>
    <w:tmpl w:val="1DDA7ED0"/>
    <w:lvl w:ilvl="0">
      <w:start w:val="1"/>
      <w:numFmt w:val="decimal"/>
      <w:pStyle w:val="Numbere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edheading2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pStyle w:val="Numberedheading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E549AB"/>
    <w:multiLevelType w:val="hybridMultilevel"/>
    <w:tmpl w:val="D3D2A86E"/>
    <w:lvl w:ilvl="0" w:tplc="B7E2077A">
      <w:start w:val="1"/>
      <w:numFmt w:val="bullet"/>
      <w:pStyle w:val="bullet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5057245"/>
    <w:multiLevelType w:val="hybridMultilevel"/>
    <w:tmpl w:val="BB9E4C9C"/>
    <w:lvl w:ilvl="0" w:tplc="71A2B4FC">
      <w:numFmt w:val="bullet"/>
      <w:lvlText w:val="•"/>
      <w:lvlJc w:val="left"/>
      <w:pPr>
        <w:ind w:left="72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7F1F6B"/>
    <w:multiLevelType w:val="hybridMultilevel"/>
    <w:tmpl w:val="BE764F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48546A"/>
    <w:multiLevelType w:val="hybridMultilevel"/>
    <w:tmpl w:val="4932524A"/>
    <w:lvl w:ilvl="0" w:tplc="50485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8D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52C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B8A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E4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6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F26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C4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E8F2463"/>
    <w:multiLevelType w:val="hybridMultilevel"/>
    <w:tmpl w:val="549AE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B3E84"/>
    <w:multiLevelType w:val="hybridMultilevel"/>
    <w:tmpl w:val="33583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3"/>
  </w:num>
  <w:num w:numId="5">
    <w:abstractNumId w:val="12"/>
  </w:num>
  <w:num w:numId="6">
    <w:abstractNumId w:val="8"/>
  </w:num>
  <w:num w:numId="7">
    <w:abstractNumId w:val="4"/>
  </w:num>
  <w:num w:numId="8">
    <w:abstractNumId w:val="18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6"/>
  </w:num>
  <w:num w:numId="14">
    <w:abstractNumId w:val="17"/>
  </w:num>
  <w:num w:numId="15">
    <w:abstractNumId w:val="11"/>
  </w:num>
  <w:num w:numId="16">
    <w:abstractNumId w:val="15"/>
  </w:num>
  <w:num w:numId="17">
    <w:abstractNumId w:val="14"/>
  </w:num>
  <w:num w:numId="18">
    <w:abstractNumId w:val="16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90t9zvy0pwsgexss8pedtrsdwfxe9wrwse&quot;&gt;FEDORAref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4&lt;/item&gt;&lt;item&gt;38&lt;/item&gt;&lt;item&gt;40&lt;/item&gt;&lt;item&gt;41&lt;/item&gt;&lt;/record-ids&gt;&lt;/item&gt;&lt;/Libraries&gt;"/>
  </w:docVars>
  <w:rsids>
    <w:rsidRoot w:val="00456254"/>
    <w:rsid w:val="00007CB3"/>
    <w:rsid w:val="00015A4F"/>
    <w:rsid w:val="00016A2C"/>
    <w:rsid w:val="00017040"/>
    <w:rsid w:val="00051F1B"/>
    <w:rsid w:val="0005288C"/>
    <w:rsid w:val="00064C67"/>
    <w:rsid w:val="00065359"/>
    <w:rsid w:val="0007062A"/>
    <w:rsid w:val="00070A36"/>
    <w:rsid w:val="00082FE5"/>
    <w:rsid w:val="00083646"/>
    <w:rsid w:val="000905F8"/>
    <w:rsid w:val="00090DC8"/>
    <w:rsid w:val="00094F0E"/>
    <w:rsid w:val="000A2BF7"/>
    <w:rsid w:val="000A35FF"/>
    <w:rsid w:val="000A52D3"/>
    <w:rsid w:val="000B3FE3"/>
    <w:rsid w:val="000C39F8"/>
    <w:rsid w:val="000D4B93"/>
    <w:rsid w:val="000F2746"/>
    <w:rsid w:val="000F3876"/>
    <w:rsid w:val="000F4D50"/>
    <w:rsid w:val="000F5768"/>
    <w:rsid w:val="00101318"/>
    <w:rsid w:val="00116DE0"/>
    <w:rsid w:val="001257A6"/>
    <w:rsid w:val="00130EA7"/>
    <w:rsid w:val="001342BC"/>
    <w:rsid w:val="00150AD9"/>
    <w:rsid w:val="00151313"/>
    <w:rsid w:val="001578B6"/>
    <w:rsid w:val="00157D39"/>
    <w:rsid w:val="001629ED"/>
    <w:rsid w:val="001649A4"/>
    <w:rsid w:val="00165CA7"/>
    <w:rsid w:val="0017096D"/>
    <w:rsid w:val="00171585"/>
    <w:rsid w:val="00174631"/>
    <w:rsid w:val="00183797"/>
    <w:rsid w:val="001876BA"/>
    <w:rsid w:val="00191EB5"/>
    <w:rsid w:val="001A0A68"/>
    <w:rsid w:val="001A4E58"/>
    <w:rsid w:val="001A5F03"/>
    <w:rsid w:val="001B6FBC"/>
    <w:rsid w:val="001C04A7"/>
    <w:rsid w:val="001D1E3B"/>
    <w:rsid w:val="001D20C6"/>
    <w:rsid w:val="001D22CE"/>
    <w:rsid w:val="001D2AAA"/>
    <w:rsid w:val="001D4CD2"/>
    <w:rsid w:val="001E749E"/>
    <w:rsid w:val="00201718"/>
    <w:rsid w:val="00204207"/>
    <w:rsid w:val="00212C25"/>
    <w:rsid w:val="00222C1A"/>
    <w:rsid w:val="0023339D"/>
    <w:rsid w:val="0023601A"/>
    <w:rsid w:val="002426C7"/>
    <w:rsid w:val="002535F8"/>
    <w:rsid w:val="00253928"/>
    <w:rsid w:val="00253B2B"/>
    <w:rsid w:val="00261751"/>
    <w:rsid w:val="00266698"/>
    <w:rsid w:val="00270834"/>
    <w:rsid w:val="00270A0F"/>
    <w:rsid w:val="0027733E"/>
    <w:rsid w:val="002834C7"/>
    <w:rsid w:val="00283B8A"/>
    <w:rsid w:val="00284006"/>
    <w:rsid w:val="002954B9"/>
    <w:rsid w:val="002B70D0"/>
    <w:rsid w:val="002C334E"/>
    <w:rsid w:val="002C67C2"/>
    <w:rsid w:val="002D1EC1"/>
    <w:rsid w:val="002E563A"/>
    <w:rsid w:val="002F08A2"/>
    <w:rsid w:val="00301CEA"/>
    <w:rsid w:val="00305625"/>
    <w:rsid w:val="00313F42"/>
    <w:rsid w:val="00314108"/>
    <w:rsid w:val="00316EB6"/>
    <w:rsid w:val="00326145"/>
    <w:rsid w:val="0033412C"/>
    <w:rsid w:val="00335029"/>
    <w:rsid w:val="00340A1F"/>
    <w:rsid w:val="00351AE7"/>
    <w:rsid w:val="0035264D"/>
    <w:rsid w:val="0035306C"/>
    <w:rsid w:val="003571AA"/>
    <w:rsid w:val="00372FC1"/>
    <w:rsid w:val="0037522A"/>
    <w:rsid w:val="003849F1"/>
    <w:rsid w:val="00385F5E"/>
    <w:rsid w:val="00390C4D"/>
    <w:rsid w:val="00390FC2"/>
    <w:rsid w:val="00397750"/>
    <w:rsid w:val="003A2715"/>
    <w:rsid w:val="003B0B1E"/>
    <w:rsid w:val="003B40D6"/>
    <w:rsid w:val="003B473B"/>
    <w:rsid w:val="003B6115"/>
    <w:rsid w:val="003C250E"/>
    <w:rsid w:val="003C6744"/>
    <w:rsid w:val="003D0AE9"/>
    <w:rsid w:val="003D207B"/>
    <w:rsid w:val="003D517E"/>
    <w:rsid w:val="003D5F07"/>
    <w:rsid w:val="003E2AFE"/>
    <w:rsid w:val="003E7832"/>
    <w:rsid w:val="003F053A"/>
    <w:rsid w:val="003F0ECA"/>
    <w:rsid w:val="00414A5F"/>
    <w:rsid w:val="00425637"/>
    <w:rsid w:val="00425827"/>
    <w:rsid w:val="00435D21"/>
    <w:rsid w:val="00437A21"/>
    <w:rsid w:val="00440ADC"/>
    <w:rsid w:val="00447869"/>
    <w:rsid w:val="00454E8E"/>
    <w:rsid w:val="00455C63"/>
    <w:rsid w:val="00456254"/>
    <w:rsid w:val="0046156A"/>
    <w:rsid w:val="00463D2A"/>
    <w:rsid w:val="004651CB"/>
    <w:rsid w:val="00470066"/>
    <w:rsid w:val="00474F17"/>
    <w:rsid w:val="00475CA2"/>
    <w:rsid w:val="00481B9D"/>
    <w:rsid w:val="00483798"/>
    <w:rsid w:val="004902C7"/>
    <w:rsid w:val="00493AD3"/>
    <w:rsid w:val="004A0E90"/>
    <w:rsid w:val="004A64A5"/>
    <w:rsid w:val="004A68C2"/>
    <w:rsid w:val="004B0DA2"/>
    <w:rsid w:val="004C209D"/>
    <w:rsid w:val="004C5FFC"/>
    <w:rsid w:val="004D4AEB"/>
    <w:rsid w:val="004D7C4D"/>
    <w:rsid w:val="004E2CD8"/>
    <w:rsid w:val="004E3257"/>
    <w:rsid w:val="004E3652"/>
    <w:rsid w:val="004E67AA"/>
    <w:rsid w:val="004F2CA0"/>
    <w:rsid w:val="005003F6"/>
    <w:rsid w:val="00501867"/>
    <w:rsid w:val="005049BF"/>
    <w:rsid w:val="00506E77"/>
    <w:rsid w:val="005142A6"/>
    <w:rsid w:val="00517538"/>
    <w:rsid w:val="00524F4D"/>
    <w:rsid w:val="005269C1"/>
    <w:rsid w:val="00530524"/>
    <w:rsid w:val="00557FB8"/>
    <w:rsid w:val="00564940"/>
    <w:rsid w:val="005718C9"/>
    <w:rsid w:val="00582737"/>
    <w:rsid w:val="00584058"/>
    <w:rsid w:val="00584707"/>
    <w:rsid w:val="0058703A"/>
    <w:rsid w:val="005921D6"/>
    <w:rsid w:val="00596247"/>
    <w:rsid w:val="005B191A"/>
    <w:rsid w:val="005C257B"/>
    <w:rsid w:val="005C7BE7"/>
    <w:rsid w:val="005D38A7"/>
    <w:rsid w:val="005E53DB"/>
    <w:rsid w:val="005F3FA0"/>
    <w:rsid w:val="005F69E0"/>
    <w:rsid w:val="006004D9"/>
    <w:rsid w:val="006255B8"/>
    <w:rsid w:val="006314AF"/>
    <w:rsid w:val="00637F68"/>
    <w:rsid w:val="00637FD7"/>
    <w:rsid w:val="006415A0"/>
    <w:rsid w:val="0065159B"/>
    <w:rsid w:val="00666BD3"/>
    <w:rsid w:val="00666CA6"/>
    <w:rsid w:val="00670818"/>
    <w:rsid w:val="00673F2D"/>
    <w:rsid w:val="00677BA7"/>
    <w:rsid w:val="0068061E"/>
    <w:rsid w:val="00681429"/>
    <w:rsid w:val="00693847"/>
    <w:rsid w:val="006A6006"/>
    <w:rsid w:val="006B024F"/>
    <w:rsid w:val="006B03B7"/>
    <w:rsid w:val="006B31E0"/>
    <w:rsid w:val="006B62E8"/>
    <w:rsid w:val="006C0D6A"/>
    <w:rsid w:val="006D136F"/>
    <w:rsid w:val="006D3C31"/>
    <w:rsid w:val="006D4F08"/>
    <w:rsid w:val="006D7E90"/>
    <w:rsid w:val="006E6D77"/>
    <w:rsid w:val="006E7632"/>
    <w:rsid w:val="006F0BBA"/>
    <w:rsid w:val="006F1C7D"/>
    <w:rsid w:val="006F581B"/>
    <w:rsid w:val="007013BD"/>
    <w:rsid w:val="00702841"/>
    <w:rsid w:val="00704BC4"/>
    <w:rsid w:val="007117C3"/>
    <w:rsid w:val="00714BF6"/>
    <w:rsid w:val="0072017C"/>
    <w:rsid w:val="00720356"/>
    <w:rsid w:val="00736808"/>
    <w:rsid w:val="0074333B"/>
    <w:rsid w:val="00745D16"/>
    <w:rsid w:val="007468A0"/>
    <w:rsid w:val="007557F7"/>
    <w:rsid w:val="00756582"/>
    <w:rsid w:val="00763798"/>
    <w:rsid w:val="00764B01"/>
    <w:rsid w:val="00772EB5"/>
    <w:rsid w:val="0078472B"/>
    <w:rsid w:val="00784762"/>
    <w:rsid w:val="007908E5"/>
    <w:rsid w:val="007A6053"/>
    <w:rsid w:val="007B73AE"/>
    <w:rsid w:val="007C1F77"/>
    <w:rsid w:val="007C7F3B"/>
    <w:rsid w:val="007E73E7"/>
    <w:rsid w:val="007F0F69"/>
    <w:rsid w:val="007F4958"/>
    <w:rsid w:val="00800AD6"/>
    <w:rsid w:val="00810C2E"/>
    <w:rsid w:val="008169AA"/>
    <w:rsid w:val="00820AF4"/>
    <w:rsid w:val="00827624"/>
    <w:rsid w:val="0083306B"/>
    <w:rsid w:val="00835121"/>
    <w:rsid w:val="00837C44"/>
    <w:rsid w:val="00840893"/>
    <w:rsid w:val="00841238"/>
    <w:rsid w:val="00850BC9"/>
    <w:rsid w:val="008544F4"/>
    <w:rsid w:val="0085453D"/>
    <w:rsid w:val="00854574"/>
    <w:rsid w:val="00863EF0"/>
    <w:rsid w:val="00867992"/>
    <w:rsid w:val="008679A4"/>
    <w:rsid w:val="00867B6B"/>
    <w:rsid w:val="00870A3D"/>
    <w:rsid w:val="00880BDF"/>
    <w:rsid w:val="00882152"/>
    <w:rsid w:val="0088505C"/>
    <w:rsid w:val="00887047"/>
    <w:rsid w:val="008A1A77"/>
    <w:rsid w:val="008A29A2"/>
    <w:rsid w:val="008A4E93"/>
    <w:rsid w:val="008A5E0E"/>
    <w:rsid w:val="008B4857"/>
    <w:rsid w:val="008B782C"/>
    <w:rsid w:val="008C50A1"/>
    <w:rsid w:val="008C586E"/>
    <w:rsid w:val="008E1076"/>
    <w:rsid w:val="008F1CBC"/>
    <w:rsid w:val="008F202A"/>
    <w:rsid w:val="008F3DF7"/>
    <w:rsid w:val="008F3F06"/>
    <w:rsid w:val="009024FF"/>
    <w:rsid w:val="00902865"/>
    <w:rsid w:val="009111BD"/>
    <w:rsid w:val="00920F58"/>
    <w:rsid w:val="009217D1"/>
    <w:rsid w:val="00923E10"/>
    <w:rsid w:val="00925589"/>
    <w:rsid w:val="00925C3C"/>
    <w:rsid w:val="009312CC"/>
    <w:rsid w:val="00931DE1"/>
    <w:rsid w:val="009322A6"/>
    <w:rsid w:val="00940159"/>
    <w:rsid w:val="00940B68"/>
    <w:rsid w:val="00941E14"/>
    <w:rsid w:val="00946BBC"/>
    <w:rsid w:val="0094718D"/>
    <w:rsid w:val="00952458"/>
    <w:rsid w:val="009628DD"/>
    <w:rsid w:val="00963311"/>
    <w:rsid w:val="00974C54"/>
    <w:rsid w:val="00985A81"/>
    <w:rsid w:val="0098719C"/>
    <w:rsid w:val="0098784C"/>
    <w:rsid w:val="00987E29"/>
    <w:rsid w:val="0099730B"/>
    <w:rsid w:val="009A10E4"/>
    <w:rsid w:val="009A13AF"/>
    <w:rsid w:val="009A51F0"/>
    <w:rsid w:val="009B0450"/>
    <w:rsid w:val="009B41F0"/>
    <w:rsid w:val="009B79E0"/>
    <w:rsid w:val="009C22CF"/>
    <w:rsid w:val="009D101D"/>
    <w:rsid w:val="009D354E"/>
    <w:rsid w:val="009D4731"/>
    <w:rsid w:val="009D60FA"/>
    <w:rsid w:val="009D697A"/>
    <w:rsid w:val="009E3B6A"/>
    <w:rsid w:val="009E5B65"/>
    <w:rsid w:val="009F47D0"/>
    <w:rsid w:val="009F4FB2"/>
    <w:rsid w:val="00A00A23"/>
    <w:rsid w:val="00A031E1"/>
    <w:rsid w:val="00A05165"/>
    <w:rsid w:val="00A0744F"/>
    <w:rsid w:val="00A17B9C"/>
    <w:rsid w:val="00A2194A"/>
    <w:rsid w:val="00A247ED"/>
    <w:rsid w:val="00A25EB9"/>
    <w:rsid w:val="00A27C8F"/>
    <w:rsid w:val="00A3075E"/>
    <w:rsid w:val="00A458E2"/>
    <w:rsid w:val="00A46C06"/>
    <w:rsid w:val="00A56E32"/>
    <w:rsid w:val="00A62015"/>
    <w:rsid w:val="00A71660"/>
    <w:rsid w:val="00A75C4E"/>
    <w:rsid w:val="00A77A46"/>
    <w:rsid w:val="00A81B10"/>
    <w:rsid w:val="00A81F9B"/>
    <w:rsid w:val="00A902E5"/>
    <w:rsid w:val="00AA08FC"/>
    <w:rsid w:val="00AA2ACE"/>
    <w:rsid w:val="00AA6C4C"/>
    <w:rsid w:val="00AB1166"/>
    <w:rsid w:val="00AB2B61"/>
    <w:rsid w:val="00AB6363"/>
    <w:rsid w:val="00AB6F14"/>
    <w:rsid w:val="00AC2034"/>
    <w:rsid w:val="00AC5073"/>
    <w:rsid w:val="00AD4FE3"/>
    <w:rsid w:val="00AE7E64"/>
    <w:rsid w:val="00AF00D1"/>
    <w:rsid w:val="00AF0758"/>
    <w:rsid w:val="00AF3747"/>
    <w:rsid w:val="00AF57DD"/>
    <w:rsid w:val="00AF619F"/>
    <w:rsid w:val="00B003DB"/>
    <w:rsid w:val="00B0729B"/>
    <w:rsid w:val="00B2394D"/>
    <w:rsid w:val="00B31000"/>
    <w:rsid w:val="00B32C2E"/>
    <w:rsid w:val="00B35661"/>
    <w:rsid w:val="00B369C3"/>
    <w:rsid w:val="00B415B3"/>
    <w:rsid w:val="00B47C06"/>
    <w:rsid w:val="00B54F53"/>
    <w:rsid w:val="00B609BB"/>
    <w:rsid w:val="00B60D7A"/>
    <w:rsid w:val="00B620F1"/>
    <w:rsid w:val="00B6225D"/>
    <w:rsid w:val="00B67920"/>
    <w:rsid w:val="00B75371"/>
    <w:rsid w:val="00B76296"/>
    <w:rsid w:val="00B80374"/>
    <w:rsid w:val="00B80516"/>
    <w:rsid w:val="00B863D5"/>
    <w:rsid w:val="00B90349"/>
    <w:rsid w:val="00B92F23"/>
    <w:rsid w:val="00B93145"/>
    <w:rsid w:val="00B9720D"/>
    <w:rsid w:val="00B97BB2"/>
    <w:rsid w:val="00BB45CA"/>
    <w:rsid w:val="00BD002A"/>
    <w:rsid w:val="00BE0B2F"/>
    <w:rsid w:val="00BE13A1"/>
    <w:rsid w:val="00C42297"/>
    <w:rsid w:val="00C42397"/>
    <w:rsid w:val="00C431C1"/>
    <w:rsid w:val="00C450C3"/>
    <w:rsid w:val="00C53CFB"/>
    <w:rsid w:val="00C56F4C"/>
    <w:rsid w:val="00C57841"/>
    <w:rsid w:val="00C662FD"/>
    <w:rsid w:val="00C72527"/>
    <w:rsid w:val="00C73AAB"/>
    <w:rsid w:val="00C74701"/>
    <w:rsid w:val="00C753DB"/>
    <w:rsid w:val="00C8278E"/>
    <w:rsid w:val="00C85393"/>
    <w:rsid w:val="00C85FC8"/>
    <w:rsid w:val="00C944B1"/>
    <w:rsid w:val="00C97D6A"/>
    <w:rsid w:val="00CA0F9E"/>
    <w:rsid w:val="00CA75D9"/>
    <w:rsid w:val="00CB0AD9"/>
    <w:rsid w:val="00CB45FA"/>
    <w:rsid w:val="00CB4713"/>
    <w:rsid w:val="00CC0B84"/>
    <w:rsid w:val="00CC72F9"/>
    <w:rsid w:val="00CD1068"/>
    <w:rsid w:val="00CD43E0"/>
    <w:rsid w:val="00CD546B"/>
    <w:rsid w:val="00CD5BFB"/>
    <w:rsid w:val="00CF584C"/>
    <w:rsid w:val="00CF688A"/>
    <w:rsid w:val="00D10B2B"/>
    <w:rsid w:val="00D12513"/>
    <w:rsid w:val="00D12654"/>
    <w:rsid w:val="00D14916"/>
    <w:rsid w:val="00D14966"/>
    <w:rsid w:val="00D16FF9"/>
    <w:rsid w:val="00D22717"/>
    <w:rsid w:val="00D25C86"/>
    <w:rsid w:val="00D32CAB"/>
    <w:rsid w:val="00D373A9"/>
    <w:rsid w:val="00D46BFC"/>
    <w:rsid w:val="00D50945"/>
    <w:rsid w:val="00D554C1"/>
    <w:rsid w:val="00D571DD"/>
    <w:rsid w:val="00D662FB"/>
    <w:rsid w:val="00D74685"/>
    <w:rsid w:val="00D77C8A"/>
    <w:rsid w:val="00D840E4"/>
    <w:rsid w:val="00D9259A"/>
    <w:rsid w:val="00D9334F"/>
    <w:rsid w:val="00DB0B71"/>
    <w:rsid w:val="00DC7F6D"/>
    <w:rsid w:val="00DD18FF"/>
    <w:rsid w:val="00DD7ABE"/>
    <w:rsid w:val="00DE0E1F"/>
    <w:rsid w:val="00DE0ED7"/>
    <w:rsid w:val="00DE5851"/>
    <w:rsid w:val="00DF4920"/>
    <w:rsid w:val="00E01100"/>
    <w:rsid w:val="00E05990"/>
    <w:rsid w:val="00E17A8D"/>
    <w:rsid w:val="00E21039"/>
    <w:rsid w:val="00E24929"/>
    <w:rsid w:val="00E3195D"/>
    <w:rsid w:val="00E33FAF"/>
    <w:rsid w:val="00E4044C"/>
    <w:rsid w:val="00E43AC6"/>
    <w:rsid w:val="00E4423E"/>
    <w:rsid w:val="00E46EAD"/>
    <w:rsid w:val="00E46EEE"/>
    <w:rsid w:val="00E71051"/>
    <w:rsid w:val="00E76DD6"/>
    <w:rsid w:val="00E86AD6"/>
    <w:rsid w:val="00E947F4"/>
    <w:rsid w:val="00E9795C"/>
    <w:rsid w:val="00EA2ED4"/>
    <w:rsid w:val="00EB4BEA"/>
    <w:rsid w:val="00EC3279"/>
    <w:rsid w:val="00EC5113"/>
    <w:rsid w:val="00EC6816"/>
    <w:rsid w:val="00ED2868"/>
    <w:rsid w:val="00ED2E10"/>
    <w:rsid w:val="00ED66B4"/>
    <w:rsid w:val="00ED6AE1"/>
    <w:rsid w:val="00EE22AD"/>
    <w:rsid w:val="00EF0601"/>
    <w:rsid w:val="00EF0792"/>
    <w:rsid w:val="00EF07CC"/>
    <w:rsid w:val="00F005B2"/>
    <w:rsid w:val="00F00FCD"/>
    <w:rsid w:val="00F05AED"/>
    <w:rsid w:val="00F07BBE"/>
    <w:rsid w:val="00F14A9D"/>
    <w:rsid w:val="00F168DF"/>
    <w:rsid w:val="00F22290"/>
    <w:rsid w:val="00F263BC"/>
    <w:rsid w:val="00F31BE5"/>
    <w:rsid w:val="00F3600B"/>
    <w:rsid w:val="00F3661D"/>
    <w:rsid w:val="00F52F78"/>
    <w:rsid w:val="00F5671F"/>
    <w:rsid w:val="00F70612"/>
    <w:rsid w:val="00F806C8"/>
    <w:rsid w:val="00F81FDB"/>
    <w:rsid w:val="00F87A4D"/>
    <w:rsid w:val="00FB7E29"/>
    <w:rsid w:val="00FC0804"/>
    <w:rsid w:val="00FC2091"/>
    <w:rsid w:val="00FC2A26"/>
    <w:rsid w:val="00FC4EE7"/>
    <w:rsid w:val="00FC51A9"/>
    <w:rsid w:val="00FD131E"/>
    <w:rsid w:val="00FD5254"/>
    <w:rsid w:val="00FE635D"/>
    <w:rsid w:val="00FF27FA"/>
    <w:rsid w:val="00FF2B2A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2BB9A68C"/>
  <w15:docId w15:val="{CFFA43DA-B5B8-4F1B-ABA9-82300F7C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9BF"/>
    <w:pPr>
      <w:spacing w:before="0" w:after="0" w:line="480" w:lineRule="auto"/>
      <w:jc w:val="both"/>
    </w:pPr>
    <w:rPr>
      <w:sz w:val="21"/>
      <w:szCs w:val="20"/>
      <w:lang w:eastAsia="en-GB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049BF"/>
    <w:pPr>
      <w:outlineLvl w:val="0"/>
    </w:pPr>
    <w:rPr>
      <w:rFonts w:eastAsia="Times New Roman" w:cstheme="minorHAnsi"/>
      <w:bCs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84C"/>
    <w:pPr>
      <w:keepNext/>
      <w:spacing w:before="60"/>
      <w:outlineLvl w:val="1"/>
    </w:pPr>
    <w:rPr>
      <w:b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5C63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25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254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254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254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254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254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456254"/>
    <w:pPr>
      <w:jc w:val="right"/>
    </w:pPr>
    <w:rPr>
      <w:color w:val="1F497D" w:themeColor="text2"/>
      <w:sz w:val="16"/>
    </w:rPr>
  </w:style>
  <w:style w:type="character" w:customStyle="1" w:styleId="HeaderChar">
    <w:name w:val="Header Char"/>
    <w:basedOn w:val="DefaultParagraphFont"/>
    <w:link w:val="Header"/>
    <w:rsid w:val="00456254"/>
    <w:rPr>
      <w:color w:val="1F497D" w:themeColor="text2"/>
      <w:sz w:val="16"/>
      <w:szCs w:val="20"/>
    </w:rPr>
  </w:style>
  <w:style w:type="paragraph" w:styleId="Footer">
    <w:name w:val="footer"/>
    <w:basedOn w:val="Normal"/>
    <w:link w:val="FooterChar"/>
    <w:qFormat/>
    <w:rsid w:val="00456254"/>
    <w:rPr>
      <w:color w:val="1F497D" w:themeColor="text2"/>
      <w:sz w:val="16"/>
    </w:rPr>
  </w:style>
  <w:style w:type="character" w:customStyle="1" w:styleId="FooterChar">
    <w:name w:val="Footer Char"/>
    <w:basedOn w:val="DefaultParagraphFont"/>
    <w:link w:val="Footer"/>
    <w:rsid w:val="00456254"/>
    <w:rPr>
      <w:color w:val="1F497D" w:themeColor="text2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2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254"/>
    <w:rPr>
      <w:rFonts w:ascii="Tahoma" w:hAnsi="Tahoma" w:cs="Tahoma"/>
      <w:sz w:val="16"/>
      <w:szCs w:val="16"/>
    </w:rPr>
  </w:style>
  <w:style w:type="paragraph" w:customStyle="1" w:styleId="Instructions">
    <w:name w:val="Instructions"/>
    <w:basedOn w:val="Normal"/>
    <w:link w:val="InstructionsChar"/>
    <w:qFormat/>
    <w:rsid w:val="00BB45CA"/>
    <w:rPr>
      <w:i/>
      <w:color w:val="FF0000"/>
    </w:rPr>
  </w:style>
  <w:style w:type="character" w:customStyle="1" w:styleId="InstructionsChar">
    <w:name w:val="Instructions Char"/>
    <w:link w:val="Instructions"/>
    <w:rsid w:val="00BB45CA"/>
    <w:rPr>
      <w:i/>
      <w:color w:val="FF0000"/>
      <w:sz w:val="21"/>
      <w:szCs w:val="20"/>
    </w:rPr>
  </w:style>
  <w:style w:type="paragraph" w:customStyle="1" w:styleId="Heading2-table">
    <w:name w:val="Heading 2-table"/>
    <w:basedOn w:val="Heading2"/>
    <w:link w:val="Heading2-tableChar"/>
    <w:rsid w:val="00456254"/>
  </w:style>
  <w:style w:type="character" w:customStyle="1" w:styleId="Heading2Char">
    <w:name w:val="Heading 2 Char"/>
    <w:basedOn w:val="DefaultParagraphFont"/>
    <w:link w:val="Heading2"/>
    <w:uiPriority w:val="9"/>
    <w:rsid w:val="0098784C"/>
    <w:rPr>
      <w:b/>
      <w:sz w:val="26"/>
      <w:szCs w:val="26"/>
      <w:lang w:eastAsia="en-GB"/>
    </w:rPr>
  </w:style>
  <w:style w:type="paragraph" w:customStyle="1" w:styleId="bullet1">
    <w:name w:val="bullet 1"/>
    <w:basedOn w:val="Normal"/>
    <w:link w:val="bullet1Char"/>
    <w:uiPriority w:val="99"/>
    <w:qFormat/>
    <w:rsid w:val="00B2394D"/>
    <w:pPr>
      <w:numPr>
        <w:numId w:val="1"/>
      </w:numPr>
      <w:spacing w:before="120" w:after="60" w:line="240" w:lineRule="auto"/>
    </w:pPr>
    <w:rPr>
      <w:sz w:val="20"/>
    </w:rPr>
  </w:style>
  <w:style w:type="character" w:customStyle="1" w:styleId="bullet1Char">
    <w:name w:val="bullet 1 Char"/>
    <w:link w:val="bullet1"/>
    <w:uiPriority w:val="99"/>
    <w:locked/>
    <w:rsid w:val="00B2394D"/>
    <w:rPr>
      <w:sz w:val="20"/>
      <w:szCs w:val="20"/>
      <w:lang w:eastAsia="en-GB"/>
    </w:rPr>
  </w:style>
  <w:style w:type="paragraph" w:customStyle="1" w:styleId="bullet2">
    <w:name w:val="bullet 2"/>
    <w:basedOn w:val="bullet1"/>
    <w:link w:val="bullet2Char"/>
    <w:qFormat/>
    <w:rsid w:val="00456254"/>
    <w:pPr>
      <w:numPr>
        <w:ilvl w:val="1"/>
        <w:numId w:val="2"/>
      </w:numPr>
    </w:pPr>
    <w:rPr>
      <w:sz w:val="21"/>
    </w:rPr>
  </w:style>
  <w:style w:type="paragraph" w:customStyle="1" w:styleId="Heading3-table">
    <w:name w:val="Heading 3 - table"/>
    <w:basedOn w:val="Heading3"/>
    <w:link w:val="Heading3-tableChar"/>
    <w:qFormat/>
    <w:rsid w:val="00191EB5"/>
  </w:style>
  <w:style w:type="character" w:customStyle="1" w:styleId="Heading3-tableChar">
    <w:name w:val="Heading 3 - table Char"/>
    <w:link w:val="Heading3-table"/>
    <w:rsid w:val="00191EB5"/>
    <w:rPr>
      <w:caps/>
      <w:color w:val="243F60" w:themeColor="accent1" w:themeShade="7F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455C63"/>
    <w:rPr>
      <w:b/>
      <w:sz w:val="24"/>
      <w:szCs w:val="24"/>
      <w:lang w:eastAsia="en-GB"/>
    </w:rPr>
  </w:style>
  <w:style w:type="paragraph" w:customStyle="1" w:styleId="bullet3">
    <w:name w:val="bullet 3"/>
    <w:basedOn w:val="Normal"/>
    <w:qFormat/>
    <w:rsid w:val="00456254"/>
    <w:pPr>
      <w:numPr>
        <w:numId w:val="3"/>
      </w:numPr>
    </w:pPr>
  </w:style>
  <w:style w:type="paragraph" w:customStyle="1" w:styleId="SOPreference">
    <w:name w:val="SOP reference"/>
    <w:basedOn w:val="bullet1"/>
    <w:link w:val="SOPreferenceChar"/>
    <w:uiPriority w:val="99"/>
    <w:qFormat/>
    <w:rsid w:val="00456254"/>
    <w:pPr>
      <w:numPr>
        <w:numId w:val="0"/>
      </w:numPr>
      <w:tabs>
        <w:tab w:val="num" w:pos="360"/>
      </w:tabs>
      <w:ind w:left="360" w:hanging="360"/>
    </w:pPr>
    <w:rPr>
      <w:color w:val="002060"/>
    </w:rPr>
  </w:style>
  <w:style w:type="character" w:customStyle="1" w:styleId="SOPreferenceChar">
    <w:name w:val="SOP reference Char"/>
    <w:link w:val="SOPreference"/>
    <w:uiPriority w:val="99"/>
    <w:rsid w:val="00456254"/>
    <w:rPr>
      <w:color w:val="002060"/>
      <w:sz w:val="20"/>
      <w:szCs w:val="20"/>
    </w:rPr>
  </w:style>
  <w:style w:type="paragraph" w:customStyle="1" w:styleId="Mainlistpoint">
    <w:name w:val="Main list point"/>
    <w:basedOn w:val="Normal"/>
    <w:qFormat/>
    <w:rsid w:val="00456254"/>
    <w:pPr>
      <w:numPr>
        <w:numId w:val="4"/>
      </w:numPr>
      <w:contextualSpacing/>
    </w:pPr>
    <w:rPr>
      <w:b/>
    </w:rPr>
  </w:style>
  <w:style w:type="paragraph" w:customStyle="1" w:styleId="Sublistpoint1">
    <w:name w:val="Sub list point 1"/>
    <w:basedOn w:val="Normal"/>
    <w:qFormat/>
    <w:rsid w:val="00456254"/>
    <w:pPr>
      <w:numPr>
        <w:ilvl w:val="1"/>
        <w:numId w:val="4"/>
      </w:numPr>
      <w:contextualSpacing/>
    </w:pPr>
  </w:style>
  <w:style w:type="paragraph" w:customStyle="1" w:styleId="Sublistpoint2">
    <w:name w:val="Sub list point 2"/>
    <w:basedOn w:val="Sublistpoint1"/>
    <w:qFormat/>
    <w:rsid w:val="00456254"/>
    <w:pPr>
      <w:numPr>
        <w:ilvl w:val="2"/>
      </w:numPr>
    </w:pPr>
  </w:style>
  <w:style w:type="paragraph" w:customStyle="1" w:styleId="Sublist2bullet">
    <w:name w:val="Sub list 2 bullet"/>
    <w:basedOn w:val="bullet1"/>
    <w:qFormat/>
    <w:rsid w:val="00456254"/>
    <w:pPr>
      <w:numPr>
        <w:numId w:val="0"/>
      </w:numPr>
    </w:pPr>
    <w:rPr>
      <w:sz w:val="21"/>
    </w:rPr>
  </w:style>
  <w:style w:type="paragraph" w:customStyle="1" w:styleId="NormalTable">
    <w:name w:val="Normal (Table)"/>
    <w:basedOn w:val="Normal"/>
    <w:link w:val="NormalTableChar"/>
    <w:rsid w:val="00456254"/>
    <w:pPr>
      <w:spacing w:before="120" w:after="120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049BF"/>
    <w:rPr>
      <w:rFonts w:eastAsia="Times New Roman" w:cstheme="minorHAnsi"/>
      <w:b/>
      <w:bCs/>
      <w:i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25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25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6254"/>
    <w:rPr>
      <w:b/>
      <w:bCs/>
      <w:color w:val="365F91" w:themeColor="accent1" w:themeShade="BF"/>
      <w:sz w:val="16"/>
      <w:szCs w:val="16"/>
    </w:rPr>
  </w:style>
  <w:style w:type="character" w:styleId="Hyperlink">
    <w:name w:val="Hyperlink"/>
    <w:uiPriority w:val="99"/>
    <w:qFormat/>
    <w:rsid w:val="00456254"/>
    <w:rPr>
      <w:color w:val="0000FF"/>
      <w:u w:val="single"/>
    </w:rPr>
  </w:style>
  <w:style w:type="character" w:styleId="FollowedHyperlink">
    <w:name w:val="FollowedHyperlink"/>
    <w:qFormat/>
    <w:rsid w:val="00456254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254"/>
    <w:pPr>
      <w:outlineLvl w:val="9"/>
    </w:pPr>
    <w:rPr>
      <w:lang w:bidi="en-US"/>
    </w:rPr>
  </w:style>
  <w:style w:type="paragraph" w:styleId="CommentText">
    <w:name w:val="annotation text"/>
    <w:basedOn w:val="Normal"/>
    <w:link w:val="CommentTextChar"/>
    <w:uiPriority w:val="99"/>
    <w:rsid w:val="006E6D77"/>
    <w:pPr>
      <w:spacing w:before="60" w:after="60" w:line="240" w:lineRule="auto"/>
    </w:pPr>
    <w:rPr>
      <w:rFonts w:ascii="Arial" w:eastAsia="Times New Roman" w:hAnsi="Arial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D77"/>
    <w:rPr>
      <w:rFonts w:ascii="Arial" w:eastAsia="Times New Roman" w:hAnsi="Arial" w:cs="Times New Roman"/>
      <w:sz w:val="20"/>
      <w:szCs w:val="20"/>
    </w:rPr>
  </w:style>
  <w:style w:type="paragraph" w:styleId="List">
    <w:name w:val="List"/>
    <w:aliases w:val="Numberlist 1"/>
    <w:basedOn w:val="Normal"/>
    <w:rsid w:val="006E6D77"/>
    <w:pPr>
      <w:tabs>
        <w:tab w:val="num" w:pos="360"/>
      </w:tabs>
      <w:spacing w:before="120" w:after="60" w:line="240" w:lineRule="auto"/>
      <w:ind w:left="340" w:hanging="340"/>
    </w:pPr>
    <w:rPr>
      <w:rFonts w:ascii="Arial" w:eastAsia="Times New Roman" w:hAnsi="Arial" w:cs="Times New Roman"/>
      <w:sz w:val="20"/>
    </w:rPr>
  </w:style>
  <w:style w:type="character" w:styleId="CommentReference">
    <w:name w:val="annotation reference"/>
    <w:uiPriority w:val="99"/>
    <w:rsid w:val="006E6D77"/>
    <w:rPr>
      <w:rFonts w:cs="Times New Roman"/>
      <w:sz w:val="16"/>
      <w:szCs w:val="16"/>
    </w:rPr>
  </w:style>
  <w:style w:type="character" w:customStyle="1" w:styleId="bullet2Char">
    <w:name w:val="bullet 2 Char"/>
    <w:basedOn w:val="DefaultParagraphFont"/>
    <w:link w:val="bullet2"/>
    <w:rsid w:val="006E6D77"/>
    <w:rPr>
      <w:sz w:val="21"/>
      <w:szCs w:val="20"/>
      <w:lang w:eastAsia="en-GB"/>
    </w:rPr>
  </w:style>
  <w:style w:type="table" w:styleId="TableGrid">
    <w:name w:val="Table Grid"/>
    <w:basedOn w:val="TableNormal"/>
    <w:uiPriority w:val="39"/>
    <w:rsid w:val="00E979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DC8"/>
    <w:pPr>
      <w:spacing w:before="200"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DC8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Heading4subsection">
    <w:name w:val="Heading 4 subsection"/>
    <w:basedOn w:val="Heading4"/>
    <w:qFormat/>
    <w:rsid w:val="00B93145"/>
  </w:style>
  <w:style w:type="paragraph" w:customStyle="1" w:styleId="Instructions8pt">
    <w:name w:val="Instructions 8 pt"/>
    <w:basedOn w:val="Normal"/>
    <w:link w:val="Instructions8ptCharChar"/>
    <w:rsid w:val="004F2CA0"/>
    <w:pPr>
      <w:spacing w:before="60" w:after="60" w:line="240" w:lineRule="auto"/>
    </w:pPr>
    <w:rPr>
      <w:rFonts w:ascii="Arial" w:eastAsia="Times New Roman" w:hAnsi="Arial" w:cs="Times New Roman"/>
      <w:i/>
      <w:color w:val="FF0000"/>
      <w:sz w:val="16"/>
    </w:rPr>
  </w:style>
  <w:style w:type="character" w:customStyle="1" w:styleId="Instructions8ptCharChar">
    <w:name w:val="Instructions 8 pt Char Char"/>
    <w:basedOn w:val="InstructionsChar"/>
    <w:link w:val="Instructions8pt"/>
    <w:rsid w:val="004F2CA0"/>
    <w:rPr>
      <w:rFonts w:ascii="Arial" w:eastAsia="Times New Roman" w:hAnsi="Arial" w:cs="Times New Roman"/>
      <w:i/>
      <w:color w:val="FF0000"/>
      <w:sz w:val="16"/>
      <w:szCs w:val="20"/>
    </w:rPr>
  </w:style>
  <w:style w:type="paragraph" w:customStyle="1" w:styleId="PreIndexHeading1">
    <w:name w:val="PreIndexHeading1"/>
    <w:basedOn w:val="Heading1"/>
    <w:link w:val="PreIndexHeading1Char"/>
    <w:qFormat/>
    <w:rsid w:val="006D7E90"/>
  </w:style>
  <w:style w:type="paragraph" w:customStyle="1" w:styleId="PreIndexHeading3">
    <w:name w:val="PreIndexHeading3"/>
    <w:basedOn w:val="Heading3"/>
    <w:link w:val="PreIndexHeading3Char"/>
    <w:rsid w:val="006D7E90"/>
  </w:style>
  <w:style w:type="character" w:customStyle="1" w:styleId="PreIndexHeading1Char">
    <w:name w:val="PreIndexHeading1 Char"/>
    <w:basedOn w:val="Heading1Char"/>
    <w:link w:val="PreIndexHeading1"/>
    <w:rsid w:val="006D7E90"/>
    <w:rPr>
      <w:rFonts w:eastAsia="Times New Roman" w:cstheme="minorHAnsi"/>
      <w:b/>
      <w:bCs/>
      <w:iCs/>
      <w:caps w:val="0"/>
      <w:color w:val="FFFFFF" w:themeColor="background1"/>
      <w:spacing w:val="15"/>
      <w:sz w:val="28"/>
      <w:szCs w:val="28"/>
      <w:shd w:val="clear" w:color="auto" w:fill="4F81BD" w:themeFill="accent1"/>
      <w:lang w:eastAsia="en-GB"/>
    </w:rPr>
  </w:style>
  <w:style w:type="character" w:customStyle="1" w:styleId="PreIndexHeading3Char">
    <w:name w:val="PreIndexHeading3 Char"/>
    <w:basedOn w:val="Heading3Char"/>
    <w:link w:val="PreIndexHeading3"/>
    <w:rsid w:val="006D7E90"/>
    <w:rPr>
      <w:b/>
      <w:caps w:val="0"/>
      <w:color w:val="243F60" w:themeColor="accent1" w:themeShade="7F"/>
      <w:spacing w:val="15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88505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8505C"/>
    <w:pPr>
      <w:spacing w:after="100"/>
      <w:ind w:left="420"/>
    </w:pPr>
  </w:style>
  <w:style w:type="paragraph" w:styleId="TOC2">
    <w:name w:val="toc 2"/>
    <w:basedOn w:val="Normal"/>
    <w:next w:val="Normal"/>
    <w:autoRedefine/>
    <w:uiPriority w:val="39"/>
    <w:unhideWhenUsed/>
    <w:rsid w:val="0088505C"/>
    <w:pPr>
      <w:spacing w:after="100"/>
      <w:ind w:left="210"/>
    </w:pPr>
  </w:style>
  <w:style w:type="paragraph" w:customStyle="1" w:styleId="Numberedheading2">
    <w:name w:val="Numbered heading 2"/>
    <w:basedOn w:val="Heading2-table"/>
    <w:link w:val="Numberedheading2Char"/>
    <w:qFormat/>
    <w:rsid w:val="00C8278E"/>
    <w:pPr>
      <w:numPr>
        <w:ilvl w:val="1"/>
        <w:numId w:val="5"/>
      </w:numPr>
    </w:pPr>
  </w:style>
  <w:style w:type="paragraph" w:customStyle="1" w:styleId="Numberedheading1">
    <w:name w:val="Numbered heading 1"/>
    <w:basedOn w:val="Heading1"/>
    <w:qFormat/>
    <w:rsid w:val="00D22717"/>
    <w:pPr>
      <w:numPr>
        <w:numId w:val="5"/>
      </w:numPr>
    </w:pPr>
  </w:style>
  <w:style w:type="paragraph" w:customStyle="1" w:styleId="Numberedheading3">
    <w:name w:val="Numbered heading 3"/>
    <w:basedOn w:val="Heading3-table"/>
    <w:qFormat/>
    <w:rsid w:val="005B191A"/>
    <w:pPr>
      <w:numPr>
        <w:ilvl w:val="2"/>
        <w:numId w:val="5"/>
      </w:numPr>
    </w:pPr>
  </w:style>
  <w:style w:type="paragraph" w:styleId="ListParagraph">
    <w:name w:val="List Paragraph"/>
    <w:basedOn w:val="Normal"/>
    <w:uiPriority w:val="34"/>
    <w:qFormat/>
    <w:rsid w:val="005B191A"/>
    <w:pPr>
      <w:ind w:left="720"/>
      <w:contextualSpacing/>
    </w:pPr>
  </w:style>
  <w:style w:type="paragraph" w:customStyle="1" w:styleId="Number1">
    <w:name w:val="Number1"/>
    <w:basedOn w:val="Normal"/>
    <w:link w:val="Number1Char"/>
    <w:uiPriority w:val="99"/>
    <w:rsid w:val="005B191A"/>
    <w:pPr>
      <w:widowControl w:val="0"/>
      <w:tabs>
        <w:tab w:val="left" w:pos="397"/>
      </w:tabs>
      <w:adjustRightInd w:val="0"/>
      <w:spacing w:before="60" w:after="60" w:line="240" w:lineRule="auto"/>
      <w:ind w:left="397" w:hanging="397"/>
      <w:textAlignment w:val="baseline"/>
    </w:pPr>
    <w:rPr>
      <w:rFonts w:ascii="Arial" w:eastAsia="Times New Roman" w:hAnsi="Arial" w:cs="Times New Roman"/>
      <w:sz w:val="20"/>
      <w:szCs w:val="16"/>
    </w:rPr>
  </w:style>
  <w:style w:type="character" w:customStyle="1" w:styleId="Number1Char">
    <w:name w:val="Number1 Char"/>
    <w:basedOn w:val="DefaultParagraphFont"/>
    <w:link w:val="Number1"/>
    <w:uiPriority w:val="99"/>
    <w:locked/>
    <w:rsid w:val="005B191A"/>
    <w:rPr>
      <w:rFonts w:ascii="Arial" w:eastAsia="Times New Roman" w:hAnsi="Arial" w:cs="Times New Roman"/>
      <w:sz w:val="20"/>
      <w:szCs w:val="16"/>
    </w:rPr>
  </w:style>
  <w:style w:type="paragraph" w:customStyle="1" w:styleId="Numbered">
    <w:name w:val="Numbered"/>
    <w:basedOn w:val="NormalTable"/>
    <w:qFormat/>
    <w:rsid w:val="00584058"/>
    <w:pPr>
      <w:numPr>
        <w:numId w:val="6"/>
      </w:numPr>
    </w:pPr>
  </w:style>
  <w:style w:type="paragraph" w:styleId="Revision">
    <w:name w:val="Revision"/>
    <w:hidden/>
    <w:uiPriority w:val="99"/>
    <w:semiHidden/>
    <w:rsid w:val="00CF584C"/>
    <w:pPr>
      <w:spacing w:before="0" w:after="0" w:line="240" w:lineRule="auto"/>
    </w:pPr>
    <w:rPr>
      <w:sz w:val="21"/>
      <w:szCs w:val="20"/>
    </w:rPr>
  </w:style>
  <w:style w:type="character" w:customStyle="1" w:styleId="InstructionsChar1">
    <w:name w:val="Instructions Char1"/>
    <w:basedOn w:val="DefaultParagraphFont"/>
    <w:rsid w:val="00584058"/>
    <w:rPr>
      <w:i/>
      <w:iCs/>
      <w:color w:val="FF0000"/>
      <w:sz w:val="22"/>
      <w:lang w:val="en-GB" w:eastAsia="en-US" w:bidi="ar-SA"/>
    </w:rPr>
  </w:style>
  <w:style w:type="paragraph" w:customStyle="1" w:styleId="Instructionstable">
    <w:name w:val="Instructions (table)"/>
    <w:basedOn w:val="NormalTable"/>
    <w:link w:val="InstructionstableChar"/>
    <w:rsid w:val="00584058"/>
    <w:rPr>
      <w:i/>
      <w:color w:val="FF0000"/>
    </w:rPr>
  </w:style>
  <w:style w:type="paragraph" w:customStyle="1" w:styleId="instructions0">
    <w:name w:val="instructions"/>
    <w:basedOn w:val="Normal"/>
    <w:link w:val="instructionsChar0"/>
    <w:rsid w:val="002E563A"/>
    <w:pPr>
      <w:spacing w:before="180" w:after="120" w:line="240" w:lineRule="auto"/>
    </w:pPr>
    <w:rPr>
      <w:rFonts w:ascii="Times New Roman" w:eastAsia="Times New Roman" w:hAnsi="Times New Roman" w:cs="Times New Roman"/>
      <w:i/>
      <w:iCs/>
      <w:color w:val="FF0000"/>
      <w:sz w:val="22"/>
    </w:rPr>
  </w:style>
  <w:style w:type="character" w:customStyle="1" w:styleId="NormalTableChar">
    <w:name w:val="Normal (Table) Char"/>
    <w:basedOn w:val="DefaultParagraphFont"/>
    <w:link w:val="NormalTable"/>
    <w:rsid w:val="00584058"/>
    <w:rPr>
      <w:sz w:val="20"/>
      <w:szCs w:val="20"/>
    </w:rPr>
  </w:style>
  <w:style w:type="character" w:customStyle="1" w:styleId="InstructionstableChar">
    <w:name w:val="Instructions (table) Char"/>
    <w:basedOn w:val="NormalTableChar"/>
    <w:link w:val="Instructionstable"/>
    <w:rsid w:val="00584058"/>
    <w:rPr>
      <w:i/>
      <w:color w:val="FF0000"/>
      <w:sz w:val="20"/>
      <w:szCs w:val="20"/>
    </w:rPr>
  </w:style>
  <w:style w:type="character" w:customStyle="1" w:styleId="instructionsChar0">
    <w:name w:val="instructions Char"/>
    <w:basedOn w:val="DefaultParagraphFont"/>
    <w:link w:val="instructions0"/>
    <w:rsid w:val="002E563A"/>
    <w:rPr>
      <w:rFonts w:ascii="Times New Roman" w:eastAsia="Times New Roman" w:hAnsi="Times New Roman" w:cs="Times New Roman"/>
      <w:i/>
      <w:iCs/>
      <w:color w:val="FF0000"/>
      <w:szCs w:val="20"/>
    </w:rPr>
  </w:style>
  <w:style w:type="character" w:customStyle="1" w:styleId="instructionsCharChar">
    <w:name w:val="instructions Char Char"/>
    <w:basedOn w:val="DefaultParagraphFont"/>
    <w:rsid w:val="002E563A"/>
    <w:rPr>
      <w:i/>
      <w:iCs/>
      <w:color w:val="FF0000"/>
      <w:sz w:val="22"/>
      <w:lang w:val="en-GB" w:eastAsia="en-US" w:bidi="ar-SA"/>
    </w:rPr>
  </w:style>
  <w:style w:type="paragraph" w:styleId="NoSpacing">
    <w:name w:val="No Spacing"/>
    <w:uiPriority w:val="1"/>
    <w:qFormat/>
    <w:rsid w:val="00EE22AD"/>
    <w:pPr>
      <w:spacing w:before="0" w:after="0" w:line="240" w:lineRule="auto"/>
    </w:pPr>
    <w:rPr>
      <w:sz w:val="21"/>
      <w:szCs w:val="20"/>
    </w:rPr>
  </w:style>
  <w:style w:type="character" w:customStyle="1" w:styleId="BoxChar">
    <w:name w:val="Box Char"/>
    <w:basedOn w:val="DefaultParagraphFont"/>
    <w:rsid w:val="007013BD"/>
    <w:rPr>
      <w:rFonts w:ascii="Arial" w:hAnsi="Arial" w:cs="Arial"/>
      <w:bCs/>
      <w:sz w:val="40"/>
      <w:lang w:val="en-GB" w:eastAsia="en-US" w:bidi="ar-SA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372FC1"/>
    <w:pPr>
      <w:spacing w:before="120" w:after="120" w:line="240" w:lineRule="auto"/>
    </w:pPr>
    <w:rPr>
      <w:rFonts w:ascii="Calibri" w:eastAsia="Times New Roman" w:hAnsi="Calibri" w:cs="Calibri"/>
      <w:noProof/>
      <w:sz w:val="20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rsid w:val="00372FC1"/>
    <w:rPr>
      <w:rFonts w:ascii="Calibri" w:eastAsia="Times New Roman" w:hAnsi="Calibri" w:cs="Calibri"/>
      <w:noProof/>
      <w:sz w:val="20"/>
      <w:lang w:val="en-US" w:eastAsia="en-GB"/>
    </w:rPr>
  </w:style>
  <w:style w:type="paragraph" w:customStyle="1" w:styleId="NumHeading2">
    <w:name w:val="Num Heading 2"/>
    <w:basedOn w:val="Numberedheading2"/>
    <w:link w:val="NumHeading2Char"/>
    <w:qFormat/>
    <w:rsid w:val="00D22717"/>
  </w:style>
  <w:style w:type="character" w:customStyle="1" w:styleId="Heading2-tableChar">
    <w:name w:val="Heading 2-table Char"/>
    <w:basedOn w:val="Heading2Char"/>
    <w:link w:val="Heading2-table"/>
    <w:rsid w:val="00D22717"/>
    <w:rPr>
      <w:b/>
      <w:sz w:val="24"/>
      <w:szCs w:val="20"/>
      <w:lang w:eastAsia="en-GB"/>
    </w:rPr>
  </w:style>
  <w:style w:type="character" w:customStyle="1" w:styleId="Numberedheading2Char">
    <w:name w:val="Numbered heading 2 Char"/>
    <w:basedOn w:val="Heading2-tableChar"/>
    <w:link w:val="Numberedheading2"/>
    <w:rsid w:val="00D22717"/>
    <w:rPr>
      <w:b/>
      <w:sz w:val="26"/>
      <w:szCs w:val="26"/>
      <w:lang w:eastAsia="en-GB"/>
    </w:rPr>
  </w:style>
  <w:style w:type="character" w:customStyle="1" w:styleId="NumHeading2Char">
    <w:name w:val="Num Heading 2 Char"/>
    <w:basedOn w:val="Numberedheading2Char"/>
    <w:link w:val="NumHeading2"/>
    <w:rsid w:val="00D22717"/>
    <w:rPr>
      <w:b/>
      <w:sz w:val="26"/>
      <w:szCs w:val="26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8F3DF7"/>
    <w:pPr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InstructionsChar"/>
    <w:link w:val="EndNoteBibliographyTitle"/>
    <w:rsid w:val="008F3DF7"/>
    <w:rPr>
      <w:rFonts w:ascii="Calibri" w:hAnsi="Calibri" w:cs="Calibri"/>
      <w:i w:val="0"/>
      <w:noProof/>
      <w:color w:val="FF0000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0E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049BF"/>
  </w:style>
  <w:style w:type="paragraph" w:customStyle="1" w:styleId="Numberedheading4">
    <w:name w:val="Numbered heading 4"/>
    <w:basedOn w:val="Numberedheading3"/>
    <w:next w:val="Normal"/>
    <w:rsid w:val="00435D21"/>
    <w:pPr>
      <w:numPr>
        <w:ilvl w:val="3"/>
        <w:numId w:val="7"/>
      </w:numPr>
      <w:spacing w:before="240" w:after="60" w:line="240" w:lineRule="auto"/>
      <w:jc w:val="left"/>
    </w:pPr>
    <w:rPr>
      <w:rFonts w:ascii="Arial" w:eastAsia="Times New Roman" w:hAnsi="Arial" w:cs="Arial"/>
      <w:bCs/>
      <w:sz w:val="20"/>
      <w:szCs w:val="26"/>
      <w:lang w:eastAsia="en-US"/>
    </w:rPr>
  </w:style>
  <w:style w:type="paragraph" w:customStyle="1" w:styleId="NumberedHeading40">
    <w:name w:val="Numbered Heading 4"/>
    <w:basedOn w:val="Normal"/>
    <w:uiPriority w:val="99"/>
    <w:qFormat/>
    <w:rsid w:val="0083306B"/>
    <w:pPr>
      <w:spacing w:before="200" w:after="200" w:line="276" w:lineRule="auto"/>
      <w:ind w:left="357" w:hanging="357"/>
      <w:jc w:val="left"/>
    </w:pPr>
    <w:rPr>
      <w:b/>
      <w:lang w:eastAsia="en-US"/>
    </w:rPr>
  </w:style>
  <w:style w:type="paragraph" w:customStyle="1" w:styleId="PreIndexHeading2">
    <w:name w:val="PreIndexHeading2"/>
    <w:basedOn w:val="Heading2"/>
    <w:link w:val="PreIndexHeading2Char"/>
    <w:qFormat/>
    <w:rsid w:val="005269C1"/>
    <w:pPr>
      <w:spacing w:before="240" w:after="60" w:line="240" w:lineRule="auto"/>
      <w:ind w:left="567" w:hanging="567"/>
      <w:jc w:val="left"/>
    </w:pPr>
    <w:rPr>
      <w:rFonts w:eastAsia="Times New Roman" w:cstheme="minorHAnsi"/>
      <w:bCs/>
      <w:iCs/>
      <w:sz w:val="24"/>
      <w:szCs w:val="28"/>
    </w:rPr>
  </w:style>
  <w:style w:type="character" w:customStyle="1" w:styleId="PreIndexHeading2Char">
    <w:name w:val="PreIndexHeading2 Char"/>
    <w:basedOn w:val="Heading3Char"/>
    <w:link w:val="PreIndexHeading2"/>
    <w:rsid w:val="005269C1"/>
    <w:rPr>
      <w:rFonts w:eastAsia="Times New Roman" w:cstheme="minorHAnsi"/>
      <w:b/>
      <w:bCs/>
      <w:iCs/>
      <w:sz w:val="24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5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37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554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4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37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59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910A-E6B6-45D6-B048-1DA34BBF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CRCTU-CLO-QCD-004</vt:lpstr>
    </vt:vector>
  </TitlesOfParts>
  <Company>School of Cancer Sciences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CRCTU-CLO-QCD-004</dc:title>
  <dc:subject>Site Closure Report</dc:subject>
  <dc:creator>Cara Lax-Williams</dc:creator>
  <cp:lastModifiedBy>Catherine Thomas (Cancer Clinical Trials Unit)</cp:lastModifiedBy>
  <cp:revision>2</cp:revision>
  <cp:lastPrinted>2018-06-13T13:29:00Z</cp:lastPrinted>
  <dcterms:created xsi:type="dcterms:W3CDTF">2024-02-02T11:08:00Z</dcterms:created>
  <dcterms:modified xsi:type="dcterms:W3CDTF">2024-02-02T11:08:00Z</dcterms:modified>
  <cp:contentStatus>v2.0</cp:contentStatus>
</cp:coreProperties>
</file>