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24E25" w14:textId="323696C0" w:rsidR="005269C1" w:rsidRPr="004F0F45" w:rsidRDefault="005269C1" w:rsidP="005269C1">
      <w:pPr>
        <w:pStyle w:val="PreIndexHeading1"/>
      </w:pPr>
      <w:bookmarkStart w:id="0" w:name="_Toc108156234"/>
      <w:bookmarkStart w:id="1" w:name="_GoBack"/>
      <w:bookmarkEnd w:id="1"/>
      <w:r w:rsidRPr="004F0F45">
        <w:t xml:space="preserve">Appendix </w:t>
      </w:r>
      <w:r w:rsidR="00BD7002">
        <w:t>6</w:t>
      </w:r>
      <w:r w:rsidRPr="004F0F45">
        <w:t xml:space="preserve"> – Concomitant medications to avoid or use with caution</w:t>
      </w:r>
      <w:bookmarkEnd w:id="0"/>
    </w:p>
    <w:p w14:paraId="2ADCCF96" w14:textId="77777777" w:rsidR="005269C1" w:rsidRDefault="005269C1" w:rsidP="005269C1">
      <w:r w:rsidRPr="004F0F45">
        <w:t>Drugs known or expected to interact with ropeginterferon alfa-2b or fedratinib are provided below. This list is not exhaustive, and the recommendations should be considered when co-administering other medications which interact with the same pharmacokinetic or pharmacodynamic processes.</w:t>
      </w:r>
      <w:r>
        <w:t xml:space="preserve"> </w:t>
      </w:r>
    </w:p>
    <w:p w14:paraId="741487C7" w14:textId="1EDE0CCC" w:rsidR="005269C1" w:rsidRPr="004F0F45" w:rsidRDefault="005269C1" w:rsidP="005269C1">
      <w:r>
        <w:rPr>
          <w:rFonts w:cs="Arial"/>
          <w:iCs/>
        </w:rPr>
        <w:t>A</w:t>
      </w:r>
      <w:r w:rsidRPr="001C23C3">
        <w:rPr>
          <w:rFonts w:cs="Arial"/>
          <w:iCs/>
        </w:rPr>
        <w:t xml:space="preserve"> COVID-19 vaccine given to a trial participant is considered to be a simple concomitant medication with no interaction that requires advice on timing of the vaccine or other aspects.</w:t>
      </w:r>
    </w:p>
    <w:p w14:paraId="52A9D8C6" w14:textId="77777777" w:rsidR="005269C1" w:rsidRPr="004F0F45" w:rsidRDefault="005269C1" w:rsidP="005269C1">
      <w:pPr>
        <w:pStyle w:val="PreIndexHeading2"/>
      </w:pPr>
      <w:bookmarkStart w:id="2" w:name="_Toc108156235"/>
      <w:r w:rsidRPr="004F0F45">
        <w:t>Ropeginterferon alfa-2b</w:t>
      </w:r>
      <w:bookmarkEnd w:id="2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2977"/>
        <w:gridCol w:w="3685"/>
      </w:tblGrid>
      <w:tr w:rsidR="00C35804" w:rsidRPr="004F0F45" w14:paraId="2AEB3C23" w14:textId="77777777" w:rsidTr="00C35804">
        <w:tc>
          <w:tcPr>
            <w:tcW w:w="2547" w:type="dxa"/>
          </w:tcPr>
          <w:p w14:paraId="58EE0AF4" w14:textId="77777777" w:rsidR="005269C1" w:rsidRPr="004F0F45" w:rsidRDefault="005269C1" w:rsidP="005269C1">
            <w:pPr>
              <w:spacing w:line="240" w:lineRule="auto"/>
              <w:rPr>
                <w:rFonts w:cstheme="minorHAnsi"/>
                <w:b/>
                <w:sz w:val="19"/>
                <w:szCs w:val="19"/>
              </w:rPr>
            </w:pPr>
            <w:r w:rsidRPr="004F0F45">
              <w:rPr>
                <w:rFonts w:cstheme="minorHAnsi"/>
                <w:b/>
                <w:sz w:val="19"/>
                <w:szCs w:val="19"/>
              </w:rPr>
              <w:t>Drug group</w:t>
            </w:r>
          </w:p>
        </w:tc>
        <w:tc>
          <w:tcPr>
            <w:tcW w:w="2977" w:type="dxa"/>
          </w:tcPr>
          <w:p w14:paraId="3F27297A" w14:textId="77777777" w:rsidR="005269C1" w:rsidRPr="004F0F45" w:rsidRDefault="005269C1" w:rsidP="005269C1">
            <w:pPr>
              <w:spacing w:line="240" w:lineRule="auto"/>
              <w:rPr>
                <w:rFonts w:cstheme="minorHAnsi"/>
                <w:b/>
                <w:sz w:val="19"/>
                <w:szCs w:val="19"/>
              </w:rPr>
            </w:pPr>
            <w:r w:rsidRPr="004F0F45">
              <w:rPr>
                <w:rFonts w:cstheme="minorHAnsi"/>
                <w:b/>
                <w:sz w:val="19"/>
                <w:szCs w:val="19"/>
              </w:rPr>
              <w:t>Drug</w:t>
            </w:r>
          </w:p>
        </w:tc>
        <w:tc>
          <w:tcPr>
            <w:tcW w:w="3685" w:type="dxa"/>
          </w:tcPr>
          <w:p w14:paraId="5C6F0A4E" w14:textId="77777777" w:rsidR="005269C1" w:rsidRPr="004F0F45" w:rsidRDefault="005269C1" w:rsidP="005269C1">
            <w:pPr>
              <w:spacing w:line="240" w:lineRule="auto"/>
              <w:rPr>
                <w:rFonts w:cstheme="minorHAnsi"/>
                <w:b/>
                <w:sz w:val="19"/>
                <w:szCs w:val="19"/>
              </w:rPr>
            </w:pPr>
            <w:r w:rsidRPr="004F0F45">
              <w:rPr>
                <w:rFonts w:cstheme="minorHAnsi"/>
                <w:b/>
                <w:sz w:val="19"/>
                <w:szCs w:val="19"/>
              </w:rPr>
              <w:t>Recommendation</w:t>
            </w:r>
          </w:p>
        </w:tc>
      </w:tr>
      <w:tr w:rsidR="00C35804" w:rsidRPr="004F0F45" w14:paraId="210CAC09" w14:textId="77777777" w:rsidTr="00C35804">
        <w:tc>
          <w:tcPr>
            <w:tcW w:w="2547" w:type="dxa"/>
          </w:tcPr>
          <w:p w14:paraId="1D6ED07A" w14:textId="77777777" w:rsidR="005269C1" w:rsidRPr="004F0F45" w:rsidRDefault="005269C1" w:rsidP="005269C1">
            <w:pPr>
              <w:spacing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977" w:type="dxa"/>
          </w:tcPr>
          <w:p w14:paraId="3F408FEB" w14:textId="77777777" w:rsidR="005269C1" w:rsidRPr="004F0F45" w:rsidRDefault="005269C1" w:rsidP="005269C1">
            <w:pPr>
              <w:spacing w:line="240" w:lineRule="auto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Telbivudine</w:t>
            </w:r>
          </w:p>
        </w:tc>
        <w:tc>
          <w:tcPr>
            <w:tcW w:w="3685" w:type="dxa"/>
          </w:tcPr>
          <w:p w14:paraId="2ADDFBAB" w14:textId="77777777" w:rsidR="005269C1" w:rsidRPr="004F0F45" w:rsidRDefault="005269C1" w:rsidP="005269C1">
            <w:pPr>
              <w:spacing w:line="240" w:lineRule="auto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Contra-indicated</w:t>
            </w:r>
          </w:p>
        </w:tc>
      </w:tr>
      <w:tr w:rsidR="00C35804" w:rsidRPr="004F0F45" w14:paraId="6D2D7767" w14:textId="77777777" w:rsidTr="00C35804">
        <w:tc>
          <w:tcPr>
            <w:tcW w:w="2547" w:type="dxa"/>
          </w:tcPr>
          <w:p w14:paraId="7E3091BC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CYP1A2 substrates with narrow therapeutic index</w:t>
            </w:r>
          </w:p>
        </w:tc>
        <w:tc>
          <w:tcPr>
            <w:tcW w:w="2977" w:type="dxa"/>
          </w:tcPr>
          <w:p w14:paraId="2853C98B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Methadone, theophylline</w:t>
            </w:r>
          </w:p>
        </w:tc>
        <w:tc>
          <w:tcPr>
            <w:tcW w:w="3685" w:type="dxa"/>
          </w:tcPr>
          <w:p w14:paraId="316790DF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Caution – ropeginterferon alfa-2b may increase exposure</w:t>
            </w:r>
          </w:p>
        </w:tc>
      </w:tr>
      <w:tr w:rsidR="00C35804" w:rsidRPr="004F0F45" w14:paraId="530A548D" w14:textId="77777777" w:rsidTr="00C35804">
        <w:tc>
          <w:tcPr>
            <w:tcW w:w="2547" w:type="dxa"/>
          </w:tcPr>
          <w:p w14:paraId="044A93B2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CYP2D6 substrates</w:t>
            </w:r>
          </w:p>
        </w:tc>
        <w:tc>
          <w:tcPr>
            <w:tcW w:w="2977" w:type="dxa"/>
          </w:tcPr>
          <w:p w14:paraId="3C10CF15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Atomoxetine, desipramine, dextromethorphan, eliglustat, nebivolol, nortriptyline, perphenazine, risperidone, tolterodine, R-venlafaxine</w:t>
            </w:r>
          </w:p>
        </w:tc>
        <w:tc>
          <w:tcPr>
            <w:tcW w:w="3685" w:type="dxa"/>
          </w:tcPr>
          <w:p w14:paraId="6BE5340A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Caution – ropeginterferon alfa-2b may increase exposure</w:t>
            </w:r>
          </w:p>
        </w:tc>
      </w:tr>
      <w:tr w:rsidR="005269C1" w:rsidRPr="004F0F45" w14:paraId="3238DF4F" w14:textId="77777777" w:rsidTr="00C35804">
        <w:tc>
          <w:tcPr>
            <w:tcW w:w="5524" w:type="dxa"/>
            <w:gridSpan w:val="2"/>
          </w:tcPr>
          <w:p w14:paraId="4E5A74DF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Myelosuppressive drugs</w:t>
            </w:r>
          </w:p>
        </w:tc>
        <w:tc>
          <w:tcPr>
            <w:tcW w:w="3685" w:type="dxa"/>
          </w:tcPr>
          <w:p w14:paraId="7F426C12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Caution – ropeginterferon alfa-2b may enhance effect on bone marrow</w:t>
            </w:r>
          </w:p>
        </w:tc>
      </w:tr>
      <w:tr w:rsidR="005269C1" w:rsidRPr="004F0F45" w14:paraId="4146356F" w14:textId="77777777" w:rsidTr="00C35804">
        <w:trPr>
          <w:trHeight w:val="70"/>
        </w:trPr>
        <w:tc>
          <w:tcPr>
            <w:tcW w:w="5524" w:type="dxa"/>
            <w:gridSpan w:val="2"/>
          </w:tcPr>
          <w:p w14:paraId="4ADB9B69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Narcotics, hypnotics, sedatives</w:t>
            </w:r>
          </w:p>
        </w:tc>
        <w:tc>
          <w:tcPr>
            <w:tcW w:w="3685" w:type="dxa"/>
          </w:tcPr>
          <w:p w14:paraId="65E5F072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Caution – ropeginterferon alfa-2b may enhance sedation</w:t>
            </w:r>
          </w:p>
        </w:tc>
      </w:tr>
    </w:tbl>
    <w:p w14:paraId="3D7CAC01" w14:textId="77777777" w:rsidR="005269C1" w:rsidRPr="004F0F45" w:rsidRDefault="005269C1" w:rsidP="005269C1">
      <w:pPr>
        <w:pStyle w:val="PreIndexHeading2"/>
      </w:pPr>
      <w:bookmarkStart w:id="3" w:name="_Toc108156236"/>
      <w:r w:rsidRPr="004F0F45">
        <w:t>Fedratinib</w:t>
      </w:r>
      <w:bookmarkEnd w:id="3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122"/>
        <w:gridCol w:w="3402"/>
        <w:gridCol w:w="3685"/>
      </w:tblGrid>
      <w:tr w:rsidR="005269C1" w:rsidRPr="004F0F45" w14:paraId="3FA5FC7D" w14:textId="77777777" w:rsidTr="00BD7002">
        <w:trPr>
          <w:tblHeader/>
        </w:trPr>
        <w:tc>
          <w:tcPr>
            <w:tcW w:w="2122" w:type="dxa"/>
          </w:tcPr>
          <w:p w14:paraId="72DF838B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b/>
                <w:sz w:val="19"/>
                <w:szCs w:val="19"/>
              </w:rPr>
            </w:pPr>
            <w:r w:rsidRPr="004F0F45">
              <w:rPr>
                <w:rFonts w:cstheme="minorHAnsi"/>
                <w:b/>
                <w:sz w:val="19"/>
                <w:szCs w:val="19"/>
              </w:rPr>
              <w:t>Drug group</w:t>
            </w:r>
          </w:p>
        </w:tc>
        <w:tc>
          <w:tcPr>
            <w:tcW w:w="3402" w:type="dxa"/>
          </w:tcPr>
          <w:p w14:paraId="03C65BE4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b/>
                <w:sz w:val="19"/>
                <w:szCs w:val="19"/>
              </w:rPr>
            </w:pPr>
            <w:r w:rsidRPr="004F0F45">
              <w:rPr>
                <w:rFonts w:cstheme="minorHAnsi"/>
                <w:b/>
                <w:sz w:val="19"/>
                <w:szCs w:val="19"/>
              </w:rPr>
              <w:t>Drug</w:t>
            </w:r>
          </w:p>
        </w:tc>
        <w:tc>
          <w:tcPr>
            <w:tcW w:w="3685" w:type="dxa"/>
          </w:tcPr>
          <w:p w14:paraId="6BBFFEFC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b/>
                <w:sz w:val="19"/>
                <w:szCs w:val="19"/>
              </w:rPr>
            </w:pPr>
            <w:r w:rsidRPr="004F0F45">
              <w:rPr>
                <w:rFonts w:cstheme="minorHAnsi"/>
                <w:b/>
                <w:sz w:val="19"/>
                <w:szCs w:val="19"/>
              </w:rPr>
              <w:t>Recommendation</w:t>
            </w:r>
          </w:p>
        </w:tc>
      </w:tr>
      <w:tr w:rsidR="005269C1" w:rsidRPr="004F0F45" w14:paraId="7FE70AF1" w14:textId="77777777" w:rsidTr="00C35804">
        <w:tc>
          <w:tcPr>
            <w:tcW w:w="2122" w:type="dxa"/>
          </w:tcPr>
          <w:p w14:paraId="5DD41376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Strong CYP3A4 inhibitors</w:t>
            </w:r>
          </w:p>
        </w:tc>
        <w:tc>
          <w:tcPr>
            <w:tcW w:w="3402" w:type="dxa"/>
          </w:tcPr>
          <w:p w14:paraId="2BFB7DB8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Boceprevir, clarithromycin, cobicistat, elvitegravir, idelalisib, indinavir, itraconazole, ketoconazole, lopinavir, nefazodone, nelfinavir, posaconazole, rifampicin, ritonavir, saquinavir, telaprevir, telfinavir, telithromycin, troleandomycin, voriconazole</w:t>
            </w:r>
          </w:p>
          <w:p w14:paraId="6A12CC3D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</w:p>
          <w:p w14:paraId="6E323C8A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Grapefruit juice, Seville oranges</w:t>
            </w:r>
          </w:p>
        </w:tc>
        <w:tc>
          <w:tcPr>
            <w:tcW w:w="3685" w:type="dxa"/>
          </w:tcPr>
          <w:p w14:paraId="1849680E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Avoid – increases exposure to fedratinib.</w:t>
            </w:r>
          </w:p>
          <w:p w14:paraId="5329A68B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If use cannot be avoided, reduce fedratinib dose and monitor carefully (at least weekly) for safety.</w:t>
            </w:r>
          </w:p>
        </w:tc>
      </w:tr>
      <w:tr w:rsidR="005269C1" w:rsidRPr="004F0F45" w14:paraId="6927FF94" w14:textId="77777777" w:rsidTr="00C35804">
        <w:tc>
          <w:tcPr>
            <w:tcW w:w="2122" w:type="dxa"/>
          </w:tcPr>
          <w:p w14:paraId="5D9BC7B2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Moderate CYP3A4 inhibitors</w:t>
            </w:r>
          </w:p>
        </w:tc>
        <w:tc>
          <w:tcPr>
            <w:tcW w:w="3402" w:type="dxa"/>
          </w:tcPr>
          <w:p w14:paraId="3C48D327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Aprepitant, ciclosporin, ciprofloxacin, conivaptan, crizotinib, diltiazem, dronedarone, erythromycin, fluconazole, imatinib, tofisopam, verapamil</w:t>
            </w:r>
          </w:p>
        </w:tc>
        <w:tc>
          <w:tcPr>
            <w:tcW w:w="3685" w:type="dxa"/>
          </w:tcPr>
          <w:p w14:paraId="50D950B0" w14:textId="014EEEE4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Avoid prolonged administration – may increase exposure to fedratinib.</w:t>
            </w:r>
          </w:p>
          <w:p w14:paraId="3BF961C1" w14:textId="248259D0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If use cannot be avoided, monitor carefully for safety, and modify dose according to adverse reactions.</w:t>
            </w:r>
          </w:p>
        </w:tc>
      </w:tr>
      <w:tr w:rsidR="005269C1" w:rsidRPr="004F0F45" w14:paraId="55701E41" w14:textId="77777777" w:rsidTr="00C35804">
        <w:tc>
          <w:tcPr>
            <w:tcW w:w="2122" w:type="dxa"/>
          </w:tcPr>
          <w:p w14:paraId="3E84C222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CYP2C19 inhibitors</w:t>
            </w:r>
          </w:p>
        </w:tc>
        <w:tc>
          <w:tcPr>
            <w:tcW w:w="3402" w:type="dxa"/>
          </w:tcPr>
          <w:p w14:paraId="06186560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Fluoxetine, ticlopidine</w:t>
            </w:r>
          </w:p>
        </w:tc>
        <w:tc>
          <w:tcPr>
            <w:tcW w:w="3685" w:type="dxa"/>
          </w:tcPr>
          <w:p w14:paraId="70F5D13D" w14:textId="285DD87E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Avoid – may increase exposure to fedratinib.</w:t>
            </w:r>
          </w:p>
          <w:p w14:paraId="2169084C" w14:textId="3F524D43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If use cannot be avoided, monitor carefully for safety, and modify dose according to adverse reactions.</w:t>
            </w:r>
          </w:p>
        </w:tc>
      </w:tr>
      <w:tr w:rsidR="005269C1" w:rsidRPr="004F0F45" w14:paraId="527FFD73" w14:textId="77777777" w:rsidTr="00C35804">
        <w:tc>
          <w:tcPr>
            <w:tcW w:w="2122" w:type="dxa"/>
          </w:tcPr>
          <w:p w14:paraId="49458ADD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Dual inhibitors of CYP3A4 and CYP2C19</w:t>
            </w:r>
          </w:p>
        </w:tc>
        <w:tc>
          <w:tcPr>
            <w:tcW w:w="3402" w:type="dxa"/>
          </w:tcPr>
          <w:p w14:paraId="0BED25AB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Fluconazole, fluvoxamine</w:t>
            </w:r>
          </w:p>
          <w:p w14:paraId="23CABB62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(or combinations of the drugs described in the relevant sections above)</w:t>
            </w:r>
          </w:p>
        </w:tc>
        <w:tc>
          <w:tcPr>
            <w:tcW w:w="3685" w:type="dxa"/>
          </w:tcPr>
          <w:p w14:paraId="33836329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Avoid – may increase exposure to fedratinib.</w:t>
            </w:r>
          </w:p>
        </w:tc>
      </w:tr>
      <w:tr w:rsidR="005269C1" w:rsidRPr="004F0F45" w14:paraId="20468168" w14:textId="77777777" w:rsidTr="00C35804">
        <w:tc>
          <w:tcPr>
            <w:tcW w:w="2122" w:type="dxa"/>
          </w:tcPr>
          <w:p w14:paraId="132B11A7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Strong or moderate CYP3A4 inducers</w:t>
            </w:r>
          </w:p>
        </w:tc>
        <w:tc>
          <w:tcPr>
            <w:tcW w:w="3402" w:type="dxa"/>
          </w:tcPr>
          <w:p w14:paraId="7650E438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Apalutamide, carbamazepine,</w:t>
            </w:r>
            <w:r>
              <w:t xml:space="preserve"> </w:t>
            </w:r>
            <w:r w:rsidRPr="001E3A19">
              <w:rPr>
                <w:rFonts w:cstheme="minorHAnsi"/>
                <w:sz w:val="19"/>
                <w:szCs w:val="19"/>
              </w:rPr>
              <w:t xml:space="preserve">efavirenz, </w:t>
            </w:r>
            <w:r w:rsidRPr="004F0F45">
              <w:rPr>
                <w:rFonts w:cstheme="minorHAnsi"/>
                <w:sz w:val="19"/>
                <w:szCs w:val="19"/>
              </w:rPr>
              <w:t>enzalutamide, mitotane, phenytoin, rifampin, St. John’s wort</w:t>
            </w:r>
          </w:p>
          <w:p w14:paraId="18502D29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</w:p>
          <w:p w14:paraId="56E13843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color w:val="333333"/>
                <w:sz w:val="19"/>
                <w:szCs w:val="19"/>
                <w:shd w:val="clear" w:color="auto" w:fill="FFFFFF"/>
              </w:rPr>
              <w:lastRenderedPageBreak/>
              <w:t>Bosentan, efavirenz, etravirine, phenobarbital, primidone</w:t>
            </w:r>
          </w:p>
        </w:tc>
        <w:tc>
          <w:tcPr>
            <w:tcW w:w="3685" w:type="dxa"/>
          </w:tcPr>
          <w:p w14:paraId="19384F4A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lastRenderedPageBreak/>
              <w:t>Avoid – may reduce exposure to fedratinib.</w:t>
            </w:r>
          </w:p>
        </w:tc>
      </w:tr>
      <w:tr w:rsidR="005269C1" w:rsidRPr="004F0F45" w14:paraId="35BE18BC" w14:textId="77777777" w:rsidTr="00C35804">
        <w:tc>
          <w:tcPr>
            <w:tcW w:w="2122" w:type="dxa"/>
          </w:tcPr>
          <w:p w14:paraId="4BDF3D1C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CYP3A4 substrates</w:t>
            </w:r>
          </w:p>
        </w:tc>
        <w:tc>
          <w:tcPr>
            <w:tcW w:w="3402" w:type="dxa"/>
          </w:tcPr>
          <w:p w14:paraId="4E383C34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Alfentanil, avanafil, buspirone, conivaptan, darifenacin, darunavir, ebastine, everolimus, ibrutinib, lomitapide, lovastatin, midazolam, naloxegol, nisoldipine, saquinavir, simvastatin, sirolimus, tacrolimus, tipranavir, triazolam, vardenafil</w:t>
            </w:r>
          </w:p>
        </w:tc>
        <w:tc>
          <w:tcPr>
            <w:tcW w:w="3685" w:type="dxa"/>
            <w:vMerge w:val="restart"/>
          </w:tcPr>
          <w:p w14:paraId="5E6A7958" w14:textId="3A69A1AF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Caution – fedratinib may increase exposure. Monitor closely for safety and efficacy and modify doses of these drugs as required.</w:t>
            </w:r>
          </w:p>
        </w:tc>
      </w:tr>
      <w:tr w:rsidR="005269C1" w:rsidRPr="004F0F45" w14:paraId="10B9B485" w14:textId="77777777" w:rsidTr="00C35804">
        <w:tc>
          <w:tcPr>
            <w:tcW w:w="2122" w:type="dxa"/>
          </w:tcPr>
          <w:p w14:paraId="58C7B020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CYP2C19 substrates</w:t>
            </w:r>
          </w:p>
        </w:tc>
        <w:tc>
          <w:tcPr>
            <w:tcW w:w="3402" w:type="dxa"/>
          </w:tcPr>
          <w:p w14:paraId="7FBC8E91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S-mephenytoin, omeprazole</w:t>
            </w:r>
          </w:p>
        </w:tc>
        <w:tc>
          <w:tcPr>
            <w:tcW w:w="3685" w:type="dxa"/>
            <w:vMerge/>
          </w:tcPr>
          <w:p w14:paraId="7FB653CC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</w:p>
        </w:tc>
      </w:tr>
      <w:tr w:rsidR="005269C1" w:rsidRPr="004F0F45" w14:paraId="2E9A4199" w14:textId="77777777" w:rsidTr="00C35804">
        <w:tc>
          <w:tcPr>
            <w:tcW w:w="2122" w:type="dxa"/>
          </w:tcPr>
          <w:p w14:paraId="3F4F0C16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CYP2D6 substrates</w:t>
            </w:r>
          </w:p>
        </w:tc>
        <w:tc>
          <w:tcPr>
            <w:tcW w:w="3402" w:type="dxa"/>
          </w:tcPr>
          <w:p w14:paraId="568F838E" w14:textId="63AE2D6B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  <w:r w:rsidRPr="004F0F45">
              <w:rPr>
                <w:rFonts w:cstheme="minorHAnsi"/>
                <w:sz w:val="19"/>
                <w:szCs w:val="19"/>
              </w:rPr>
              <w:t>Atomoxetine, desipramine, dextromethorphan, eliglustat, nebivolol, nortriptyline, perphenazine, tolterodine, R-venlafaxine</w:t>
            </w:r>
          </w:p>
        </w:tc>
        <w:tc>
          <w:tcPr>
            <w:tcW w:w="3685" w:type="dxa"/>
            <w:vMerge/>
          </w:tcPr>
          <w:p w14:paraId="5AB6B713" w14:textId="77777777" w:rsidR="005269C1" w:rsidRPr="004F0F45" w:rsidRDefault="005269C1" w:rsidP="005269C1">
            <w:pPr>
              <w:spacing w:line="240" w:lineRule="auto"/>
              <w:jc w:val="left"/>
              <w:rPr>
                <w:rFonts w:cstheme="minorHAnsi"/>
                <w:sz w:val="19"/>
                <w:szCs w:val="19"/>
              </w:rPr>
            </w:pPr>
          </w:p>
        </w:tc>
      </w:tr>
    </w:tbl>
    <w:p w14:paraId="53648FA5" w14:textId="77777777" w:rsidR="00EE22AD" w:rsidRPr="006D7E90" w:rsidRDefault="00EE22AD" w:rsidP="00C35804"/>
    <w:sectPr w:rsidR="00EE22AD" w:rsidRPr="006D7E90" w:rsidSect="004B0DA2">
      <w:headerReference w:type="default" r:id="rId8"/>
      <w:footerReference w:type="default" r:id="rId9"/>
      <w:pgSz w:w="11906" w:h="16838"/>
      <w:pgMar w:top="1440" w:right="1440" w:bottom="1440" w:left="1440" w:header="709" w:footer="136" w:gutter="0"/>
      <w:lnNumType w:countBy="1" w:restart="continuous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1BAFF" w14:textId="77777777" w:rsidR="00E33FAF" w:rsidRDefault="00E33FAF" w:rsidP="005049BF">
      <w:r>
        <w:separator/>
      </w:r>
    </w:p>
  </w:endnote>
  <w:endnote w:type="continuationSeparator" w:id="0">
    <w:p w14:paraId="07BA3D9F" w14:textId="77777777" w:rsidR="00E33FAF" w:rsidRDefault="00E33FAF" w:rsidP="005049BF">
      <w:r>
        <w:continuationSeparator/>
      </w:r>
    </w:p>
  </w:endnote>
  <w:endnote w:type="continuationNotice" w:id="1">
    <w:p w14:paraId="34229AC4" w14:textId="77777777" w:rsidR="00E33FAF" w:rsidRDefault="00E33FAF" w:rsidP="005049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14435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AE3824" w14:textId="4B010BB1" w:rsidR="00C35804" w:rsidRDefault="00C3580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108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108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44985F" w14:textId="77777777" w:rsidR="00E33FAF" w:rsidRDefault="00E33FAF" w:rsidP="00504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B3672" w14:textId="77777777" w:rsidR="00E33FAF" w:rsidRDefault="00E33FAF" w:rsidP="005049BF">
      <w:r>
        <w:separator/>
      </w:r>
    </w:p>
  </w:footnote>
  <w:footnote w:type="continuationSeparator" w:id="0">
    <w:p w14:paraId="67A2A024" w14:textId="77777777" w:rsidR="00E33FAF" w:rsidRDefault="00E33FAF" w:rsidP="005049BF">
      <w:r>
        <w:continuationSeparator/>
      </w:r>
    </w:p>
  </w:footnote>
  <w:footnote w:type="continuationNotice" w:id="1">
    <w:p w14:paraId="0A9A95D3" w14:textId="77777777" w:rsidR="00E33FAF" w:rsidRDefault="00E33FAF" w:rsidP="005049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EABA6" w14:textId="3DF4B696" w:rsidR="00E33FAF" w:rsidRDefault="00C944B1" w:rsidP="005049BF">
    <w:pPr>
      <w:pStyle w:val="Header"/>
    </w:pPr>
    <w:r>
      <w:t>FEDORA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5D9A"/>
    <w:multiLevelType w:val="hybridMultilevel"/>
    <w:tmpl w:val="6CB60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C4B18"/>
    <w:multiLevelType w:val="multilevel"/>
    <w:tmpl w:val="2870D090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61D4375"/>
    <w:multiLevelType w:val="hybridMultilevel"/>
    <w:tmpl w:val="D64E2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12FBC"/>
    <w:multiLevelType w:val="hybridMultilevel"/>
    <w:tmpl w:val="DBAA9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D4325"/>
    <w:multiLevelType w:val="hybridMultilevel"/>
    <w:tmpl w:val="F1E8F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F2EDF"/>
    <w:multiLevelType w:val="multilevel"/>
    <w:tmpl w:val="F0EE6D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67A49"/>
    <w:multiLevelType w:val="multilevel"/>
    <w:tmpl w:val="F4C6090E"/>
    <w:lvl w:ilvl="0">
      <w:start w:val="1"/>
      <w:numFmt w:val="decimal"/>
      <w:pStyle w:val="Mainlistpoin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listpoint1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Sublistpoint2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B697310"/>
    <w:multiLevelType w:val="multilevel"/>
    <w:tmpl w:val="B3C626B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Numberedheading4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8" w15:restartNumberingAfterBreak="0">
    <w:nsid w:val="0CFB1C03"/>
    <w:multiLevelType w:val="hybridMultilevel"/>
    <w:tmpl w:val="CD584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411B9"/>
    <w:multiLevelType w:val="hybridMultilevel"/>
    <w:tmpl w:val="3A7AC5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C626E"/>
    <w:multiLevelType w:val="hybridMultilevel"/>
    <w:tmpl w:val="3C9A5784"/>
    <w:lvl w:ilvl="0" w:tplc="DFA4F71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019080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1B0809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00F0809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19080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01B0809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0F0809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019080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01B0809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8232DB2"/>
    <w:multiLevelType w:val="hybridMultilevel"/>
    <w:tmpl w:val="6F882A82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270623"/>
    <w:multiLevelType w:val="hybridMultilevel"/>
    <w:tmpl w:val="32148594"/>
    <w:lvl w:ilvl="0" w:tplc="B7E2077A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 w15:restartNumberingAfterBreak="0">
    <w:nsid w:val="27A51912"/>
    <w:multiLevelType w:val="hybridMultilevel"/>
    <w:tmpl w:val="5D341352"/>
    <w:lvl w:ilvl="0" w:tplc="81F641EC">
      <w:start w:val="1"/>
      <w:numFmt w:val="decimal"/>
      <w:pStyle w:val="Numbered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73A5F"/>
    <w:multiLevelType w:val="multilevel"/>
    <w:tmpl w:val="706A21A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pStyle w:val="bullet2"/>
      <w:lvlText w:val="o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4"/>
        </w:tabs>
        <w:ind w:left="27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4"/>
        </w:tabs>
        <w:ind w:left="34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144"/>
        </w:tabs>
        <w:ind w:left="41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4"/>
        </w:tabs>
        <w:ind w:left="48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4"/>
        </w:tabs>
        <w:ind w:left="55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304"/>
        </w:tabs>
        <w:ind w:left="6304" w:hanging="360"/>
      </w:pPr>
      <w:rPr>
        <w:rFonts w:ascii="Wingdings" w:hAnsi="Wingdings" w:hint="default"/>
      </w:rPr>
    </w:lvl>
  </w:abstractNum>
  <w:abstractNum w:abstractNumId="15" w15:restartNumberingAfterBreak="0">
    <w:nsid w:val="2EB45B81"/>
    <w:multiLevelType w:val="hybridMultilevel"/>
    <w:tmpl w:val="385A4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75916"/>
    <w:multiLevelType w:val="hybridMultilevel"/>
    <w:tmpl w:val="F12E2A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62DB7"/>
    <w:multiLevelType w:val="hybridMultilevel"/>
    <w:tmpl w:val="1AA6CB4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941D3"/>
    <w:multiLevelType w:val="hybridMultilevel"/>
    <w:tmpl w:val="F1E8F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45CBD"/>
    <w:multiLevelType w:val="hybridMultilevel"/>
    <w:tmpl w:val="20942D1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DA6389B"/>
    <w:multiLevelType w:val="hybridMultilevel"/>
    <w:tmpl w:val="AF12C1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9051C6"/>
    <w:multiLevelType w:val="multilevel"/>
    <w:tmpl w:val="1DDA7ED0"/>
    <w:lvl w:ilvl="0">
      <w:start w:val="1"/>
      <w:numFmt w:val="decimal"/>
      <w:pStyle w:val="Numbered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beredheading2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pStyle w:val="Numberedheading3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BE549AB"/>
    <w:multiLevelType w:val="hybridMultilevel"/>
    <w:tmpl w:val="D3D2A86E"/>
    <w:lvl w:ilvl="0" w:tplc="B7E2077A">
      <w:start w:val="1"/>
      <w:numFmt w:val="bullet"/>
      <w:pStyle w:val="bullet3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3" w15:restartNumberingAfterBreak="0">
    <w:nsid w:val="5D2C3869"/>
    <w:multiLevelType w:val="hybridMultilevel"/>
    <w:tmpl w:val="C826D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47EAE"/>
    <w:multiLevelType w:val="hybridMultilevel"/>
    <w:tmpl w:val="66AEA6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272F31"/>
    <w:multiLevelType w:val="hybridMultilevel"/>
    <w:tmpl w:val="DBA27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65690"/>
    <w:multiLevelType w:val="hybridMultilevel"/>
    <w:tmpl w:val="2820D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B3E84"/>
    <w:multiLevelType w:val="hybridMultilevel"/>
    <w:tmpl w:val="33583E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22"/>
  </w:num>
  <w:num w:numId="4">
    <w:abstractNumId w:val="6"/>
  </w:num>
  <w:num w:numId="5">
    <w:abstractNumId w:val="6"/>
  </w:num>
  <w:num w:numId="6">
    <w:abstractNumId w:val="6"/>
  </w:num>
  <w:num w:numId="7">
    <w:abstractNumId w:val="1"/>
  </w:num>
  <w:num w:numId="8">
    <w:abstractNumId w:val="14"/>
  </w:num>
  <w:num w:numId="9">
    <w:abstractNumId w:val="22"/>
  </w:num>
  <w:num w:numId="10">
    <w:abstractNumId w:val="6"/>
  </w:num>
  <w:num w:numId="11">
    <w:abstractNumId w:val="6"/>
  </w:num>
  <w:num w:numId="12">
    <w:abstractNumId w:val="6"/>
  </w:num>
  <w:num w:numId="13">
    <w:abstractNumId w:val="9"/>
  </w:num>
  <w:num w:numId="14">
    <w:abstractNumId w:val="16"/>
  </w:num>
  <w:num w:numId="15">
    <w:abstractNumId w:val="17"/>
  </w:num>
  <w:num w:numId="16">
    <w:abstractNumId w:val="12"/>
  </w:num>
  <w:num w:numId="17">
    <w:abstractNumId w:val="21"/>
  </w:num>
  <w:num w:numId="18">
    <w:abstractNumId w:val="18"/>
  </w:num>
  <w:num w:numId="19">
    <w:abstractNumId w:val="4"/>
  </w:num>
  <w:num w:numId="20">
    <w:abstractNumId w:val="10"/>
  </w:num>
  <w:num w:numId="21">
    <w:abstractNumId w:val="23"/>
  </w:num>
  <w:num w:numId="22">
    <w:abstractNumId w:val="0"/>
  </w:num>
  <w:num w:numId="23">
    <w:abstractNumId w:val="13"/>
  </w:num>
  <w:num w:numId="24">
    <w:abstractNumId w:val="5"/>
  </w:num>
  <w:num w:numId="25">
    <w:abstractNumId w:val="11"/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9"/>
  </w:num>
  <w:num w:numId="29">
    <w:abstractNumId w:val="13"/>
    <w:lvlOverride w:ilvl="0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</w:num>
  <w:num w:numId="32">
    <w:abstractNumId w:val="3"/>
  </w:num>
  <w:num w:numId="33">
    <w:abstractNumId w:val="25"/>
  </w:num>
  <w:num w:numId="34">
    <w:abstractNumId w:val="26"/>
  </w:num>
  <w:num w:numId="35">
    <w:abstractNumId w:val="24"/>
  </w:num>
  <w:num w:numId="36">
    <w:abstractNumId w:val="15"/>
  </w:num>
  <w:num w:numId="37">
    <w:abstractNumId w:val="7"/>
  </w:num>
  <w:num w:numId="38">
    <w:abstractNumId w:val="27"/>
  </w:num>
  <w:num w:numId="39">
    <w:abstractNumId w:val="2"/>
  </w:num>
  <w:num w:numId="40">
    <w:abstractNumId w:val="20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035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90t9zvy0pwsgexss8pedtrsdwfxe9wrwse&quot;&gt;FEDORAref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9&lt;/item&gt;&lt;item&gt;30&lt;/item&gt;&lt;item&gt;31&lt;/item&gt;&lt;item&gt;38&lt;/item&gt;&lt;/record-ids&gt;&lt;/item&gt;&lt;/Libraries&gt;"/>
  </w:docVars>
  <w:rsids>
    <w:rsidRoot w:val="00456254"/>
    <w:rsid w:val="00001087"/>
    <w:rsid w:val="00007CB3"/>
    <w:rsid w:val="00015A4F"/>
    <w:rsid w:val="00016A2C"/>
    <w:rsid w:val="00017040"/>
    <w:rsid w:val="00051F1B"/>
    <w:rsid w:val="0005288C"/>
    <w:rsid w:val="00064C67"/>
    <w:rsid w:val="00065359"/>
    <w:rsid w:val="0007062A"/>
    <w:rsid w:val="00070A36"/>
    <w:rsid w:val="00082FE5"/>
    <w:rsid w:val="00083646"/>
    <w:rsid w:val="000905F8"/>
    <w:rsid w:val="00090DC8"/>
    <w:rsid w:val="00094F0E"/>
    <w:rsid w:val="000A2BF7"/>
    <w:rsid w:val="000A35FF"/>
    <w:rsid w:val="000A52D3"/>
    <w:rsid w:val="000B3FE3"/>
    <w:rsid w:val="000C39F8"/>
    <w:rsid w:val="000D4B93"/>
    <w:rsid w:val="000F2746"/>
    <w:rsid w:val="000F3876"/>
    <w:rsid w:val="000F4D50"/>
    <w:rsid w:val="000F5768"/>
    <w:rsid w:val="00101318"/>
    <w:rsid w:val="001257A6"/>
    <w:rsid w:val="00130EA7"/>
    <w:rsid w:val="001342BC"/>
    <w:rsid w:val="00150AD9"/>
    <w:rsid w:val="00151313"/>
    <w:rsid w:val="001578B6"/>
    <w:rsid w:val="00157D39"/>
    <w:rsid w:val="001629ED"/>
    <w:rsid w:val="001649A4"/>
    <w:rsid w:val="00165CA7"/>
    <w:rsid w:val="0017096D"/>
    <w:rsid w:val="00171585"/>
    <w:rsid w:val="00174631"/>
    <w:rsid w:val="00183797"/>
    <w:rsid w:val="001876BA"/>
    <w:rsid w:val="00191EB5"/>
    <w:rsid w:val="001A0A68"/>
    <w:rsid w:val="001A4E58"/>
    <w:rsid w:val="001A5F03"/>
    <w:rsid w:val="001B6FBC"/>
    <w:rsid w:val="001C04A7"/>
    <w:rsid w:val="001D1E3B"/>
    <w:rsid w:val="001D22CE"/>
    <w:rsid w:val="001D2AAA"/>
    <w:rsid w:val="001D4CD2"/>
    <w:rsid w:val="001E749E"/>
    <w:rsid w:val="00201718"/>
    <w:rsid w:val="00204207"/>
    <w:rsid w:val="00212C25"/>
    <w:rsid w:val="00222C1A"/>
    <w:rsid w:val="0023339D"/>
    <w:rsid w:val="0023601A"/>
    <w:rsid w:val="002426C7"/>
    <w:rsid w:val="002535F8"/>
    <w:rsid w:val="00253928"/>
    <w:rsid w:val="00261751"/>
    <w:rsid w:val="00266698"/>
    <w:rsid w:val="00270834"/>
    <w:rsid w:val="00270A0F"/>
    <w:rsid w:val="0027733E"/>
    <w:rsid w:val="002834C7"/>
    <w:rsid w:val="00283B8A"/>
    <w:rsid w:val="00284006"/>
    <w:rsid w:val="002954B9"/>
    <w:rsid w:val="002B70D0"/>
    <w:rsid w:val="002C67C2"/>
    <w:rsid w:val="002D1EC1"/>
    <w:rsid w:val="002E563A"/>
    <w:rsid w:val="002F08A2"/>
    <w:rsid w:val="00301CEA"/>
    <w:rsid w:val="00305625"/>
    <w:rsid w:val="00314108"/>
    <w:rsid w:val="00316EB6"/>
    <w:rsid w:val="00326145"/>
    <w:rsid w:val="0033412C"/>
    <w:rsid w:val="00335029"/>
    <w:rsid w:val="00340A1F"/>
    <w:rsid w:val="00351AE7"/>
    <w:rsid w:val="0035264D"/>
    <w:rsid w:val="0035306C"/>
    <w:rsid w:val="003571AA"/>
    <w:rsid w:val="00372FC1"/>
    <w:rsid w:val="0037522A"/>
    <w:rsid w:val="003849F1"/>
    <w:rsid w:val="00385F5E"/>
    <w:rsid w:val="00390FC2"/>
    <w:rsid w:val="00397750"/>
    <w:rsid w:val="003A2715"/>
    <w:rsid w:val="003B0B1E"/>
    <w:rsid w:val="003B40D6"/>
    <w:rsid w:val="003B473B"/>
    <w:rsid w:val="003B6115"/>
    <w:rsid w:val="003C250E"/>
    <w:rsid w:val="003D0AE9"/>
    <w:rsid w:val="003D207B"/>
    <w:rsid w:val="003D517E"/>
    <w:rsid w:val="003D5F07"/>
    <w:rsid w:val="003E2AFE"/>
    <w:rsid w:val="003E7832"/>
    <w:rsid w:val="003F053A"/>
    <w:rsid w:val="003F0ECA"/>
    <w:rsid w:val="00414A5F"/>
    <w:rsid w:val="00425637"/>
    <w:rsid w:val="00425827"/>
    <w:rsid w:val="00435D21"/>
    <w:rsid w:val="00437A21"/>
    <w:rsid w:val="00440ADC"/>
    <w:rsid w:val="00447869"/>
    <w:rsid w:val="00454E8E"/>
    <w:rsid w:val="00456254"/>
    <w:rsid w:val="0046156A"/>
    <w:rsid w:val="00463D2A"/>
    <w:rsid w:val="004651CB"/>
    <w:rsid w:val="00474F17"/>
    <w:rsid w:val="00475CA2"/>
    <w:rsid w:val="00481B9D"/>
    <w:rsid w:val="004902C7"/>
    <w:rsid w:val="00493AD3"/>
    <w:rsid w:val="004A0E90"/>
    <w:rsid w:val="004A64A5"/>
    <w:rsid w:val="004A68C2"/>
    <w:rsid w:val="004B0DA2"/>
    <w:rsid w:val="004C209D"/>
    <w:rsid w:val="004C5FFC"/>
    <w:rsid w:val="004D4AEB"/>
    <w:rsid w:val="004D7C4D"/>
    <w:rsid w:val="004E3257"/>
    <w:rsid w:val="004E3652"/>
    <w:rsid w:val="004E67AA"/>
    <w:rsid w:val="004F2CA0"/>
    <w:rsid w:val="005003F6"/>
    <w:rsid w:val="00501867"/>
    <w:rsid w:val="005049BF"/>
    <w:rsid w:val="00506E77"/>
    <w:rsid w:val="005142A6"/>
    <w:rsid w:val="00517538"/>
    <w:rsid w:val="00524F4D"/>
    <w:rsid w:val="005269C1"/>
    <w:rsid w:val="00530524"/>
    <w:rsid w:val="00557FB8"/>
    <w:rsid w:val="00564940"/>
    <w:rsid w:val="00582737"/>
    <w:rsid w:val="00584058"/>
    <w:rsid w:val="00584707"/>
    <w:rsid w:val="0058703A"/>
    <w:rsid w:val="005921D6"/>
    <w:rsid w:val="00596247"/>
    <w:rsid w:val="005B191A"/>
    <w:rsid w:val="005C7BE7"/>
    <w:rsid w:val="005D38A7"/>
    <w:rsid w:val="005E53DB"/>
    <w:rsid w:val="005F3FA0"/>
    <w:rsid w:val="005F69E0"/>
    <w:rsid w:val="006004D9"/>
    <w:rsid w:val="006314AF"/>
    <w:rsid w:val="00637FD7"/>
    <w:rsid w:val="0065159B"/>
    <w:rsid w:val="00666BD3"/>
    <w:rsid w:val="00666CA6"/>
    <w:rsid w:val="00670818"/>
    <w:rsid w:val="00673F2D"/>
    <w:rsid w:val="00677BA7"/>
    <w:rsid w:val="0068061E"/>
    <w:rsid w:val="00681429"/>
    <w:rsid w:val="00693847"/>
    <w:rsid w:val="006A6006"/>
    <w:rsid w:val="006B024F"/>
    <w:rsid w:val="006B03B7"/>
    <w:rsid w:val="006B31E0"/>
    <w:rsid w:val="006B62E8"/>
    <w:rsid w:val="006C0D6A"/>
    <w:rsid w:val="006D136F"/>
    <w:rsid w:val="006D3C31"/>
    <w:rsid w:val="006D4F08"/>
    <w:rsid w:val="006D7E90"/>
    <w:rsid w:val="006E6D77"/>
    <w:rsid w:val="006E7632"/>
    <w:rsid w:val="006F1C7D"/>
    <w:rsid w:val="006F581B"/>
    <w:rsid w:val="007013BD"/>
    <w:rsid w:val="00702841"/>
    <w:rsid w:val="00704BC4"/>
    <w:rsid w:val="007117C3"/>
    <w:rsid w:val="00714BF6"/>
    <w:rsid w:val="0072017C"/>
    <w:rsid w:val="00720356"/>
    <w:rsid w:val="00736808"/>
    <w:rsid w:val="0074333B"/>
    <w:rsid w:val="00745D16"/>
    <w:rsid w:val="007468A0"/>
    <w:rsid w:val="007557F7"/>
    <w:rsid w:val="00756582"/>
    <w:rsid w:val="00763798"/>
    <w:rsid w:val="00764B01"/>
    <w:rsid w:val="00772EB5"/>
    <w:rsid w:val="0078472B"/>
    <w:rsid w:val="00784762"/>
    <w:rsid w:val="007908E5"/>
    <w:rsid w:val="007A6053"/>
    <w:rsid w:val="007C1F77"/>
    <w:rsid w:val="007C7F3B"/>
    <w:rsid w:val="007E73E7"/>
    <w:rsid w:val="007F0F69"/>
    <w:rsid w:val="007F4958"/>
    <w:rsid w:val="00800AD6"/>
    <w:rsid w:val="008169AA"/>
    <w:rsid w:val="00827624"/>
    <w:rsid w:val="0083306B"/>
    <w:rsid w:val="00837C44"/>
    <w:rsid w:val="00840893"/>
    <w:rsid w:val="00841238"/>
    <w:rsid w:val="00850BC9"/>
    <w:rsid w:val="008544F4"/>
    <w:rsid w:val="0085453D"/>
    <w:rsid w:val="00854574"/>
    <w:rsid w:val="00863EF0"/>
    <w:rsid w:val="00867992"/>
    <w:rsid w:val="008679A4"/>
    <w:rsid w:val="00867B6B"/>
    <w:rsid w:val="00870A3D"/>
    <w:rsid w:val="00880BDF"/>
    <w:rsid w:val="00882152"/>
    <w:rsid w:val="0088505C"/>
    <w:rsid w:val="00887047"/>
    <w:rsid w:val="008A1A77"/>
    <w:rsid w:val="008A4E93"/>
    <w:rsid w:val="008A5E0E"/>
    <w:rsid w:val="008B4857"/>
    <w:rsid w:val="008B782C"/>
    <w:rsid w:val="008C2DDC"/>
    <w:rsid w:val="008C586E"/>
    <w:rsid w:val="008E1076"/>
    <w:rsid w:val="008F1CBC"/>
    <w:rsid w:val="008F3DF7"/>
    <w:rsid w:val="008F3F06"/>
    <w:rsid w:val="009024FF"/>
    <w:rsid w:val="00902865"/>
    <w:rsid w:val="009111BD"/>
    <w:rsid w:val="00920F58"/>
    <w:rsid w:val="009217D1"/>
    <w:rsid w:val="00923E10"/>
    <w:rsid w:val="00925589"/>
    <w:rsid w:val="009312CC"/>
    <w:rsid w:val="00931DE1"/>
    <w:rsid w:val="009322A6"/>
    <w:rsid w:val="00940159"/>
    <w:rsid w:val="00940B68"/>
    <w:rsid w:val="00941E14"/>
    <w:rsid w:val="00946BBC"/>
    <w:rsid w:val="0094718D"/>
    <w:rsid w:val="00952458"/>
    <w:rsid w:val="009628DD"/>
    <w:rsid w:val="00963311"/>
    <w:rsid w:val="00974C54"/>
    <w:rsid w:val="00985A81"/>
    <w:rsid w:val="0098719C"/>
    <w:rsid w:val="00987E29"/>
    <w:rsid w:val="0099730B"/>
    <w:rsid w:val="009A10E4"/>
    <w:rsid w:val="009A51F0"/>
    <w:rsid w:val="009B79E0"/>
    <w:rsid w:val="009C22CF"/>
    <w:rsid w:val="009D101D"/>
    <w:rsid w:val="009D354E"/>
    <w:rsid w:val="009D4731"/>
    <w:rsid w:val="009D697A"/>
    <w:rsid w:val="009E3B6A"/>
    <w:rsid w:val="009E5B65"/>
    <w:rsid w:val="009F47D0"/>
    <w:rsid w:val="009F4FB2"/>
    <w:rsid w:val="00A00A23"/>
    <w:rsid w:val="00A031E1"/>
    <w:rsid w:val="00A05165"/>
    <w:rsid w:val="00A0744F"/>
    <w:rsid w:val="00A17B9C"/>
    <w:rsid w:val="00A2194A"/>
    <w:rsid w:val="00A247ED"/>
    <w:rsid w:val="00A25EB9"/>
    <w:rsid w:val="00A27C8F"/>
    <w:rsid w:val="00A3075E"/>
    <w:rsid w:val="00A458E2"/>
    <w:rsid w:val="00A46C06"/>
    <w:rsid w:val="00A56E32"/>
    <w:rsid w:val="00A62015"/>
    <w:rsid w:val="00A71660"/>
    <w:rsid w:val="00A75C4E"/>
    <w:rsid w:val="00A77A46"/>
    <w:rsid w:val="00A81B10"/>
    <w:rsid w:val="00A81F9B"/>
    <w:rsid w:val="00A902E5"/>
    <w:rsid w:val="00AA08FC"/>
    <w:rsid w:val="00AA2ACE"/>
    <w:rsid w:val="00AA6C4C"/>
    <w:rsid w:val="00AB2B61"/>
    <w:rsid w:val="00AB6363"/>
    <w:rsid w:val="00AB6F14"/>
    <w:rsid w:val="00AC2034"/>
    <w:rsid w:val="00AC5073"/>
    <w:rsid w:val="00AD4FE3"/>
    <w:rsid w:val="00AE7E64"/>
    <w:rsid w:val="00AF3747"/>
    <w:rsid w:val="00AF57DD"/>
    <w:rsid w:val="00AF619F"/>
    <w:rsid w:val="00B0729B"/>
    <w:rsid w:val="00B2394D"/>
    <w:rsid w:val="00B31000"/>
    <w:rsid w:val="00B32C2E"/>
    <w:rsid w:val="00B35661"/>
    <w:rsid w:val="00B369C3"/>
    <w:rsid w:val="00B415B3"/>
    <w:rsid w:val="00B47C06"/>
    <w:rsid w:val="00B54F53"/>
    <w:rsid w:val="00B609BB"/>
    <w:rsid w:val="00B60D7A"/>
    <w:rsid w:val="00B620F1"/>
    <w:rsid w:val="00B6225D"/>
    <w:rsid w:val="00B67920"/>
    <w:rsid w:val="00B75371"/>
    <w:rsid w:val="00B76296"/>
    <w:rsid w:val="00B80374"/>
    <w:rsid w:val="00B80516"/>
    <w:rsid w:val="00B863D5"/>
    <w:rsid w:val="00B90349"/>
    <w:rsid w:val="00B92F23"/>
    <w:rsid w:val="00B93145"/>
    <w:rsid w:val="00B97BB2"/>
    <w:rsid w:val="00BB45CA"/>
    <w:rsid w:val="00BD002A"/>
    <w:rsid w:val="00BD7002"/>
    <w:rsid w:val="00BE0B2F"/>
    <w:rsid w:val="00BE13A1"/>
    <w:rsid w:val="00C35804"/>
    <w:rsid w:val="00C42297"/>
    <w:rsid w:val="00C42397"/>
    <w:rsid w:val="00C431C1"/>
    <w:rsid w:val="00C450C3"/>
    <w:rsid w:val="00C53CFB"/>
    <w:rsid w:val="00C57841"/>
    <w:rsid w:val="00C662FD"/>
    <w:rsid w:val="00C73AAB"/>
    <w:rsid w:val="00C74701"/>
    <w:rsid w:val="00C753DB"/>
    <w:rsid w:val="00C8278E"/>
    <w:rsid w:val="00C85393"/>
    <w:rsid w:val="00C85FC8"/>
    <w:rsid w:val="00C944B1"/>
    <w:rsid w:val="00C97D6A"/>
    <w:rsid w:val="00CA0F9E"/>
    <w:rsid w:val="00CA75D9"/>
    <w:rsid w:val="00CB0AD9"/>
    <w:rsid w:val="00CB45FA"/>
    <w:rsid w:val="00CB4713"/>
    <w:rsid w:val="00CC0B84"/>
    <w:rsid w:val="00CC72F9"/>
    <w:rsid w:val="00CD1068"/>
    <w:rsid w:val="00CD546B"/>
    <w:rsid w:val="00CD5BFB"/>
    <w:rsid w:val="00CF584C"/>
    <w:rsid w:val="00CF688A"/>
    <w:rsid w:val="00D10B2B"/>
    <w:rsid w:val="00D12513"/>
    <w:rsid w:val="00D12654"/>
    <w:rsid w:val="00D14916"/>
    <w:rsid w:val="00D14966"/>
    <w:rsid w:val="00D16FF9"/>
    <w:rsid w:val="00D22717"/>
    <w:rsid w:val="00D25C86"/>
    <w:rsid w:val="00D32CAB"/>
    <w:rsid w:val="00D46BFC"/>
    <w:rsid w:val="00D50945"/>
    <w:rsid w:val="00D554C1"/>
    <w:rsid w:val="00D571DD"/>
    <w:rsid w:val="00D662FB"/>
    <w:rsid w:val="00D74685"/>
    <w:rsid w:val="00D77C8A"/>
    <w:rsid w:val="00D840E4"/>
    <w:rsid w:val="00D9259A"/>
    <w:rsid w:val="00D9334F"/>
    <w:rsid w:val="00DB0B71"/>
    <w:rsid w:val="00DC7F6D"/>
    <w:rsid w:val="00DD18FF"/>
    <w:rsid w:val="00DD7ABE"/>
    <w:rsid w:val="00DE0E1F"/>
    <w:rsid w:val="00DE0ED7"/>
    <w:rsid w:val="00DE5851"/>
    <w:rsid w:val="00DF4920"/>
    <w:rsid w:val="00E01100"/>
    <w:rsid w:val="00E05990"/>
    <w:rsid w:val="00E17A8D"/>
    <w:rsid w:val="00E21039"/>
    <w:rsid w:val="00E24929"/>
    <w:rsid w:val="00E3195D"/>
    <w:rsid w:val="00E33FAF"/>
    <w:rsid w:val="00E4044C"/>
    <w:rsid w:val="00E43AC6"/>
    <w:rsid w:val="00E4423E"/>
    <w:rsid w:val="00E46EAD"/>
    <w:rsid w:val="00E46EEE"/>
    <w:rsid w:val="00E71051"/>
    <w:rsid w:val="00E76DD6"/>
    <w:rsid w:val="00E86AD6"/>
    <w:rsid w:val="00E947F4"/>
    <w:rsid w:val="00E9795C"/>
    <w:rsid w:val="00EA2ED4"/>
    <w:rsid w:val="00EB4BEA"/>
    <w:rsid w:val="00EC3279"/>
    <w:rsid w:val="00EC5113"/>
    <w:rsid w:val="00EC6816"/>
    <w:rsid w:val="00ED2868"/>
    <w:rsid w:val="00ED2E10"/>
    <w:rsid w:val="00ED66B4"/>
    <w:rsid w:val="00ED6AE1"/>
    <w:rsid w:val="00EE22AD"/>
    <w:rsid w:val="00EF0601"/>
    <w:rsid w:val="00EF0792"/>
    <w:rsid w:val="00EF07CC"/>
    <w:rsid w:val="00F005B2"/>
    <w:rsid w:val="00F00FCD"/>
    <w:rsid w:val="00F05AED"/>
    <w:rsid w:val="00F07BBE"/>
    <w:rsid w:val="00F14A9D"/>
    <w:rsid w:val="00F168DF"/>
    <w:rsid w:val="00F22290"/>
    <w:rsid w:val="00F263BC"/>
    <w:rsid w:val="00F3600B"/>
    <w:rsid w:val="00F3661D"/>
    <w:rsid w:val="00F52F78"/>
    <w:rsid w:val="00F70612"/>
    <w:rsid w:val="00F806C8"/>
    <w:rsid w:val="00F81FDB"/>
    <w:rsid w:val="00F87A4D"/>
    <w:rsid w:val="00FB7E29"/>
    <w:rsid w:val="00FC0804"/>
    <w:rsid w:val="00FC2091"/>
    <w:rsid w:val="00FC2A26"/>
    <w:rsid w:val="00FC4EE7"/>
    <w:rsid w:val="00FC51A9"/>
    <w:rsid w:val="00FD131E"/>
    <w:rsid w:val="00FD5254"/>
    <w:rsid w:val="00FE635D"/>
    <w:rsid w:val="00FF27FA"/>
    <w:rsid w:val="00FF2B2A"/>
    <w:rsid w:val="00FF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2BB9A68C"/>
  <w15:docId w15:val="{CFFA43DA-B5B8-4F1B-ABA9-82300F7C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9BF"/>
    <w:pPr>
      <w:spacing w:before="0" w:after="0" w:line="480" w:lineRule="auto"/>
      <w:jc w:val="both"/>
    </w:pPr>
    <w:rPr>
      <w:sz w:val="21"/>
      <w:szCs w:val="20"/>
      <w:lang w:eastAsia="en-GB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5049BF"/>
    <w:pPr>
      <w:keepNext/>
      <w:outlineLvl w:val="0"/>
    </w:pPr>
    <w:rPr>
      <w:rFonts w:eastAsia="Times New Roman" w:cstheme="minorHAnsi"/>
      <w:bCs/>
      <w:i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9BF"/>
    <w:pPr>
      <w:spacing w:before="60"/>
      <w:outlineLvl w:val="1"/>
    </w:pPr>
    <w:rPr>
      <w:b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049BF"/>
    <w:pP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254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254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254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254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254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254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qFormat/>
    <w:rsid w:val="00456254"/>
    <w:pPr>
      <w:jc w:val="right"/>
    </w:pPr>
    <w:rPr>
      <w:color w:val="1F497D" w:themeColor="text2"/>
      <w:sz w:val="16"/>
    </w:rPr>
  </w:style>
  <w:style w:type="character" w:customStyle="1" w:styleId="HeaderChar">
    <w:name w:val="Header Char"/>
    <w:basedOn w:val="DefaultParagraphFont"/>
    <w:link w:val="Header"/>
    <w:rsid w:val="00456254"/>
    <w:rPr>
      <w:color w:val="1F497D" w:themeColor="text2"/>
      <w:sz w:val="16"/>
      <w:szCs w:val="20"/>
    </w:rPr>
  </w:style>
  <w:style w:type="paragraph" w:styleId="Footer">
    <w:name w:val="footer"/>
    <w:basedOn w:val="Normal"/>
    <w:link w:val="FooterChar"/>
    <w:uiPriority w:val="99"/>
    <w:qFormat/>
    <w:rsid w:val="00456254"/>
    <w:rPr>
      <w:color w:val="1F497D" w:themeColor="text2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56254"/>
    <w:rPr>
      <w:color w:val="1F497D" w:themeColor="text2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2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254"/>
    <w:rPr>
      <w:rFonts w:ascii="Tahoma" w:hAnsi="Tahoma" w:cs="Tahoma"/>
      <w:sz w:val="16"/>
      <w:szCs w:val="16"/>
    </w:rPr>
  </w:style>
  <w:style w:type="paragraph" w:customStyle="1" w:styleId="Instructions">
    <w:name w:val="Instructions"/>
    <w:basedOn w:val="Normal"/>
    <w:link w:val="InstructionsChar"/>
    <w:qFormat/>
    <w:rsid w:val="00BB45CA"/>
    <w:rPr>
      <w:i/>
      <w:color w:val="FF0000"/>
    </w:rPr>
  </w:style>
  <w:style w:type="character" w:customStyle="1" w:styleId="InstructionsChar">
    <w:name w:val="Instructions Char"/>
    <w:link w:val="Instructions"/>
    <w:rsid w:val="00BB45CA"/>
    <w:rPr>
      <w:i/>
      <w:color w:val="FF0000"/>
      <w:sz w:val="21"/>
      <w:szCs w:val="20"/>
    </w:rPr>
  </w:style>
  <w:style w:type="paragraph" w:customStyle="1" w:styleId="Heading2-table">
    <w:name w:val="Heading 2-table"/>
    <w:basedOn w:val="Heading2"/>
    <w:link w:val="Heading2-tableChar"/>
    <w:rsid w:val="00456254"/>
  </w:style>
  <w:style w:type="character" w:customStyle="1" w:styleId="Heading2Char">
    <w:name w:val="Heading 2 Char"/>
    <w:basedOn w:val="DefaultParagraphFont"/>
    <w:link w:val="Heading2"/>
    <w:uiPriority w:val="9"/>
    <w:rsid w:val="005049BF"/>
    <w:rPr>
      <w:b/>
      <w:sz w:val="26"/>
      <w:szCs w:val="26"/>
      <w:lang w:eastAsia="en-GB"/>
    </w:rPr>
  </w:style>
  <w:style w:type="paragraph" w:customStyle="1" w:styleId="bullet1">
    <w:name w:val="bullet 1"/>
    <w:basedOn w:val="Normal"/>
    <w:link w:val="bullet1Char"/>
    <w:uiPriority w:val="99"/>
    <w:qFormat/>
    <w:rsid w:val="00B2394D"/>
    <w:pPr>
      <w:numPr>
        <w:numId w:val="1"/>
      </w:numPr>
      <w:spacing w:before="120" w:after="60" w:line="240" w:lineRule="auto"/>
    </w:pPr>
    <w:rPr>
      <w:sz w:val="20"/>
    </w:rPr>
  </w:style>
  <w:style w:type="character" w:customStyle="1" w:styleId="bullet1Char">
    <w:name w:val="bullet 1 Char"/>
    <w:link w:val="bullet1"/>
    <w:uiPriority w:val="99"/>
    <w:locked/>
    <w:rsid w:val="00B2394D"/>
    <w:rPr>
      <w:sz w:val="20"/>
      <w:szCs w:val="20"/>
      <w:lang w:eastAsia="en-GB"/>
    </w:rPr>
  </w:style>
  <w:style w:type="paragraph" w:customStyle="1" w:styleId="bullet2">
    <w:name w:val="bullet 2"/>
    <w:basedOn w:val="bullet1"/>
    <w:link w:val="bullet2Char"/>
    <w:qFormat/>
    <w:rsid w:val="00456254"/>
    <w:pPr>
      <w:numPr>
        <w:ilvl w:val="1"/>
        <w:numId w:val="8"/>
      </w:numPr>
    </w:pPr>
    <w:rPr>
      <w:sz w:val="21"/>
    </w:rPr>
  </w:style>
  <w:style w:type="paragraph" w:customStyle="1" w:styleId="Heading3-table">
    <w:name w:val="Heading 3 - table"/>
    <w:basedOn w:val="Heading3"/>
    <w:link w:val="Heading3-tableChar"/>
    <w:qFormat/>
    <w:rsid w:val="00191EB5"/>
  </w:style>
  <w:style w:type="character" w:customStyle="1" w:styleId="Heading3-tableChar">
    <w:name w:val="Heading 3 - table Char"/>
    <w:link w:val="Heading3-table"/>
    <w:rsid w:val="00191EB5"/>
    <w:rPr>
      <w:caps/>
      <w:color w:val="243F60" w:themeColor="accent1" w:themeShade="7F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rsid w:val="005049BF"/>
    <w:rPr>
      <w:b/>
      <w:sz w:val="24"/>
      <w:szCs w:val="24"/>
      <w:lang w:eastAsia="en-GB"/>
    </w:rPr>
  </w:style>
  <w:style w:type="paragraph" w:customStyle="1" w:styleId="bullet3">
    <w:name w:val="bullet 3"/>
    <w:basedOn w:val="Normal"/>
    <w:qFormat/>
    <w:rsid w:val="00456254"/>
    <w:pPr>
      <w:numPr>
        <w:numId w:val="9"/>
      </w:numPr>
    </w:pPr>
  </w:style>
  <w:style w:type="paragraph" w:customStyle="1" w:styleId="SOPreference">
    <w:name w:val="SOP reference"/>
    <w:basedOn w:val="bullet1"/>
    <w:link w:val="SOPreferenceChar"/>
    <w:uiPriority w:val="99"/>
    <w:qFormat/>
    <w:rsid w:val="00456254"/>
    <w:pPr>
      <w:numPr>
        <w:numId w:val="0"/>
      </w:numPr>
      <w:tabs>
        <w:tab w:val="num" w:pos="360"/>
      </w:tabs>
      <w:ind w:left="360" w:hanging="360"/>
    </w:pPr>
    <w:rPr>
      <w:color w:val="002060"/>
    </w:rPr>
  </w:style>
  <w:style w:type="character" w:customStyle="1" w:styleId="SOPreferenceChar">
    <w:name w:val="SOP reference Char"/>
    <w:link w:val="SOPreference"/>
    <w:uiPriority w:val="99"/>
    <w:rsid w:val="00456254"/>
    <w:rPr>
      <w:color w:val="002060"/>
      <w:sz w:val="20"/>
      <w:szCs w:val="20"/>
    </w:rPr>
  </w:style>
  <w:style w:type="paragraph" w:customStyle="1" w:styleId="Mainlistpoint">
    <w:name w:val="Main list point"/>
    <w:basedOn w:val="Normal"/>
    <w:qFormat/>
    <w:rsid w:val="00456254"/>
    <w:pPr>
      <w:numPr>
        <w:numId w:val="12"/>
      </w:numPr>
      <w:contextualSpacing/>
    </w:pPr>
    <w:rPr>
      <w:b/>
    </w:rPr>
  </w:style>
  <w:style w:type="paragraph" w:customStyle="1" w:styleId="Sublistpoint1">
    <w:name w:val="Sub list point 1"/>
    <w:basedOn w:val="Normal"/>
    <w:qFormat/>
    <w:rsid w:val="00456254"/>
    <w:pPr>
      <w:numPr>
        <w:ilvl w:val="1"/>
        <w:numId w:val="12"/>
      </w:numPr>
      <w:contextualSpacing/>
    </w:pPr>
  </w:style>
  <w:style w:type="paragraph" w:customStyle="1" w:styleId="Sublistpoint2">
    <w:name w:val="Sub list point 2"/>
    <w:basedOn w:val="Sublistpoint1"/>
    <w:qFormat/>
    <w:rsid w:val="00456254"/>
    <w:pPr>
      <w:numPr>
        <w:ilvl w:val="2"/>
      </w:numPr>
    </w:pPr>
  </w:style>
  <w:style w:type="paragraph" w:customStyle="1" w:styleId="Sublist2bullet">
    <w:name w:val="Sub list 2 bullet"/>
    <w:basedOn w:val="bullet1"/>
    <w:qFormat/>
    <w:rsid w:val="00456254"/>
    <w:pPr>
      <w:numPr>
        <w:numId w:val="0"/>
      </w:numPr>
    </w:pPr>
    <w:rPr>
      <w:sz w:val="21"/>
    </w:rPr>
  </w:style>
  <w:style w:type="paragraph" w:customStyle="1" w:styleId="NormalTable">
    <w:name w:val="Normal (Table)"/>
    <w:basedOn w:val="Normal"/>
    <w:link w:val="NormalTableChar"/>
    <w:rsid w:val="00456254"/>
    <w:pPr>
      <w:spacing w:before="120" w:after="120"/>
    </w:pPr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049BF"/>
    <w:rPr>
      <w:rFonts w:eastAsia="Times New Roman" w:cstheme="minorHAnsi"/>
      <w:b/>
      <w:bCs/>
      <w:iCs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254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254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254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254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25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254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456254"/>
    <w:rPr>
      <w:b/>
      <w:bCs/>
      <w:color w:val="365F91" w:themeColor="accent1" w:themeShade="BF"/>
      <w:sz w:val="16"/>
      <w:szCs w:val="16"/>
    </w:rPr>
  </w:style>
  <w:style w:type="character" w:styleId="Hyperlink">
    <w:name w:val="Hyperlink"/>
    <w:uiPriority w:val="99"/>
    <w:qFormat/>
    <w:rsid w:val="00456254"/>
    <w:rPr>
      <w:color w:val="0000FF"/>
      <w:u w:val="single"/>
    </w:rPr>
  </w:style>
  <w:style w:type="character" w:styleId="FollowedHyperlink">
    <w:name w:val="FollowedHyperlink"/>
    <w:qFormat/>
    <w:rsid w:val="00456254"/>
    <w:rPr>
      <w:color w:val="80008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6254"/>
    <w:pPr>
      <w:outlineLvl w:val="9"/>
    </w:pPr>
    <w:rPr>
      <w:lang w:bidi="en-US"/>
    </w:rPr>
  </w:style>
  <w:style w:type="paragraph" w:styleId="CommentText">
    <w:name w:val="annotation text"/>
    <w:basedOn w:val="Normal"/>
    <w:link w:val="CommentTextChar"/>
    <w:uiPriority w:val="99"/>
    <w:rsid w:val="006E6D77"/>
    <w:pPr>
      <w:spacing w:before="60" w:after="60" w:line="240" w:lineRule="auto"/>
    </w:pPr>
    <w:rPr>
      <w:rFonts w:ascii="Arial" w:eastAsia="Times New Roman" w:hAnsi="Arial"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6D77"/>
    <w:rPr>
      <w:rFonts w:ascii="Arial" w:eastAsia="Times New Roman" w:hAnsi="Arial" w:cs="Times New Roman"/>
      <w:sz w:val="20"/>
      <w:szCs w:val="20"/>
    </w:rPr>
  </w:style>
  <w:style w:type="paragraph" w:styleId="List">
    <w:name w:val="List"/>
    <w:aliases w:val="Numberlist 1"/>
    <w:basedOn w:val="Normal"/>
    <w:rsid w:val="006E6D77"/>
    <w:pPr>
      <w:tabs>
        <w:tab w:val="num" w:pos="360"/>
      </w:tabs>
      <w:spacing w:before="120" w:after="60" w:line="240" w:lineRule="auto"/>
      <w:ind w:left="340" w:hanging="340"/>
    </w:pPr>
    <w:rPr>
      <w:rFonts w:ascii="Arial" w:eastAsia="Times New Roman" w:hAnsi="Arial" w:cs="Times New Roman"/>
      <w:sz w:val="20"/>
    </w:rPr>
  </w:style>
  <w:style w:type="character" w:styleId="CommentReference">
    <w:name w:val="annotation reference"/>
    <w:uiPriority w:val="99"/>
    <w:rsid w:val="006E6D77"/>
    <w:rPr>
      <w:rFonts w:cs="Times New Roman"/>
      <w:sz w:val="16"/>
      <w:szCs w:val="16"/>
    </w:rPr>
  </w:style>
  <w:style w:type="character" w:customStyle="1" w:styleId="bullet2Char">
    <w:name w:val="bullet 2 Char"/>
    <w:basedOn w:val="DefaultParagraphFont"/>
    <w:link w:val="bullet2"/>
    <w:rsid w:val="006E6D77"/>
    <w:rPr>
      <w:sz w:val="21"/>
      <w:szCs w:val="20"/>
    </w:rPr>
  </w:style>
  <w:style w:type="table" w:styleId="TableGrid">
    <w:name w:val="Table Grid"/>
    <w:basedOn w:val="TableNormal"/>
    <w:uiPriority w:val="39"/>
    <w:rsid w:val="00E979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DC8"/>
    <w:pPr>
      <w:spacing w:before="200" w:after="20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DC8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Heading4subsection">
    <w:name w:val="Heading 4 subsection"/>
    <w:basedOn w:val="Heading4"/>
    <w:qFormat/>
    <w:rsid w:val="00B93145"/>
  </w:style>
  <w:style w:type="paragraph" w:customStyle="1" w:styleId="Instructions8pt">
    <w:name w:val="Instructions 8 pt"/>
    <w:basedOn w:val="Normal"/>
    <w:link w:val="Instructions8ptCharChar"/>
    <w:rsid w:val="004F2CA0"/>
    <w:pPr>
      <w:spacing w:before="60" w:after="60" w:line="240" w:lineRule="auto"/>
    </w:pPr>
    <w:rPr>
      <w:rFonts w:ascii="Arial" w:eastAsia="Times New Roman" w:hAnsi="Arial" w:cs="Times New Roman"/>
      <w:i/>
      <w:color w:val="FF0000"/>
      <w:sz w:val="16"/>
    </w:rPr>
  </w:style>
  <w:style w:type="character" w:customStyle="1" w:styleId="Instructions8ptCharChar">
    <w:name w:val="Instructions 8 pt Char Char"/>
    <w:basedOn w:val="InstructionsChar"/>
    <w:link w:val="Instructions8pt"/>
    <w:rsid w:val="004F2CA0"/>
    <w:rPr>
      <w:rFonts w:ascii="Arial" w:eastAsia="Times New Roman" w:hAnsi="Arial" w:cs="Times New Roman"/>
      <w:i/>
      <w:color w:val="FF0000"/>
      <w:sz w:val="16"/>
      <w:szCs w:val="20"/>
    </w:rPr>
  </w:style>
  <w:style w:type="paragraph" w:customStyle="1" w:styleId="PreIndexHeading1">
    <w:name w:val="PreIndexHeading1"/>
    <w:basedOn w:val="Heading1"/>
    <w:link w:val="PreIndexHeading1Char"/>
    <w:qFormat/>
    <w:rsid w:val="006D7E90"/>
  </w:style>
  <w:style w:type="paragraph" w:customStyle="1" w:styleId="PreIndexHeading3">
    <w:name w:val="PreIndexHeading3"/>
    <w:basedOn w:val="Heading3"/>
    <w:link w:val="PreIndexHeading3Char"/>
    <w:rsid w:val="006D7E90"/>
  </w:style>
  <w:style w:type="character" w:customStyle="1" w:styleId="PreIndexHeading1Char">
    <w:name w:val="PreIndexHeading1 Char"/>
    <w:basedOn w:val="Heading1Char"/>
    <w:link w:val="PreIndexHeading1"/>
    <w:rsid w:val="006D7E90"/>
    <w:rPr>
      <w:rFonts w:eastAsia="Times New Roman" w:cstheme="minorHAnsi"/>
      <w:b/>
      <w:bCs/>
      <w:iCs/>
      <w:caps w:val="0"/>
      <w:color w:val="FFFFFF" w:themeColor="background1"/>
      <w:spacing w:val="15"/>
      <w:sz w:val="28"/>
      <w:szCs w:val="28"/>
      <w:shd w:val="clear" w:color="auto" w:fill="4F81BD" w:themeFill="accent1"/>
      <w:lang w:eastAsia="en-GB"/>
    </w:rPr>
  </w:style>
  <w:style w:type="character" w:customStyle="1" w:styleId="PreIndexHeading3Char">
    <w:name w:val="PreIndexHeading3 Char"/>
    <w:basedOn w:val="Heading3Char"/>
    <w:link w:val="PreIndexHeading3"/>
    <w:rsid w:val="006D7E90"/>
    <w:rPr>
      <w:b/>
      <w:caps w:val="0"/>
      <w:color w:val="243F60" w:themeColor="accent1" w:themeShade="7F"/>
      <w:spacing w:val="15"/>
      <w:sz w:val="24"/>
      <w:szCs w:val="24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88505C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88505C"/>
    <w:pPr>
      <w:spacing w:after="100"/>
      <w:ind w:left="420"/>
    </w:pPr>
  </w:style>
  <w:style w:type="paragraph" w:styleId="TOC2">
    <w:name w:val="toc 2"/>
    <w:basedOn w:val="Normal"/>
    <w:next w:val="Normal"/>
    <w:autoRedefine/>
    <w:uiPriority w:val="39"/>
    <w:unhideWhenUsed/>
    <w:rsid w:val="0088505C"/>
    <w:pPr>
      <w:spacing w:after="100"/>
      <w:ind w:left="210"/>
    </w:pPr>
  </w:style>
  <w:style w:type="paragraph" w:customStyle="1" w:styleId="Numberedheading2">
    <w:name w:val="Numbered heading 2"/>
    <w:basedOn w:val="Heading2-table"/>
    <w:link w:val="Numberedheading2Char"/>
    <w:qFormat/>
    <w:rsid w:val="00C8278E"/>
    <w:pPr>
      <w:numPr>
        <w:ilvl w:val="1"/>
        <w:numId w:val="17"/>
      </w:numPr>
    </w:pPr>
  </w:style>
  <w:style w:type="paragraph" w:customStyle="1" w:styleId="Numberedheading1">
    <w:name w:val="Numbered heading 1"/>
    <w:basedOn w:val="Heading1"/>
    <w:qFormat/>
    <w:rsid w:val="00D22717"/>
    <w:pPr>
      <w:numPr>
        <w:numId w:val="17"/>
      </w:numPr>
    </w:pPr>
  </w:style>
  <w:style w:type="paragraph" w:customStyle="1" w:styleId="Numberedheading3">
    <w:name w:val="Numbered heading 3"/>
    <w:basedOn w:val="Heading3-table"/>
    <w:qFormat/>
    <w:rsid w:val="005B191A"/>
    <w:pPr>
      <w:numPr>
        <w:ilvl w:val="2"/>
        <w:numId w:val="17"/>
      </w:numPr>
    </w:pPr>
  </w:style>
  <w:style w:type="paragraph" w:styleId="ListParagraph">
    <w:name w:val="List Paragraph"/>
    <w:basedOn w:val="Normal"/>
    <w:uiPriority w:val="34"/>
    <w:qFormat/>
    <w:rsid w:val="005B191A"/>
    <w:pPr>
      <w:ind w:left="720"/>
      <w:contextualSpacing/>
    </w:pPr>
  </w:style>
  <w:style w:type="paragraph" w:customStyle="1" w:styleId="Number1">
    <w:name w:val="Number1"/>
    <w:basedOn w:val="Normal"/>
    <w:link w:val="Number1Char"/>
    <w:uiPriority w:val="99"/>
    <w:rsid w:val="005B191A"/>
    <w:pPr>
      <w:widowControl w:val="0"/>
      <w:tabs>
        <w:tab w:val="left" w:pos="397"/>
      </w:tabs>
      <w:adjustRightInd w:val="0"/>
      <w:spacing w:before="60" w:after="60" w:line="240" w:lineRule="auto"/>
      <w:ind w:left="397" w:hanging="397"/>
      <w:textAlignment w:val="baseline"/>
    </w:pPr>
    <w:rPr>
      <w:rFonts w:ascii="Arial" w:eastAsia="Times New Roman" w:hAnsi="Arial" w:cs="Times New Roman"/>
      <w:sz w:val="20"/>
      <w:szCs w:val="16"/>
    </w:rPr>
  </w:style>
  <w:style w:type="character" w:customStyle="1" w:styleId="Number1Char">
    <w:name w:val="Number1 Char"/>
    <w:basedOn w:val="DefaultParagraphFont"/>
    <w:link w:val="Number1"/>
    <w:uiPriority w:val="99"/>
    <w:locked/>
    <w:rsid w:val="005B191A"/>
    <w:rPr>
      <w:rFonts w:ascii="Arial" w:eastAsia="Times New Roman" w:hAnsi="Arial" w:cs="Times New Roman"/>
      <w:sz w:val="20"/>
      <w:szCs w:val="16"/>
    </w:rPr>
  </w:style>
  <w:style w:type="paragraph" w:customStyle="1" w:styleId="Numbered">
    <w:name w:val="Numbered"/>
    <w:basedOn w:val="NormalTable"/>
    <w:qFormat/>
    <w:rsid w:val="00584058"/>
    <w:pPr>
      <w:numPr>
        <w:numId w:val="23"/>
      </w:numPr>
    </w:pPr>
  </w:style>
  <w:style w:type="paragraph" w:styleId="Revision">
    <w:name w:val="Revision"/>
    <w:hidden/>
    <w:uiPriority w:val="99"/>
    <w:semiHidden/>
    <w:rsid w:val="00CF584C"/>
    <w:pPr>
      <w:spacing w:before="0" w:after="0" w:line="240" w:lineRule="auto"/>
    </w:pPr>
    <w:rPr>
      <w:sz w:val="21"/>
      <w:szCs w:val="20"/>
    </w:rPr>
  </w:style>
  <w:style w:type="character" w:customStyle="1" w:styleId="InstructionsChar1">
    <w:name w:val="Instructions Char1"/>
    <w:basedOn w:val="DefaultParagraphFont"/>
    <w:rsid w:val="00584058"/>
    <w:rPr>
      <w:i/>
      <w:iCs/>
      <w:color w:val="FF0000"/>
      <w:sz w:val="22"/>
      <w:lang w:val="en-GB" w:eastAsia="en-US" w:bidi="ar-SA"/>
    </w:rPr>
  </w:style>
  <w:style w:type="paragraph" w:customStyle="1" w:styleId="Instructionstable">
    <w:name w:val="Instructions (table)"/>
    <w:basedOn w:val="NormalTable"/>
    <w:link w:val="InstructionstableChar"/>
    <w:rsid w:val="00584058"/>
    <w:rPr>
      <w:i/>
      <w:color w:val="FF0000"/>
    </w:rPr>
  </w:style>
  <w:style w:type="paragraph" w:customStyle="1" w:styleId="instructions0">
    <w:name w:val="instructions"/>
    <w:basedOn w:val="Normal"/>
    <w:link w:val="instructionsChar0"/>
    <w:rsid w:val="002E563A"/>
    <w:pPr>
      <w:spacing w:before="180" w:after="120" w:line="240" w:lineRule="auto"/>
    </w:pPr>
    <w:rPr>
      <w:rFonts w:ascii="Times New Roman" w:eastAsia="Times New Roman" w:hAnsi="Times New Roman" w:cs="Times New Roman"/>
      <w:i/>
      <w:iCs/>
      <w:color w:val="FF0000"/>
      <w:sz w:val="22"/>
    </w:rPr>
  </w:style>
  <w:style w:type="character" w:customStyle="1" w:styleId="NormalTableChar">
    <w:name w:val="Normal (Table) Char"/>
    <w:basedOn w:val="DefaultParagraphFont"/>
    <w:link w:val="NormalTable"/>
    <w:rsid w:val="00584058"/>
    <w:rPr>
      <w:sz w:val="20"/>
      <w:szCs w:val="20"/>
    </w:rPr>
  </w:style>
  <w:style w:type="character" w:customStyle="1" w:styleId="InstructionstableChar">
    <w:name w:val="Instructions (table) Char"/>
    <w:basedOn w:val="NormalTableChar"/>
    <w:link w:val="Instructionstable"/>
    <w:rsid w:val="00584058"/>
    <w:rPr>
      <w:i/>
      <w:color w:val="FF0000"/>
      <w:sz w:val="20"/>
      <w:szCs w:val="20"/>
    </w:rPr>
  </w:style>
  <w:style w:type="character" w:customStyle="1" w:styleId="instructionsChar0">
    <w:name w:val="instructions Char"/>
    <w:basedOn w:val="DefaultParagraphFont"/>
    <w:link w:val="instructions0"/>
    <w:rsid w:val="002E563A"/>
    <w:rPr>
      <w:rFonts w:ascii="Times New Roman" w:eastAsia="Times New Roman" w:hAnsi="Times New Roman" w:cs="Times New Roman"/>
      <w:i/>
      <w:iCs/>
      <w:color w:val="FF0000"/>
      <w:szCs w:val="20"/>
    </w:rPr>
  </w:style>
  <w:style w:type="character" w:customStyle="1" w:styleId="instructionsCharChar">
    <w:name w:val="instructions Char Char"/>
    <w:basedOn w:val="DefaultParagraphFont"/>
    <w:rsid w:val="002E563A"/>
    <w:rPr>
      <w:i/>
      <w:iCs/>
      <w:color w:val="FF0000"/>
      <w:sz w:val="22"/>
      <w:lang w:val="en-GB" w:eastAsia="en-US" w:bidi="ar-SA"/>
    </w:rPr>
  </w:style>
  <w:style w:type="paragraph" w:styleId="NoSpacing">
    <w:name w:val="No Spacing"/>
    <w:uiPriority w:val="1"/>
    <w:qFormat/>
    <w:rsid w:val="00EE22AD"/>
    <w:pPr>
      <w:spacing w:before="0" w:after="0" w:line="240" w:lineRule="auto"/>
    </w:pPr>
    <w:rPr>
      <w:sz w:val="21"/>
      <w:szCs w:val="20"/>
    </w:rPr>
  </w:style>
  <w:style w:type="character" w:customStyle="1" w:styleId="BoxChar">
    <w:name w:val="Box Char"/>
    <w:basedOn w:val="DefaultParagraphFont"/>
    <w:rsid w:val="007013BD"/>
    <w:rPr>
      <w:rFonts w:ascii="Arial" w:hAnsi="Arial" w:cs="Arial"/>
      <w:bCs/>
      <w:sz w:val="40"/>
      <w:lang w:val="en-GB" w:eastAsia="en-US" w:bidi="ar-SA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372FC1"/>
    <w:pPr>
      <w:spacing w:before="120" w:after="120" w:line="240" w:lineRule="auto"/>
    </w:pPr>
    <w:rPr>
      <w:rFonts w:ascii="Calibri" w:eastAsia="Times New Roman" w:hAnsi="Calibri" w:cs="Calibri"/>
      <w:noProof/>
      <w:sz w:val="20"/>
      <w:szCs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uiPriority w:val="99"/>
    <w:rsid w:val="00372FC1"/>
    <w:rPr>
      <w:rFonts w:ascii="Calibri" w:eastAsia="Times New Roman" w:hAnsi="Calibri" w:cs="Calibri"/>
      <w:noProof/>
      <w:sz w:val="20"/>
      <w:lang w:val="en-US" w:eastAsia="en-GB"/>
    </w:rPr>
  </w:style>
  <w:style w:type="paragraph" w:customStyle="1" w:styleId="NumHeading2">
    <w:name w:val="Num Heading 2"/>
    <w:basedOn w:val="Numberedheading2"/>
    <w:link w:val="NumHeading2Char"/>
    <w:qFormat/>
    <w:rsid w:val="00D22717"/>
  </w:style>
  <w:style w:type="character" w:customStyle="1" w:styleId="Heading2-tableChar">
    <w:name w:val="Heading 2-table Char"/>
    <w:basedOn w:val="Heading2Char"/>
    <w:link w:val="Heading2-table"/>
    <w:rsid w:val="00D22717"/>
    <w:rPr>
      <w:b/>
      <w:sz w:val="24"/>
      <w:szCs w:val="20"/>
      <w:lang w:eastAsia="en-GB"/>
    </w:rPr>
  </w:style>
  <w:style w:type="character" w:customStyle="1" w:styleId="Numberedheading2Char">
    <w:name w:val="Numbered heading 2 Char"/>
    <w:basedOn w:val="Heading2-tableChar"/>
    <w:link w:val="Numberedheading2"/>
    <w:rsid w:val="00D22717"/>
    <w:rPr>
      <w:b/>
      <w:sz w:val="24"/>
      <w:szCs w:val="20"/>
      <w:lang w:eastAsia="en-GB"/>
    </w:rPr>
  </w:style>
  <w:style w:type="character" w:customStyle="1" w:styleId="NumHeading2Char">
    <w:name w:val="Num Heading 2 Char"/>
    <w:basedOn w:val="Numberedheading2Char"/>
    <w:link w:val="NumHeading2"/>
    <w:rsid w:val="00D22717"/>
    <w:rPr>
      <w:b/>
      <w:sz w:val="24"/>
      <w:szCs w:val="20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8F3DF7"/>
    <w:pPr>
      <w:jc w:val="center"/>
    </w:pPr>
    <w:rPr>
      <w:rFonts w:ascii="Calibri" w:hAnsi="Calibri" w:cs="Calibri"/>
      <w:noProof/>
      <w:sz w:val="20"/>
      <w:lang w:val="en-US"/>
    </w:rPr>
  </w:style>
  <w:style w:type="character" w:customStyle="1" w:styleId="EndNoteBibliographyTitleChar">
    <w:name w:val="EndNote Bibliography Title Char"/>
    <w:basedOn w:val="InstructionsChar"/>
    <w:link w:val="EndNoteBibliographyTitle"/>
    <w:rsid w:val="008F3DF7"/>
    <w:rPr>
      <w:rFonts w:ascii="Calibri" w:hAnsi="Calibri" w:cs="Calibri"/>
      <w:i w:val="0"/>
      <w:noProof/>
      <w:color w:val="FF0000"/>
      <w:sz w:val="20"/>
      <w:szCs w:val="20"/>
      <w:lang w:val="en-US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A10E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049BF"/>
  </w:style>
  <w:style w:type="paragraph" w:customStyle="1" w:styleId="Numberedheading4">
    <w:name w:val="Numbered heading 4"/>
    <w:basedOn w:val="Numberedheading3"/>
    <w:next w:val="Normal"/>
    <w:rsid w:val="00435D21"/>
    <w:pPr>
      <w:keepNext/>
      <w:numPr>
        <w:ilvl w:val="3"/>
        <w:numId w:val="37"/>
      </w:numPr>
      <w:spacing w:before="240" w:after="60" w:line="240" w:lineRule="auto"/>
      <w:jc w:val="left"/>
    </w:pPr>
    <w:rPr>
      <w:rFonts w:ascii="Arial" w:eastAsia="Times New Roman" w:hAnsi="Arial" w:cs="Arial"/>
      <w:bCs/>
      <w:sz w:val="20"/>
      <w:szCs w:val="26"/>
      <w:lang w:eastAsia="en-US"/>
    </w:rPr>
  </w:style>
  <w:style w:type="paragraph" w:customStyle="1" w:styleId="NumberedHeading40">
    <w:name w:val="Numbered Heading 4"/>
    <w:basedOn w:val="Normal"/>
    <w:uiPriority w:val="99"/>
    <w:qFormat/>
    <w:rsid w:val="0083306B"/>
    <w:pPr>
      <w:spacing w:before="200" w:after="200" w:line="276" w:lineRule="auto"/>
      <w:ind w:left="357" w:hanging="357"/>
      <w:jc w:val="left"/>
    </w:pPr>
    <w:rPr>
      <w:b/>
      <w:lang w:eastAsia="en-US"/>
    </w:rPr>
  </w:style>
  <w:style w:type="paragraph" w:customStyle="1" w:styleId="PreIndexHeading2">
    <w:name w:val="PreIndexHeading2"/>
    <w:basedOn w:val="Heading2"/>
    <w:link w:val="PreIndexHeading2Char"/>
    <w:qFormat/>
    <w:rsid w:val="005269C1"/>
    <w:pPr>
      <w:keepNext/>
      <w:spacing w:before="240" w:after="60" w:line="240" w:lineRule="auto"/>
      <w:ind w:left="567" w:hanging="567"/>
      <w:jc w:val="left"/>
    </w:pPr>
    <w:rPr>
      <w:rFonts w:eastAsia="Times New Roman" w:cstheme="minorHAnsi"/>
      <w:bCs/>
      <w:iCs/>
      <w:sz w:val="24"/>
      <w:szCs w:val="28"/>
    </w:rPr>
  </w:style>
  <w:style w:type="character" w:customStyle="1" w:styleId="PreIndexHeading2Char">
    <w:name w:val="PreIndexHeading2 Char"/>
    <w:basedOn w:val="Heading3Char"/>
    <w:link w:val="PreIndexHeading2"/>
    <w:rsid w:val="005269C1"/>
    <w:rPr>
      <w:rFonts w:eastAsia="Times New Roman" w:cstheme="minorHAnsi"/>
      <w:b/>
      <w:bCs/>
      <w:iCs/>
      <w:sz w:val="24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659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6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372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93513-3407-4A1E-9828-3D12F8DEF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CRCTU-CLO-QCD-004</vt:lpstr>
    </vt:vector>
  </TitlesOfParts>
  <Company>School of Cancer Sciences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CRCTU-CLO-QCD-004</dc:title>
  <dc:subject>Site Closure Report</dc:subject>
  <dc:creator>Cara Lax-Williams</dc:creator>
  <cp:lastModifiedBy>Catherine Thomas (Cancer Clinical Trials Unit)</cp:lastModifiedBy>
  <cp:revision>2</cp:revision>
  <cp:lastPrinted>2018-06-13T13:29:00Z</cp:lastPrinted>
  <dcterms:created xsi:type="dcterms:W3CDTF">2024-02-02T11:09:00Z</dcterms:created>
  <dcterms:modified xsi:type="dcterms:W3CDTF">2024-02-02T11:09:00Z</dcterms:modified>
  <cp:contentStatus>v2.0</cp:contentStatus>
</cp:coreProperties>
</file>