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835FA" w14:textId="77777777" w:rsidR="00360168" w:rsidRDefault="00360168"/>
    <w:tbl>
      <w:tblPr>
        <w:tblStyle w:val="2-5"/>
        <w:tblW w:w="5000" w:type="pct"/>
        <w:tblLook w:val="04A0" w:firstRow="1" w:lastRow="0" w:firstColumn="1" w:lastColumn="0" w:noHBand="0" w:noVBand="1"/>
      </w:tblPr>
      <w:tblGrid>
        <w:gridCol w:w="1648"/>
        <w:gridCol w:w="2526"/>
        <w:gridCol w:w="2970"/>
        <w:gridCol w:w="921"/>
        <w:gridCol w:w="1697"/>
        <w:gridCol w:w="1681"/>
        <w:gridCol w:w="1262"/>
        <w:gridCol w:w="1253"/>
      </w:tblGrid>
      <w:tr w:rsidR="000E18A2" w:rsidRPr="000B13BE" w14:paraId="6DA5E7C0" w14:textId="77777777" w:rsidTr="000B13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vAlign w:val="center"/>
          </w:tcPr>
          <w:p w14:paraId="13B6FA1D" w14:textId="09C5792A" w:rsidR="000E18A2" w:rsidRPr="000B13BE" w:rsidRDefault="007C0D62" w:rsidP="000B13BE">
            <w:pPr>
              <w:spacing w:line="276" w:lineRule="auto"/>
              <w:rPr>
                <w:sz w:val="20"/>
                <w:szCs w:val="20"/>
              </w:rPr>
            </w:pPr>
            <w:r w:rsidRPr="000B13BE">
              <w:rPr>
                <w:sz w:val="20"/>
                <w:szCs w:val="20"/>
              </w:rPr>
              <w:t>Table S</w:t>
            </w:r>
            <w:r w:rsidR="00762629" w:rsidRPr="000B13BE">
              <w:rPr>
                <w:rFonts w:hint="eastAsia"/>
                <w:sz w:val="20"/>
                <w:szCs w:val="20"/>
              </w:rPr>
              <w:t xml:space="preserve">1 </w:t>
            </w:r>
            <w:r w:rsidR="00762629" w:rsidRPr="000B13BE">
              <w:rPr>
                <w:sz w:val="20"/>
                <w:szCs w:val="20"/>
              </w:rPr>
              <w:t xml:space="preserve">Clinical and molecular characteristics of </w:t>
            </w:r>
            <w:r w:rsidR="00762629" w:rsidRPr="000B13BE">
              <w:rPr>
                <w:rFonts w:hint="eastAsia"/>
                <w:sz w:val="20"/>
                <w:szCs w:val="20"/>
              </w:rPr>
              <w:t>the</w:t>
            </w:r>
            <w:r w:rsidR="00762629" w:rsidRPr="000B13BE">
              <w:rPr>
                <w:sz w:val="20"/>
                <w:szCs w:val="20"/>
              </w:rPr>
              <w:t xml:space="preserve"> MSI-H patients</w:t>
            </w:r>
          </w:p>
        </w:tc>
      </w:tr>
      <w:tr w:rsidR="00762629" w:rsidRPr="000B13BE" w14:paraId="20EC59F2" w14:textId="77777777" w:rsidTr="000B1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vAlign w:val="center"/>
          </w:tcPr>
          <w:p w14:paraId="10B899F4" w14:textId="410B54EA" w:rsidR="000E18A2" w:rsidRPr="000B13BE" w:rsidRDefault="000E18A2" w:rsidP="000B13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Patient No.</w:t>
            </w:r>
          </w:p>
        </w:tc>
        <w:tc>
          <w:tcPr>
            <w:tcW w:w="905" w:type="pct"/>
            <w:vAlign w:val="center"/>
          </w:tcPr>
          <w:p w14:paraId="14F6DA05" w14:textId="5A6058E0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B13BE">
              <w:rPr>
                <w:rFonts w:eastAsia="等线"/>
                <w:b/>
                <w:bCs/>
                <w:sz w:val="20"/>
                <w:szCs w:val="20"/>
              </w:rPr>
              <w:t>Personal history</w:t>
            </w:r>
          </w:p>
        </w:tc>
        <w:tc>
          <w:tcPr>
            <w:tcW w:w="1064" w:type="pct"/>
            <w:vAlign w:val="center"/>
          </w:tcPr>
          <w:p w14:paraId="5D16A404" w14:textId="58E4275E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B13BE">
              <w:rPr>
                <w:rFonts w:eastAsia="等线"/>
                <w:b/>
                <w:bCs/>
                <w:sz w:val="20"/>
                <w:szCs w:val="20"/>
              </w:rPr>
              <w:t>MMR genes mutation</w:t>
            </w:r>
          </w:p>
        </w:tc>
        <w:tc>
          <w:tcPr>
            <w:tcW w:w="330" w:type="pct"/>
            <w:vAlign w:val="center"/>
          </w:tcPr>
          <w:p w14:paraId="489F221E" w14:textId="2FEAB567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B13BE">
              <w:rPr>
                <w:rFonts w:eastAsia="等线"/>
                <w:b/>
                <w:bCs/>
                <w:sz w:val="20"/>
                <w:szCs w:val="20"/>
              </w:rPr>
              <w:t>TMB</w:t>
            </w:r>
          </w:p>
        </w:tc>
        <w:tc>
          <w:tcPr>
            <w:tcW w:w="608" w:type="pct"/>
            <w:vAlign w:val="center"/>
          </w:tcPr>
          <w:p w14:paraId="1BECAB9F" w14:textId="2D320746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B13BE">
              <w:rPr>
                <w:rFonts w:eastAsia="等线"/>
                <w:b/>
                <w:bCs/>
                <w:color w:val="000000"/>
                <w:sz w:val="20"/>
                <w:szCs w:val="20"/>
              </w:rPr>
              <w:t>ARID1Amt</w:t>
            </w:r>
          </w:p>
        </w:tc>
        <w:tc>
          <w:tcPr>
            <w:tcW w:w="602" w:type="pct"/>
            <w:vAlign w:val="center"/>
          </w:tcPr>
          <w:p w14:paraId="6180BA9E" w14:textId="734DC1D2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B13BE">
              <w:rPr>
                <w:rFonts w:eastAsia="等线"/>
                <w:b/>
                <w:bCs/>
                <w:color w:val="000000"/>
                <w:sz w:val="20"/>
                <w:szCs w:val="20"/>
              </w:rPr>
              <w:t>PIK3CAmt</w:t>
            </w:r>
          </w:p>
        </w:tc>
        <w:tc>
          <w:tcPr>
            <w:tcW w:w="452" w:type="pct"/>
            <w:vAlign w:val="center"/>
          </w:tcPr>
          <w:p w14:paraId="228420A8" w14:textId="09119ABD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B13BE">
              <w:rPr>
                <w:rFonts w:eastAsia="等线"/>
                <w:b/>
                <w:bCs/>
                <w:color w:val="000000"/>
                <w:sz w:val="20"/>
                <w:szCs w:val="20"/>
              </w:rPr>
              <w:t>TP53mt</w:t>
            </w:r>
          </w:p>
        </w:tc>
        <w:tc>
          <w:tcPr>
            <w:tcW w:w="450" w:type="pct"/>
            <w:vAlign w:val="center"/>
          </w:tcPr>
          <w:p w14:paraId="41E59E07" w14:textId="036A0B79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proofErr w:type="spellStart"/>
            <w:r w:rsidRPr="000B13BE">
              <w:rPr>
                <w:rFonts w:eastAsia="等线"/>
                <w:b/>
                <w:bCs/>
                <w:color w:val="000000"/>
                <w:sz w:val="20"/>
                <w:szCs w:val="20"/>
              </w:rPr>
              <w:t>ATMmt</w:t>
            </w:r>
            <w:proofErr w:type="spellEnd"/>
          </w:p>
        </w:tc>
      </w:tr>
      <w:tr w:rsidR="000E18A2" w:rsidRPr="000B13BE" w14:paraId="467A803A" w14:textId="77777777" w:rsidTr="000B13BE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vAlign w:val="center"/>
          </w:tcPr>
          <w:p w14:paraId="264365DE" w14:textId="6AC57523" w:rsidR="000E18A2" w:rsidRPr="000B13BE" w:rsidRDefault="000E18A2" w:rsidP="000B13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1</w:t>
            </w:r>
          </w:p>
        </w:tc>
        <w:tc>
          <w:tcPr>
            <w:tcW w:w="905" w:type="pct"/>
            <w:vAlign w:val="center"/>
          </w:tcPr>
          <w:p w14:paraId="3D3E647D" w14:textId="77777777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等线"/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Colorectal cancer</w:t>
            </w:r>
          </w:p>
          <w:p w14:paraId="02A7BE09" w14:textId="1DA1E475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Endometrial cancer</w:t>
            </w:r>
          </w:p>
        </w:tc>
        <w:tc>
          <w:tcPr>
            <w:tcW w:w="1064" w:type="pct"/>
            <w:vAlign w:val="center"/>
          </w:tcPr>
          <w:p w14:paraId="7831FE36" w14:textId="43C735D0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PMS2 mutation</w:t>
            </w:r>
          </w:p>
        </w:tc>
        <w:tc>
          <w:tcPr>
            <w:tcW w:w="330" w:type="pct"/>
            <w:vAlign w:val="center"/>
          </w:tcPr>
          <w:p w14:paraId="30F25E7F" w14:textId="5A3DF6A0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color w:val="000000"/>
                <w:sz w:val="20"/>
                <w:szCs w:val="20"/>
              </w:rPr>
              <w:t>40.88</w:t>
            </w:r>
          </w:p>
        </w:tc>
        <w:tc>
          <w:tcPr>
            <w:tcW w:w="608" w:type="pct"/>
            <w:vAlign w:val="center"/>
          </w:tcPr>
          <w:p w14:paraId="5D2008E0" w14:textId="1646C706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602" w:type="pct"/>
            <w:vAlign w:val="center"/>
          </w:tcPr>
          <w:p w14:paraId="310151F1" w14:textId="344DEF25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452" w:type="pct"/>
            <w:vAlign w:val="center"/>
          </w:tcPr>
          <w:p w14:paraId="1AB158DA" w14:textId="2CDC4099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450" w:type="pct"/>
            <w:vAlign w:val="center"/>
          </w:tcPr>
          <w:p w14:paraId="20AA75EB" w14:textId="18A7057A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</w:tr>
      <w:tr w:rsidR="00762629" w:rsidRPr="000B13BE" w14:paraId="3E2AEE50" w14:textId="77777777" w:rsidTr="000B1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vAlign w:val="center"/>
          </w:tcPr>
          <w:p w14:paraId="64961253" w14:textId="342BC1A4" w:rsidR="000E18A2" w:rsidRPr="000B13BE" w:rsidRDefault="000E18A2" w:rsidP="000B13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2</w:t>
            </w:r>
          </w:p>
        </w:tc>
        <w:tc>
          <w:tcPr>
            <w:tcW w:w="905" w:type="pct"/>
            <w:vAlign w:val="center"/>
          </w:tcPr>
          <w:p w14:paraId="6C49F183" w14:textId="66C61632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Endometrial cancer</w:t>
            </w:r>
          </w:p>
        </w:tc>
        <w:tc>
          <w:tcPr>
            <w:tcW w:w="1064" w:type="pct"/>
            <w:vAlign w:val="center"/>
          </w:tcPr>
          <w:p w14:paraId="6BC315FD" w14:textId="4C683F48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Not detected*</w:t>
            </w:r>
          </w:p>
        </w:tc>
        <w:tc>
          <w:tcPr>
            <w:tcW w:w="330" w:type="pct"/>
            <w:vAlign w:val="center"/>
          </w:tcPr>
          <w:p w14:paraId="362F7E3A" w14:textId="162B3989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color w:val="000000"/>
                <w:sz w:val="20"/>
                <w:szCs w:val="20"/>
              </w:rPr>
              <w:t>17.95</w:t>
            </w:r>
          </w:p>
        </w:tc>
        <w:tc>
          <w:tcPr>
            <w:tcW w:w="608" w:type="pct"/>
            <w:vAlign w:val="center"/>
          </w:tcPr>
          <w:p w14:paraId="570A3F86" w14:textId="5A89CF44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602" w:type="pct"/>
            <w:vAlign w:val="center"/>
          </w:tcPr>
          <w:p w14:paraId="3F33EA52" w14:textId="73E15B83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452" w:type="pct"/>
            <w:vAlign w:val="center"/>
          </w:tcPr>
          <w:p w14:paraId="45B1222E" w14:textId="27809B70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450" w:type="pct"/>
            <w:vAlign w:val="center"/>
          </w:tcPr>
          <w:p w14:paraId="3779291C" w14:textId="0BD7F26E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</w:tr>
      <w:tr w:rsidR="000E18A2" w:rsidRPr="000B13BE" w14:paraId="4C4BC144" w14:textId="77777777" w:rsidTr="000B13BE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vAlign w:val="center"/>
          </w:tcPr>
          <w:p w14:paraId="1005566C" w14:textId="0DB08939" w:rsidR="000E18A2" w:rsidRPr="000B13BE" w:rsidRDefault="000E18A2" w:rsidP="000B13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3</w:t>
            </w:r>
          </w:p>
        </w:tc>
        <w:tc>
          <w:tcPr>
            <w:tcW w:w="905" w:type="pct"/>
            <w:vAlign w:val="center"/>
          </w:tcPr>
          <w:p w14:paraId="37D11B2B" w14:textId="584E771F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Endometrial cancer</w:t>
            </w:r>
          </w:p>
        </w:tc>
        <w:tc>
          <w:tcPr>
            <w:tcW w:w="1064" w:type="pct"/>
            <w:vAlign w:val="center"/>
          </w:tcPr>
          <w:p w14:paraId="6C0C015B" w14:textId="56509B60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MSH6 mutation</w:t>
            </w:r>
          </w:p>
        </w:tc>
        <w:tc>
          <w:tcPr>
            <w:tcW w:w="330" w:type="pct"/>
            <w:vAlign w:val="center"/>
          </w:tcPr>
          <w:p w14:paraId="239CFDDE" w14:textId="134AF558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color w:val="000000"/>
                <w:sz w:val="20"/>
                <w:szCs w:val="20"/>
              </w:rPr>
              <w:t>73.78</w:t>
            </w:r>
          </w:p>
        </w:tc>
        <w:tc>
          <w:tcPr>
            <w:tcW w:w="608" w:type="pct"/>
            <w:vAlign w:val="center"/>
          </w:tcPr>
          <w:p w14:paraId="58C3E039" w14:textId="767C1829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602" w:type="pct"/>
            <w:vAlign w:val="center"/>
          </w:tcPr>
          <w:p w14:paraId="6D7DDBD9" w14:textId="11B7D190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452" w:type="pct"/>
            <w:vAlign w:val="center"/>
          </w:tcPr>
          <w:p w14:paraId="1067F850" w14:textId="53EF2DBE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450" w:type="pct"/>
            <w:vAlign w:val="center"/>
          </w:tcPr>
          <w:p w14:paraId="7FADDEDD" w14:textId="19BAC737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color w:val="000000"/>
                <w:sz w:val="20"/>
                <w:szCs w:val="20"/>
              </w:rPr>
              <w:t>No</w:t>
            </w:r>
          </w:p>
        </w:tc>
      </w:tr>
      <w:tr w:rsidR="00762629" w:rsidRPr="000B13BE" w14:paraId="4CA889AD" w14:textId="77777777" w:rsidTr="000B1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vAlign w:val="center"/>
          </w:tcPr>
          <w:p w14:paraId="58AC2E9A" w14:textId="488CFE9D" w:rsidR="000E18A2" w:rsidRPr="000B13BE" w:rsidRDefault="000E18A2" w:rsidP="000B13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4</w:t>
            </w:r>
          </w:p>
        </w:tc>
        <w:tc>
          <w:tcPr>
            <w:tcW w:w="905" w:type="pct"/>
            <w:vAlign w:val="center"/>
          </w:tcPr>
          <w:p w14:paraId="6084B338" w14:textId="553CBCDF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1064" w:type="pct"/>
            <w:vAlign w:val="center"/>
          </w:tcPr>
          <w:p w14:paraId="5DDC640D" w14:textId="6D659321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MSH6 mutation</w:t>
            </w:r>
          </w:p>
        </w:tc>
        <w:tc>
          <w:tcPr>
            <w:tcW w:w="330" w:type="pct"/>
            <w:vAlign w:val="center"/>
          </w:tcPr>
          <w:p w14:paraId="6AF73876" w14:textId="3DB2E9C4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color w:val="000000"/>
                <w:sz w:val="20"/>
                <w:szCs w:val="20"/>
              </w:rPr>
              <w:t>21.93</w:t>
            </w:r>
          </w:p>
        </w:tc>
        <w:tc>
          <w:tcPr>
            <w:tcW w:w="608" w:type="pct"/>
            <w:vAlign w:val="center"/>
          </w:tcPr>
          <w:p w14:paraId="293DFCBB" w14:textId="2D793FC1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602" w:type="pct"/>
            <w:vAlign w:val="center"/>
          </w:tcPr>
          <w:p w14:paraId="4A156122" w14:textId="1F8FA07D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452" w:type="pct"/>
            <w:vAlign w:val="center"/>
          </w:tcPr>
          <w:p w14:paraId="313C2EF8" w14:textId="640C98ED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450" w:type="pct"/>
            <w:vAlign w:val="center"/>
          </w:tcPr>
          <w:p w14:paraId="6CE29CDC" w14:textId="52539ACE" w:rsidR="000E18A2" w:rsidRPr="000B13BE" w:rsidRDefault="000E18A2" w:rsidP="000B13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</w:tr>
      <w:tr w:rsidR="00762629" w:rsidRPr="000B13BE" w14:paraId="09FB2546" w14:textId="77777777" w:rsidTr="000B13BE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vAlign w:val="center"/>
          </w:tcPr>
          <w:p w14:paraId="114226A5" w14:textId="64109BA2" w:rsidR="000E18A2" w:rsidRPr="000B13BE" w:rsidRDefault="000E18A2" w:rsidP="000B13B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5</w:t>
            </w:r>
          </w:p>
        </w:tc>
        <w:tc>
          <w:tcPr>
            <w:tcW w:w="905" w:type="pct"/>
            <w:vAlign w:val="center"/>
          </w:tcPr>
          <w:p w14:paraId="31D152B9" w14:textId="1626A456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1064" w:type="pct"/>
            <w:vAlign w:val="center"/>
          </w:tcPr>
          <w:p w14:paraId="465F4153" w14:textId="6CCA5059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MSH2 mutation</w:t>
            </w:r>
          </w:p>
        </w:tc>
        <w:tc>
          <w:tcPr>
            <w:tcW w:w="330" w:type="pct"/>
            <w:vAlign w:val="center"/>
          </w:tcPr>
          <w:p w14:paraId="4F59D6E2" w14:textId="13BED1E8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color w:val="000000"/>
                <w:sz w:val="20"/>
                <w:szCs w:val="20"/>
              </w:rPr>
              <w:t>40.88</w:t>
            </w:r>
          </w:p>
        </w:tc>
        <w:tc>
          <w:tcPr>
            <w:tcW w:w="608" w:type="pct"/>
            <w:vAlign w:val="center"/>
          </w:tcPr>
          <w:p w14:paraId="44956BC0" w14:textId="6C66C173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Yes</w:t>
            </w:r>
          </w:p>
        </w:tc>
        <w:tc>
          <w:tcPr>
            <w:tcW w:w="602" w:type="pct"/>
            <w:vAlign w:val="center"/>
          </w:tcPr>
          <w:p w14:paraId="335381D0" w14:textId="3D185934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452" w:type="pct"/>
            <w:vAlign w:val="center"/>
          </w:tcPr>
          <w:p w14:paraId="25A7D2F8" w14:textId="6A23069D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  <w:tc>
          <w:tcPr>
            <w:tcW w:w="450" w:type="pct"/>
            <w:vAlign w:val="center"/>
          </w:tcPr>
          <w:p w14:paraId="325535BB" w14:textId="5CC1B65C" w:rsidR="000E18A2" w:rsidRPr="000B13BE" w:rsidRDefault="000E18A2" w:rsidP="000B13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13BE">
              <w:rPr>
                <w:rFonts w:eastAsia="等线"/>
                <w:sz w:val="20"/>
                <w:szCs w:val="20"/>
              </w:rPr>
              <w:t>No</w:t>
            </w:r>
          </w:p>
        </w:tc>
      </w:tr>
      <w:tr w:rsidR="000E18A2" w:rsidRPr="000B13BE" w14:paraId="1C735C9F" w14:textId="77777777" w:rsidTr="000B13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  <w:vAlign w:val="center"/>
          </w:tcPr>
          <w:p w14:paraId="2461CBF7" w14:textId="77777777" w:rsidR="000E18A2" w:rsidRDefault="000E18A2" w:rsidP="000B13BE">
            <w:pPr>
              <w:spacing w:line="276" w:lineRule="auto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0B13BE">
              <w:rPr>
                <w:rFonts w:eastAsia="等线"/>
                <w:b w:val="0"/>
                <w:bCs w:val="0"/>
                <w:sz w:val="20"/>
                <w:szCs w:val="20"/>
              </w:rPr>
              <w:t xml:space="preserve">*Immunohistochemistry analysis for this patient shows </w:t>
            </w:r>
            <w:proofErr w:type="spellStart"/>
            <w:r w:rsidRPr="000B13BE">
              <w:rPr>
                <w:rFonts w:eastAsia="等线"/>
                <w:b w:val="0"/>
                <w:bCs w:val="0"/>
                <w:sz w:val="20"/>
                <w:szCs w:val="20"/>
              </w:rPr>
              <w:t>MMR</w:t>
            </w:r>
            <w:r w:rsidR="007C0D62" w:rsidRPr="000B13BE">
              <w:rPr>
                <w:rFonts w:eastAsia="等线" w:hint="eastAsia"/>
                <w:b w:val="0"/>
                <w:bCs w:val="0"/>
                <w:sz w:val="20"/>
                <w:szCs w:val="20"/>
              </w:rPr>
              <w:t>d</w:t>
            </w:r>
            <w:proofErr w:type="spellEnd"/>
            <w:r w:rsidR="007C0D62" w:rsidRPr="000B13BE">
              <w:rPr>
                <w:rFonts w:eastAsia="等线" w:hint="eastAsia"/>
                <w:b w:val="0"/>
                <w:bCs w:val="0"/>
                <w:sz w:val="20"/>
                <w:szCs w:val="20"/>
              </w:rPr>
              <w:t xml:space="preserve"> </w:t>
            </w:r>
            <w:r w:rsidRPr="000B13BE">
              <w:rPr>
                <w:rFonts w:eastAsia="等线"/>
                <w:b w:val="0"/>
                <w:bCs w:val="0"/>
                <w:sz w:val="20"/>
                <w:szCs w:val="20"/>
              </w:rPr>
              <w:t xml:space="preserve">(loss of </w:t>
            </w:r>
            <w:r w:rsidRPr="000B13BE">
              <w:rPr>
                <w:rFonts w:eastAsia="等线"/>
                <w:b w:val="0"/>
                <w:bCs w:val="0"/>
                <w:color w:val="000000"/>
                <w:kern w:val="0"/>
                <w:sz w:val="20"/>
                <w:szCs w:val="20"/>
              </w:rPr>
              <w:t>MLH1/PMS2 expression).</w:t>
            </w:r>
          </w:p>
          <w:p w14:paraId="4A7598CA" w14:textId="62F9BB06" w:rsidR="00850CA0" w:rsidRPr="000B13BE" w:rsidRDefault="00850CA0" w:rsidP="000B13BE">
            <w:pPr>
              <w:spacing w:line="276" w:lineRule="auto"/>
              <w:rPr>
                <w:rFonts w:eastAsia="等线"/>
                <w:b w:val="0"/>
                <w:bCs w:val="0"/>
                <w:sz w:val="20"/>
                <w:szCs w:val="20"/>
              </w:rPr>
            </w:pPr>
            <w:r>
              <w:rPr>
                <w:rFonts w:eastAsia="等线" w:hint="eastAsia"/>
                <w:b w:val="0"/>
                <w:bCs w:val="0"/>
                <w:sz w:val="20"/>
                <w:szCs w:val="20"/>
              </w:rPr>
              <w:t>Abbreviations: mt, mutation.</w:t>
            </w:r>
          </w:p>
        </w:tc>
      </w:tr>
    </w:tbl>
    <w:p w14:paraId="6B6FB9EB" w14:textId="77777777" w:rsidR="000E18A2" w:rsidRPr="007C0D62" w:rsidRDefault="000E18A2"/>
    <w:sectPr w:rsidR="000E18A2" w:rsidRPr="007C0D62" w:rsidSect="007C0D62">
      <w:pgSz w:w="16838" w:h="11906" w:orient="landscape"/>
      <w:pgMar w:top="1800" w:right="1440" w:bottom="180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AD584" w14:textId="77777777" w:rsidR="00336147" w:rsidRDefault="00336147" w:rsidP="000B13BE">
      <w:r>
        <w:separator/>
      </w:r>
    </w:p>
  </w:endnote>
  <w:endnote w:type="continuationSeparator" w:id="0">
    <w:p w14:paraId="285B78F9" w14:textId="77777777" w:rsidR="00336147" w:rsidRDefault="00336147" w:rsidP="000B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28DF0" w14:textId="77777777" w:rsidR="00336147" w:rsidRDefault="00336147" w:rsidP="000B13BE">
      <w:r>
        <w:separator/>
      </w:r>
    </w:p>
  </w:footnote>
  <w:footnote w:type="continuationSeparator" w:id="0">
    <w:p w14:paraId="29B38A90" w14:textId="77777777" w:rsidR="00336147" w:rsidRDefault="00336147" w:rsidP="000B1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A2"/>
    <w:rsid w:val="00047F27"/>
    <w:rsid w:val="000935F6"/>
    <w:rsid w:val="000B13BE"/>
    <w:rsid w:val="000E18A2"/>
    <w:rsid w:val="0014403F"/>
    <w:rsid w:val="001F7597"/>
    <w:rsid w:val="002E31E8"/>
    <w:rsid w:val="00336147"/>
    <w:rsid w:val="00360168"/>
    <w:rsid w:val="003A6914"/>
    <w:rsid w:val="004D38CA"/>
    <w:rsid w:val="00712968"/>
    <w:rsid w:val="00762629"/>
    <w:rsid w:val="007C0D62"/>
    <w:rsid w:val="007D36C6"/>
    <w:rsid w:val="00850CA0"/>
    <w:rsid w:val="008561B6"/>
    <w:rsid w:val="008E711B"/>
    <w:rsid w:val="00A63B5D"/>
    <w:rsid w:val="00AA1DBB"/>
    <w:rsid w:val="00AA2300"/>
    <w:rsid w:val="00C271B8"/>
    <w:rsid w:val="00C5188B"/>
    <w:rsid w:val="00CB555E"/>
    <w:rsid w:val="00E7725C"/>
    <w:rsid w:val="00F0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96AC8"/>
  <w15:chartTrackingRefBased/>
  <w15:docId w15:val="{C73E933B-81FB-4E60-A75B-F873B5E7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2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4"/>
      <w:szCs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1">
    <w:name w:val="List Table 6 Colorful Accent 1"/>
    <w:basedOn w:val="a1"/>
    <w:uiPriority w:val="51"/>
    <w:rsid w:val="000E18A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1">
    <w:name w:val="List Table 1 Light Accent 1"/>
    <w:basedOn w:val="a1"/>
    <w:uiPriority w:val="46"/>
    <w:rsid w:val="000E18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4">
    <w:name w:val="header"/>
    <w:basedOn w:val="a"/>
    <w:link w:val="a5"/>
    <w:uiPriority w:val="99"/>
    <w:unhideWhenUsed/>
    <w:rsid w:val="000B13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13BE"/>
    <w:rPr>
      <w:rFonts w:ascii="Times New Roman" w:eastAsia="宋体" w:hAnsi="Times New Roman" w:cs="Times New Roman"/>
      <w:sz w:val="18"/>
      <w:szCs w:val="18"/>
      <w:lang w:val="en-US"/>
      <w14:ligatures w14:val="none"/>
    </w:rPr>
  </w:style>
  <w:style w:type="paragraph" w:styleId="a6">
    <w:name w:val="footer"/>
    <w:basedOn w:val="a"/>
    <w:link w:val="a7"/>
    <w:uiPriority w:val="99"/>
    <w:unhideWhenUsed/>
    <w:rsid w:val="000B1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13BE"/>
    <w:rPr>
      <w:rFonts w:ascii="Times New Roman" w:eastAsia="宋体" w:hAnsi="Times New Roman" w:cs="Times New Roman"/>
      <w:sz w:val="18"/>
      <w:szCs w:val="18"/>
      <w:lang w:val="en-US"/>
      <w14:ligatures w14:val="none"/>
    </w:rPr>
  </w:style>
  <w:style w:type="table" w:styleId="2-5">
    <w:name w:val="Grid Table 2 Accent 5"/>
    <w:basedOn w:val="a1"/>
    <w:uiPriority w:val="47"/>
    <w:rsid w:val="000B13B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8">
    <w:name w:val="Revision"/>
    <w:hidden/>
    <w:uiPriority w:val="99"/>
    <w:semiHidden/>
    <w:rsid w:val="00850CA0"/>
    <w:pPr>
      <w:spacing w:after="0" w:line="240" w:lineRule="auto"/>
    </w:pPr>
    <w:rPr>
      <w:rFonts w:ascii="Times New Roman" w:eastAsia="宋体" w:hAnsi="Times New Roman" w:cs="Times New Roman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蔚 陈</dc:creator>
  <cp:keywords/>
  <dc:description/>
  <cp:lastModifiedBy>蔚 陈</cp:lastModifiedBy>
  <cp:revision>2</cp:revision>
  <dcterms:created xsi:type="dcterms:W3CDTF">2024-11-24T07:15:00Z</dcterms:created>
  <dcterms:modified xsi:type="dcterms:W3CDTF">2024-11-24T07:15:00Z</dcterms:modified>
</cp:coreProperties>
</file>