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A870D6" w14:textId="77777777" w:rsidR="007F6072" w:rsidRDefault="0000000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Data Extraction and Analysis Procedures</w:t>
      </w:r>
    </w:p>
    <w:p w14:paraId="3EFD81A8" w14:textId="77777777" w:rsidR="007F6072" w:rsidRPr="0081656E" w:rsidRDefault="00000000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1656E">
        <w:rPr>
          <w:rFonts w:ascii="Times New Roman" w:hAnsi="Times New Roman" w:cs="Times New Roman"/>
          <w:b/>
          <w:bCs/>
          <w:i/>
          <w:iCs/>
          <w:sz w:val="24"/>
          <w:szCs w:val="24"/>
        </w:rPr>
        <w:t>1. Data Download</w:t>
      </w:r>
    </w:p>
    <w:p w14:paraId="1E63E18D" w14:textId="686C98E4" w:rsidR="007F6072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data required for this study was obtained from the Global Burden of Disease (GBD) Database, accessible through the GBD Results Tool</w:t>
      </w:r>
      <w:r w:rsidR="008325A3">
        <w:rPr>
          <w:rFonts w:ascii="Times New Roman" w:hAnsi="Times New Roman" w:cs="Times New Roman" w:hint="eastAsia"/>
          <w:sz w:val="24"/>
          <w:szCs w:val="24"/>
        </w:rPr>
        <w:t xml:space="preserve"> (</w:t>
      </w:r>
      <w:hyperlink r:id="rId6" w:history="1">
        <w:r w:rsidR="008325A3" w:rsidRPr="00D4715E">
          <w:rPr>
            <w:rStyle w:val="a3"/>
            <w:rFonts w:ascii="Times New Roman" w:hAnsi="Times New Roman" w:cs="Times New Roman" w:hint="eastAsia"/>
            <w:sz w:val="24"/>
            <w:szCs w:val="24"/>
          </w:rPr>
          <w:t>https://vizhub.healthdata.org/gbd-results/</w:t>
        </w:r>
      </w:hyperlink>
      <w:r w:rsidR="008325A3"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Specific datasets were selected based on the research scope, including the time frame, geographic regions, and key indicators such as incidence rates, mortality rates, disability-adjusted life years (DALYs)</w:t>
      </w:r>
      <w:r w:rsidR="0081656E">
        <w:rPr>
          <w:rFonts w:ascii="Times New Roman" w:hAnsi="Times New Roman" w:cs="Times New Roman" w:hint="eastAsia"/>
          <w:sz w:val="24"/>
          <w:szCs w:val="24"/>
        </w:rPr>
        <w:t xml:space="preserve"> and prevalence rate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2313983" w14:textId="77777777" w:rsidR="0081656E" w:rsidRDefault="0081656E">
      <w:pPr>
        <w:rPr>
          <w:rFonts w:ascii="Times New Roman" w:hAnsi="Times New Roman" w:cs="Times New Roman"/>
          <w:sz w:val="24"/>
          <w:szCs w:val="24"/>
        </w:rPr>
      </w:pPr>
    </w:p>
    <w:p w14:paraId="78D097B1" w14:textId="77777777" w:rsidR="007F6072" w:rsidRPr="0081656E" w:rsidRDefault="00000000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1656E">
        <w:rPr>
          <w:rFonts w:ascii="Times New Roman" w:hAnsi="Times New Roman" w:cs="Times New Roman"/>
          <w:b/>
          <w:bCs/>
          <w:i/>
          <w:iCs/>
          <w:sz w:val="24"/>
          <w:szCs w:val="24"/>
        </w:rPr>
        <w:t>2. Data Selection</w:t>
      </w:r>
    </w:p>
    <w:p w14:paraId="7558475A" w14:textId="075A2545" w:rsidR="007F6072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Once downloaded, the raw data was filtered and organized to meet the study’s requirements. Variables relevant to stratified analysis (e.g., geographic regions, age groups, and sex) and time-series analysis were prioritized. The cleaned and prepared datasets were then uploaded into </w:t>
      </w:r>
      <w:proofErr w:type="spellStart"/>
      <w:r>
        <w:rPr>
          <w:rFonts w:ascii="Times New Roman" w:hAnsi="Times New Roman" w:cs="Times New Roman"/>
          <w:sz w:val="24"/>
          <w:szCs w:val="24"/>
        </w:rPr>
        <w:t>Jingding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Statistical Software</w:t>
      </w:r>
      <w:r>
        <w:rPr>
          <w:rFonts w:ascii="Times New Roman" w:hAnsi="Times New Roman" w:cs="Times New Roman" w:hint="eastAsia"/>
          <w:sz w:val="24"/>
          <w:szCs w:val="24"/>
        </w:rPr>
        <w:t>, developed using R software, for further analysis. Care was taken to ensure that all necessary dimensions were included to support a comprehensive and robust analysis.</w:t>
      </w:r>
    </w:p>
    <w:p w14:paraId="5652A070" w14:textId="77777777" w:rsidR="0081656E" w:rsidRDefault="0081656E">
      <w:pPr>
        <w:rPr>
          <w:rFonts w:ascii="Times New Roman" w:hAnsi="Times New Roman" w:cs="Times New Roman"/>
          <w:sz w:val="24"/>
          <w:szCs w:val="24"/>
        </w:rPr>
      </w:pPr>
    </w:p>
    <w:p w14:paraId="56B630D2" w14:textId="77777777" w:rsidR="007F6072" w:rsidRPr="0081656E" w:rsidRDefault="00000000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1656E">
        <w:rPr>
          <w:rFonts w:ascii="Times New Roman" w:hAnsi="Times New Roman" w:cs="Times New Roman"/>
          <w:b/>
          <w:bCs/>
          <w:i/>
          <w:iCs/>
          <w:sz w:val="24"/>
          <w:szCs w:val="24"/>
        </w:rPr>
        <w:t>3. Data Analysis</w:t>
      </w:r>
    </w:p>
    <w:p w14:paraId="267BBC23" w14:textId="77777777" w:rsidR="007F6072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cleaned datasets were imported into </w:t>
      </w:r>
      <w:proofErr w:type="spellStart"/>
      <w:r>
        <w:rPr>
          <w:rFonts w:ascii="Times New Roman" w:hAnsi="Times New Roman" w:cs="Times New Roman"/>
          <w:sz w:val="24"/>
          <w:szCs w:val="24"/>
        </w:rPr>
        <w:t>Jingding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Statistical Software, where its intuitive user interface enabled efficient high-dimensional data processing. Using the software’s right-side menu bar, the following analytical modules were applied:</w:t>
      </w:r>
    </w:p>
    <w:p w14:paraId="73ED4801" w14:textId="77777777" w:rsidR="007F6072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Trend Analysis: Conducted time-series analyses of key indicators, such as incidence and mortality rates, to identify temporal patterns.</w:t>
      </w:r>
    </w:p>
    <w:p w14:paraId="70F03E87" w14:textId="77777777" w:rsidR="007F6072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Stratified Analysis: Performed comparative analyses across subgroups, including geographic regions, age categories, and sexes, to evaluate disparities or variations.</w:t>
      </w:r>
    </w:p>
    <w:p w14:paraId="4B9BBE19" w14:textId="77777777" w:rsidR="007F6072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Significance Testing: Assessed statistical significance between subgroups or across time-series data.</w:t>
      </w:r>
    </w:p>
    <w:p w14:paraId="05B93B23" w14:textId="77777777" w:rsidR="0081656E" w:rsidRDefault="0081656E">
      <w:pPr>
        <w:rPr>
          <w:rFonts w:ascii="Times New Roman" w:hAnsi="Times New Roman" w:cs="Times New Roman"/>
          <w:sz w:val="24"/>
          <w:szCs w:val="24"/>
        </w:rPr>
      </w:pPr>
    </w:p>
    <w:p w14:paraId="30D8A511" w14:textId="77777777" w:rsidR="007F6072" w:rsidRPr="0081656E" w:rsidRDefault="00000000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1656E">
        <w:rPr>
          <w:rFonts w:ascii="Times New Roman" w:hAnsi="Times New Roman" w:cs="Times New Roman"/>
          <w:b/>
          <w:bCs/>
          <w:i/>
          <w:iCs/>
          <w:sz w:val="24"/>
          <w:szCs w:val="24"/>
        </w:rPr>
        <w:t>4. Results Generation</w:t>
      </w:r>
    </w:p>
    <w:p w14:paraId="02414ACE" w14:textId="288E838A" w:rsidR="007F6072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software automatically produced high-resolution visualizations and detailed statistical tables,</w:t>
      </w:r>
      <w:r w:rsidR="008325A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facilitat</w:t>
      </w:r>
      <w:r w:rsidR="008325A3">
        <w:rPr>
          <w:rFonts w:ascii="Times New Roman" w:hAnsi="Times New Roman" w:cs="Times New Roman" w:hint="eastAsia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the interpretation and presentation of findings. Examples of generated outputs included line charts, bar graphs, and statistical summaries, providing a solid foundation for drawing reliable conclusions.</w:t>
      </w:r>
    </w:p>
    <w:p w14:paraId="5D4A1491" w14:textId="77777777" w:rsidR="0081656E" w:rsidRDefault="0081656E">
      <w:pPr>
        <w:rPr>
          <w:rFonts w:ascii="Times New Roman" w:hAnsi="Times New Roman" w:cs="Times New Roman"/>
          <w:sz w:val="24"/>
          <w:szCs w:val="24"/>
        </w:rPr>
      </w:pPr>
    </w:p>
    <w:p w14:paraId="1DDF7B35" w14:textId="77777777" w:rsidR="007F6072" w:rsidRPr="0081656E" w:rsidRDefault="00000000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1656E">
        <w:rPr>
          <w:rFonts w:ascii="Times New Roman" w:hAnsi="Times New Roman" w:cs="Times New Roman"/>
          <w:b/>
          <w:bCs/>
          <w:i/>
          <w:iCs/>
          <w:sz w:val="24"/>
          <w:szCs w:val="24"/>
        </w:rPr>
        <w:t>5. Key Considerations</w:t>
      </w:r>
    </w:p>
    <w:p w14:paraId="218666D7" w14:textId="77777777" w:rsidR="007F6072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ensure the accuracy and reliability of the analysis:</w:t>
      </w:r>
    </w:p>
    <w:p w14:paraId="3C2414A2" w14:textId="110B4F20" w:rsidR="007F6072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Cleaning: The datasets were thoroughly cleaned </w:t>
      </w:r>
      <w:r w:rsidR="008325A3">
        <w:rPr>
          <w:rFonts w:ascii="Times New Roman" w:hAnsi="Times New Roman" w:cs="Times New Roman"/>
          <w:sz w:val="24"/>
          <w:szCs w:val="24"/>
        </w:rPr>
        <w:t>before</w:t>
      </w:r>
      <w:r>
        <w:rPr>
          <w:rFonts w:ascii="Times New Roman" w:hAnsi="Times New Roman" w:cs="Times New Roman"/>
          <w:sz w:val="24"/>
          <w:szCs w:val="24"/>
        </w:rPr>
        <w:t xml:space="preserve"> analysis, removing outliers and addressing missing values to maintain consistency and accuracy.</w:t>
      </w:r>
    </w:p>
    <w:p w14:paraId="4F384C1D" w14:textId="77777777" w:rsidR="007F6072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Parameter Optimization: The default parameters of the software were adjusted as needed to refine the analysis and enhance precision.</w:t>
      </w:r>
    </w:p>
    <w:p w14:paraId="78984374" w14:textId="77777777" w:rsidR="0081656E" w:rsidRDefault="0081656E">
      <w:pPr>
        <w:rPr>
          <w:rFonts w:ascii="Times New Roman" w:hAnsi="Times New Roman" w:cs="Times New Roman"/>
          <w:sz w:val="24"/>
          <w:szCs w:val="24"/>
        </w:rPr>
      </w:pPr>
    </w:p>
    <w:p w14:paraId="3DCCD664" w14:textId="77777777" w:rsidR="007F6072" w:rsidRPr="0081656E" w:rsidRDefault="00000000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1656E">
        <w:rPr>
          <w:rFonts w:ascii="Times New Roman" w:hAnsi="Times New Roman" w:cs="Times New Roman"/>
          <w:b/>
          <w:bCs/>
          <w:i/>
          <w:iCs/>
          <w:sz w:val="24"/>
          <w:szCs w:val="24"/>
        </w:rPr>
        <w:t>6. Research Significance</w:t>
      </w:r>
    </w:p>
    <w:p w14:paraId="76499CB5" w14:textId="77777777" w:rsidR="007F6072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workflow was developed for internal use to standardize the process of downloading, preparing, and analyzing GBD data. By leveraging </w:t>
      </w:r>
      <w:proofErr w:type="spellStart"/>
      <w:r>
        <w:rPr>
          <w:rFonts w:ascii="Times New Roman" w:hAnsi="Times New Roman" w:cs="Times New Roman"/>
          <w:sz w:val="24"/>
          <w:szCs w:val="24"/>
        </w:rPr>
        <w:t>Jingding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Statistical Software, the workflow ensures efficient, reproducible, and scientifically rigorous </w:t>
      </w:r>
      <w:r>
        <w:rPr>
          <w:rFonts w:ascii="Times New Roman" w:hAnsi="Times New Roman" w:cs="Times New Roman"/>
          <w:sz w:val="24"/>
          <w:szCs w:val="24"/>
        </w:rPr>
        <w:lastRenderedPageBreak/>
        <w:t>analysis. This methodology provides robust support for exploring global health trends, informing policy development, and advancing future research.</w:t>
      </w:r>
    </w:p>
    <w:p w14:paraId="0BA24E84" w14:textId="77777777" w:rsidR="0081656E" w:rsidRDefault="0081656E">
      <w:pPr>
        <w:rPr>
          <w:rFonts w:ascii="Times New Roman" w:hAnsi="Times New Roman" w:cs="Times New Roman"/>
          <w:sz w:val="24"/>
          <w:szCs w:val="24"/>
        </w:rPr>
      </w:pPr>
    </w:p>
    <w:p w14:paraId="010DB88E" w14:textId="77777777" w:rsidR="007F6072" w:rsidRPr="0081656E" w:rsidRDefault="00000000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1656E">
        <w:rPr>
          <w:rFonts w:ascii="Times New Roman" w:hAnsi="Times New Roman" w:cs="Times New Roman"/>
          <w:b/>
          <w:bCs/>
          <w:i/>
          <w:iCs/>
          <w:sz w:val="24"/>
          <w:szCs w:val="24"/>
        </w:rPr>
        <w:t>7. Functionality Demonstration</w:t>
      </w:r>
    </w:p>
    <w:p w14:paraId="1451BA98" w14:textId="77777777" w:rsidR="009036F2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following sections showcase the core functionalities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Jingding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Statistical Software, including examples of generated visualizations and descriptions of the computational methods and formulas used throughout the analysis process.</w:t>
      </w:r>
    </w:p>
    <w:p w14:paraId="4EB776E6" w14:textId="77777777" w:rsidR="009036F2" w:rsidRDefault="009036F2">
      <w:pPr>
        <w:rPr>
          <w:rFonts w:ascii="Times New Roman" w:hAnsi="Times New Roman" w:cs="Times New Roman"/>
          <w:sz w:val="24"/>
          <w:szCs w:val="24"/>
        </w:rPr>
      </w:pPr>
    </w:p>
    <w:p w14:paraId="1D2B7EDF" w14:textId="77777777" w:rsidR="009036F2" w:rsidRDefault="00000000" w:rsidP="009036F2">
      <w:pPr>
        <w:keepNext/>
        <w:rPr>
          <w:rFonts w:hint="eastAsia"/>
        </w:rPr>
      </w:pPr>
      <w:r>
        <w:rPr>
          <w:noProof/>
        </w:rPr>
        <w:drawing>
          <wp:inline distT="0" distB="0" distL="0" distR="0" wp14:anchorId="7D5D9452" wp14:editId="0A0FFC9D">
            <wp:extent cx="5274310" cy="2794000"/>
            <wp:effectExtent l="0" t="0" r="2540" b="6350"/>
            <wp:docPr id="4088446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844626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5AB907" wp14:editId="0D78F88B">
            <wp:extent cx="5274310" cy="2794000"/>
            <wp:effectExtent l="0" t="0" r="2540" b="6350"/>
            <wp:docPr id="1541346096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346096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E3AC68" wp14:editId="5D5A0FA9">
            <wp:extent cx="5274310" cy="2794000"/>
            <wp:effectExtent l="0" t="0" r="2540" b="6350"/>
            <wp:docPr id="920731596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731596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DC92D" w14:textId="7CC0D04B" w:rsidR="007F6072" w:rsidRDefault="009036F2" w:rsidP="009036F2">
      <w:pPr>
        <w:pStyle w:val="aa"/>
        <w:jc w:val="center"/>
        <w:rPr>
          <w:b/>
          <w:bCs/>
        </w:rPr>
      </w:pPr>
      <w:r w:rsidRPr="009036F2">
        <w:rPr>
          <w:rFonts w:hint="eastAsia"/>
          <w:b/>
          <w:bCs/>
        </w:rPr>
        <w:t xml:space="preserve">Figure </w:t>
      </w:r>
      <w:r w:rsidRPr="009036F2">
        <w:rPr>
          <w:rFonts w:hint="eastAsia"/>
          <w:b/>
          <w:bCs/>
        </w:rPr>
        <w:fldChar w:fldCharType="begin"/>
      </w:r>
      <w:r w:rsidRPr="009036F2">
        <w:rPr>
          <w:rFonts w:hint="eastAsia"/>
          <w:b/>
          <w:bCs/>
        </w:rPr>
        <w:instrText xml:space="preserve"> SEQ Figure \* ARABIC </w:instrText>
      </w:r>
      <w:r w:rsidRPr="009036F2">
        <w:rPr>
          <w:rFonts w:hint="eastAsia"/>
          <w:b/>
          <w:bCs/>
        </w:rPr>
        <w:fldChar w:fldCharType="separate"/>
      </w:r>
      <w:r w:rsidRPr="009036F2">
        <w:rPr>
          <w:rFonts w:hint="eastAsia"/>
          <w:b/>
          <w:bCs/>
          <w:noProof/>
        </w:rPr>
        <w:t>1</w:t>
      </w:r>
      <w:r w:rsidRPr="009036F2">
        <w:rPr>
          <w:rFonts w:hint="eastAsia"/>
          <w:b/>
          <w:bCs/>
        </w:rPr>
        <w:fldChar w:fldCharType="end"/>
      </w:r>
      <w:r w:rsidRPr="009036F2">
        <w:rPr>
          <w:rFonts w:hint="eastAsia"/>
          <w:b/>
          <w:bCs/>
        </w:rPr>
        <w:t xml:space="preserve"> The main interface of the softwar</w:t>
      </w:r>
      <w:r>
        <w:rPr>
          <w:rFonts w:hint="eastAsia"/>
          <w:b/>
          <w:bCs/>
        </w:rPr>
        <w:t>e</w:t>
      </w:r>
    </w:p>
    <w:p w14:paraId="0A23F88F" w14:textId="77777777" w:rsidR="009036F2" w:rsidRPr="009036F2" w:rsidRDefault="009036F2" w:rsidP="009036F2">
      <w:pPr>
        <w:rPr>
          <w:rFonts w:hint="eastAsia"/>
        </w:rPr>
      </w:pPr>
    </w:p>
    <w:p w14:paraId="3CCB6F8F" w14:textId="6CAACEF4" w:rsidR="007F6072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study extracted age-standardized rates (ASRs, per 100,000 population) for all age groups, stratified rates for specific age groups, and corresponding numerical values from the GBD 2021 database. The ASR was calculated as a weighted average of age-specific rates, where the weights were determined based on the age distribution of a standardized population. The calculation formula is as follows:</w:t>
      </w:r>
    </w:p>
    <w:p w14:paraId="6383865D" w14:textId="77777777" w:rsidR="007F6072" w:rsidRDefault="00000000">
      <w:pPr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ASR=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nary>
                <m:naryPr>
                  <m:chr m:val="∑"/>
                  <m:limLoc m:val="undOvr"/>
                  <m:grow m:val="1"/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i=1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</m:sup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 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sub>
              </m:sSub>
            </m:num>
            <m:den>
              <m:nary>
                <m:naryPr>
                  <m:chr m:val="∑"/>
                  <m:limLoc m:val="undOvr"/>
                  <m:grow m:val="1"/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i=1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</m:sup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 </m:t>
                  </m:r>
                </m:e>
              </m:nary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sub>
              </m:sSub>
            </m:den>
          </m:f>
        </m:oMath>
      </m:oMathPara>
    </w:p>
    <w:p w14:paraId="47C68E54" w14:textId="77777777" w:rsidR="007F6072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here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</m:oMath>
      <w:r>
        <w:rPr>
          <w:rFonts w:ascii="Times New Roman" w:hAnsi="Times New Roman" w:cs="Times New Roman"/>
          <w:sz w:val="24"/>
          <w:szCs w:val="24"/>
        </w:rPr>
        <w:t xml:space="preserve"> represents the specific age rate for the </w:t>
      </w:r>
      <w:r>
        <w:rPr>
          <w:rFonts w:ascii="Cambria Math" w:hAnsi="Cambria Math" w:cs="Cambria Math"/>
          <w:sz w:val="24"/>
          <w:szCs w:val="24"/>
        </w:rPr>
        <w:t>𝑖</w:t>
      </w: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age group,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>
        <w:rPr>
          <w:rFonts w:ascii="Times New Roman" w:hAnsi="Times New Roman" w:cs="Times New Roman"/>
          <w:sz w:val="24"/>
          <w:szCs w:val="24"/>
        </w:rPr>
        <w:t xml:space="preserve">is the weight of the standard population in the same age group, and </w:t>
      </w:r>
      <w:r>
        <w:rPr>
          <w:rFonts w:ascii="Cambria Math" w:hAnsi="Cambria Math" w:cs="Cambria Math"/>
          <w:sz w:val="24"/>
          <w:szCs w:val="24"/>
        </w:rPr>
        <w:t>𝑁</w:t>
      </w:r>
      <w:r>
        <w:rPr>
          <w:rFonts w:ascii="Times New Roman" w:hAnsi="Times New Roman" w:cs="Times New Roman"/>
          <w:sz w:val="24"/>
          <w:szCs w:val="24"/>
        </w:rPr>
        <w:t xml:space="preserve"> denotes the total number of age groups. For each indicator, 95% uncertainty intervals (UIs) were defined as the 2.5th and 97.5th percentiles based on 1,000 resampled values, reflecting the range of uncertainty around the estimates.</w:t>
      </w:r>
    </w:p>
    <w:p w14:paraId="274EFF9D" w14:textId="77777777" w:rsidR="007F6072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Subsequently, percentage changes in incidence, prevalence, mortality, and disability-adjusted life years (DALYs) from 1990 to 2021 were calculated using the formula:</w:t>
      </w:r>
      <w:r>
        <w:rPr>
          <w:rFonts w:ascii="Times New Roman" w:hAnsi="Times New Roman" w:cs="Times New Roman"/>
          <w:sz w:val="24"/>
          <w:szCs w:val="24"/>
        </w:rPr>
        <w:br/>
      </w:r>
      <m:oMathPara>
        <m:oMath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m:t>Percentage change</m:t>
          </m:r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</w:rPr>
                <m:t>Final value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</w:rPr>
                <m:t>Initial value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</w:rPr>
                <m:t>Initial value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×100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%</m:t>
          </m:r>
        </m:oMath>
      </m:oMathPara>
    </w:p>
    <w:p w14:paraId="1CB0EE5F" w14:textId="77777777" w:rsidR="007F6072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Statistical significance was assessed based on the overlap of UIs. If UIs overlapped between two data points, the difference was considered not statistically significant (P &gt; 0.05); conversely, non-overlapping UIs indicated a statistically significant difference (P &lt; 0.05).</w:t>
      </w:r>
    </w:p>
    <w:p w14:paraId="4AB57F2A" w14:textId="77777777" w:rsidR="007F6072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evaluate long-term trends in ASRs, a linear regression model was employed:</w:t>
      </w:r>
    </w:p>
    <w:p w14:paraId="2FDC4121" w14:textId="77777777" w:rsidR="007F6072" w:rsidRDefault="0000000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m:oMathPara>
        <m:oMath>
          <m:eqArr>
            <m:eqArr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eqArrPr>
            <m:e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ln</m:t>
                  </m: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m:t>ASR</m:t>
                      </m:r>
                    </m:e>
                  </m:d>
                </m:e>
              </m:func>
              <m:r>
                <w:rPr>
                  <w:rFonts w:ascii="Cambria Math" w:hAnsi="Cambria Math" w:cs="Times New Roman"/>
                  <w:sz w:val="24"/>
                  <w:szCs w:val="24"/>
                </w:rPr>
                <m:t>=α+β</m:t>
              </m:r>
              <w:bookmarkStart w:id="0" w:name="_Hlk183283753"/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  <w:bookmarkEnd w:id="0"/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r>
                <w:rPr>
                  <w:rFonts w:ascii="Cambria Math" w:eastAsia="Cambria Math" w:hAnsi="Cambria Math" w:cs="Cambria Math"/>
                  <w:color w:val="000000"/>
                  <w:kern w:val="0"/>
                  <w:sz w:val="22"/>
                  <w:lang w:bidi="ar"/>
                </w:rPr>
                <m:t>ε</m:t>
              </m:r>
            </m:e>
          </m:eqArr>
        </m:oMath>
      </m:oMathPara>
    </w:p>
    <w:p w14:paraId="2FBB64C8" w14:textId="77777777" w:rsidR="007F6072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where </w:t>
      </w:r>
      <m:oMath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ln</m:t>
            </m:r>
            <m:ctrlPr>
              <w:rPr>
                <w:rFonts w:ascii="Cambria Math" w:hAnsi="Cambria Math" w:cs="Times New Roman"/>
                <w:sz w:val="24"/>
                <w:szCs w:val="24"/>
              </w:rPr>
            </m:ctrlP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m:rPr>
                    <m:nor/>
                  </m:rPr>
                  <w:rPr>
                    <w:rFonts w:ascii="Times New Roman" w:hAnsi="Times New Roman" w:cs="Times New Roman"/>
                    <w:sz w:val="24"/>
                    <w:szCs w:val="24"/>
                  </w:rPr>
                  <m:t>ASR</m:t>
                </m:r>
              </m:e>
            </m:d>
          </m:e>
        </m:func>
      </m:oMath>
      <w:r>
        <w:rPr>
          <w:rFonts w:ascii="Times New Roman" w:hAnsi="Times New Roman" w:cs="Times New Roman"/>
          <w:sz w:val="24"/>
          <w:szCs w:val="24"/>
        </w:rPr>
        <w:t xml:space="preserve"> is the natural logarithm of ASR, </w:t>
      </w:r>
      <m:oMath>
        <m:r>
          <w:rPr>
            <w:rFonts w:ascii="Cambria Math" w:hAnsi="Cambria Math" w:cs="Times New Roman"/>
            <w:sz w:val="24"/>
            <w:szCs w:val="24"/>
          </w:rPr>
          <m:t>x</m:t>
        </m:r>
      </m:oMath>
      <w:r>
        <w:rPr>
          <w:rFonts w:ascii="Times New Roman" w:hAnsi="Times New Roman" w:cs="Times New Roman"/>
          <w:sz w:val="24"/>
          <w:szCs w:val="24"/>
        </w:rPr>
        <w:t xml:space="preserve"> is the calendar year, and </w:t>
      </w:r>
      <w:r>
        <w:rPr>
          <w:rFonts w:ascii="Times New Roman" w:hAnsi="Times New Roman" w:cs="Times New Roman" w:hint="eastAsia"/>
          <w:sz w:val="24"/>
          <w:szCs w:val="24"/>
        </w:rPr>
        <w:t>ε</w:t>
      </w:r>
      <w:r>
        <w:rPr>
          <w:rFonts w:ascii="Times New Roman" w:hAnsi="Times New Roman" w:cs="Times New Roman"/>
          <w:sz w:val="24"/>
          <w:szCs w:val="24"/>
        </w:rPr>
        <w:t xml:space="preserve"> is an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independent, normally distributed error term. </w:t>
      </w:r>
      <w:r>
        <w:rPr>
          <w:rFonts w:ascii="Times New Roman" w:hAnsi="Times New Roman" w:cs="Times New Roman" w:hint="eastAsia"/>
          <w:sz w:val="24"/>
          <w:szCs w:val="24"/>
        </w:rPr>
        <w:t xml:space="preserve">We utilized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Joinpoint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software (version 5.0.1) to conduct a detailed analysis of long-term trends in the data, providing a clear </w:t>
      </w:r>
      <w:r>
        <w:rPr>
          <w:rFonts w:ascii="Times New Roman" w:hAnsi="Times New Roman" w:cs="Times New Roman" w:hint="eastAsia"/>
          <w:sz w:val="24"/>
          <w:szCs w:val="24"/>
        </w:rPr>
        <w:lastRenderedPageBreak/>
        <w:t xml:space="preserve">description of trends within the specified time frame. </w:t>
      </w:r>
      <w:r>
        <w:rPr>
          <w:rFonts w:ascii="Times New Roman" w:hAnsi="Times New Roman" w:cs="Times New Roman"/>
          <w:sz w:val="24"/>
          <w:szCs w:val="24"/>
        </w:rPr>
        <w:t>The estimated annual percentage change (EAPC) was then computed using the formula:</w:t>
      </w:r>
    </w:p>
    <w:p w14:paraId="431625AC" w14:textId="77777777" w:rsidR="007F6072" w:rsidRDefault="00000000">
      <w:pPr>
        <w:rPr>
          <w:rFonts w:ascii="Times New Roman" w:hAnsi="Times New Roman" w:cs="Times New Roman"/>
          <w:sz w:val="24"/>
          <w:szCs w:val="24"/>
        </w:rPr>
      </w:pPr>
      <m:oMathPara>
        <m:oMath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m:t>EAPC</m:t>
          </m:r>
          <m:r>
            <w:rPr>
              <w:rFonts w:ascii="Cambria Math" w:hAnsi="Cambria Math" w:cs="Times New Roman"/>
              <w:sz w:val="24"/>
              <w:szCs w:val="24"/>
            </w:rPr>
            <m:t>=100×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β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-1</m:t>
              </m:r>
            </m:e>
          </m:d>
        </m:oMath>
      </m:oMathPara>
    </w:p>
    <w:p w14:paraId="43B0093B" w14:textId="77777777" w:rsidR="007F6072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EAPC values and their 95% confidence intervals (CIs) were used to describe trends over specific periods. If the upper limit of the EAPC’s 95% CIs was less than zero, it indicated a statistically significant decreasing trend; if the lower limit was greater than zero, it indicated a statistically significant increasing trend. If the CIs included zero, the observed trend was not statistically significant.</w:t>
      </w:r>
    </w:p>
    <w:p w14:paraId="7E14C1D9" w14:textId="528C88EE" w:rsidR="007F6072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data processing and analyses were performed using R software (version 4.4.</w:t>
      </w:r>
      <w:r>
        <w:rPr>
          <w:rFonts w:ascii="Times New Roman" w:hAnsi="Times New Roman" w:cs="Times New Roman" w:hint="eastAsia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Joinpoint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software (version 5.0.1), and</w:t>
      </w:r>
      <w:r>
        <w:rPr>
          <w:rFonts w:hint="eastAsia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JD_GBDR (V2.10,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Jingding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Medical Technology Co., Ltd.) </w:t>
      </w:r>
      <w:r>
        <w:rPr>
          <w:rFonts w:ascii="Times New Roman" w:hAnsi="Times New Roman" w:cs="Times New Roman"/>
          <w:sz w:val="24"/>
          <w:szCs w:val="24"/>
        </w:rPr>
        <w:t>utilizing advanced statistical tools to ensure the accuracy and scientific rigor of the results. This standardized methodological framework provides robust support for exploring data trends and their statistical significance.</w:t>
      </w:r>
    </w:p>
    <w:sectPr w:rsidR="007F60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A33C7D" w14:textId="77777777" w:rsidR="00054CDA" w:rsidRDefault="00054CDA" w:rsidP="008325A3">
      <w:pPr>
        <w:rPr>
          <w:rFonts w:hint="eastAsia"/>
        </w:rPr>
      </w:pPr>
      <w:r>
        <w:separator/>
      </w:r>
    </w:p>
  </w:endnote>
  <w:endnote w:type="continuationSeparator" w:id="0">
    <w:p w14:paraId="0CA8B987" w14:textId="77777777" w:rsidR="00054CDA" w:rsidRDefault="00054CDA" w:rsidP="008325A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4A0ABB" w14:textId="77777777" w:rsidR="00054CDA" w:rsidRDefault="00054CDA" w:rsidP="008325A3">
      <w:pPr>
        <w:rPr>
          <w:rFonts w:hint="eastAsia"/>
        </w:rPr>
      </w:pPr>
      <w:r>
        <w:separator/>
      </w:r>
    </w:p>
  </w:footnote>
  <w:footnote w:type="continuationSeparator" w:id="0">
    <w:p w14:paraId="4BA4E883" w14:textId="77777777" w:rsidR="00054CDA" w:rsidRDefault="00054CDA" w:rsidP="008325A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hlYTk3MzYwZjViNTE5YTQ3N2NiYWNhOGQzYjc2OTcifQ=="/>
  </w:docVars>
  <w:rsids>
    <w:rsidRoot w:val="001D4B50"/>
    <w:rsid w:val="00002E3B"/>
    <w:rsid w:val="00054CDA"/>
    <w:rsid w:val="000D1A47"/>
    <w:rsid w:val="001D4B50"/>
    <w:rsid w:val="00230EFD"/>
    <w:rsid w:val="00243EAE"/>
    <w:rsid w:val="00263641"/>
    <w:rsid w:val="003D13FF"/>
    <w:rsid w:val="00426B5C"/>
    <w:rsid w:val="00523DDA"/>
    <w:rsid w:val="005774E1"/>
    <w:rsid w:val="005962C5"/>
    <w:rsid w:val="005A2E80"/>
    <w:rsid w:val="006C18AF"/>
    <w:rsid w:val="006E652F"/>
    <w:rsid w:val="007F6072"/>
    <w:rsid w:val="0081656E"/>
    <w:rsid w:val="008325A3"/>
    <w:rsid w:val="009036F2"/>
    <w:rsid w:val="009273E3"/>
    <w:rsid w:val="009F4E77"/>
    <w:rsid w:val="00A67B94"/>
    <w:rsid w:val="00BF5045"/>
    <w:rsid w:val="00C30E45"/>
    <w:rsid w:val="00C70006"/>
    <w:rsid w:val="00E46271"/>
    <w:rsid w:val="00E52B8B"/>
    <w:rsid w:val="00EC5DD7"/>
    <w:rsid w:val="00FF3A29"/>
    <w:rsid w:val="00FF7BA3"/>
    <w:rsid w:val="585B32AF"/>
    <w:rsid w:val="7AC1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01834B"/>
  <w15:docId w15:val="{03504CAD-68F9-45B7-A13F-FDC4BB904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8325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325A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325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325A3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8">
    <w:name w:val="Unresolved Mention"/>
    <w:basedOn w:val="a0"/>
    <w:uiPriority w:val="99"/>
    <w:semiHidden/>
    <w:unhideWhenUsed/>
    <w:rsid w:val="008325A3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8325A3"/>
    <w:rPr>
      <w:color w:val="954F72" w:themeColor="followedHyperlink"/>
      <w:u w:val="single"/>
    </w:rPr>
  </w:style>
  <w:style w:type="paragraph" w:styleId="aa">
    <w:name w:val="caption"/>
    <w:basedOn w:val="a"/>
    <w:next w:val="a"/>
    <w:uiPriority w:val="35"/>
    <w:unhideWhenUsed/>
    <w:qFormat/>
    <w:rsid w:val="009036F2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56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izhub.healthdata.org/gbd-results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870</Words>
  <Characters>4962</Characters>
  <Application>Microsoft Office Word</Application>
  <DocSecurity>0</DocSecurity>
  <Lines>41</Lines>
  <Paragraphs>11</Paragraphs>
  <ScaleCrop>false</ScaleCrop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凡皓 孟</dc:creator>
  <cp:lastModifiedBy>旭浩 胡</cp:lastModifiedBy>
  <cp:revision>9</cp:revision>
  <dcterms:created xsi:type="dcterms:W3CDTF">2024-11-23T11:22:00Z</dcterms:created>
  <dcterms:modified xsi:type="dcterms:W3CDTF">2024-11-25T02:24:00Z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B76FF5EA94EB43D7AA3AA6DEBBE44AAB_12</vt:lpwstr>
  </property>
  <property fmtid="{D5CDD505-2E9C-101B-9397-08002B2CF9AE}" pid="4" name="GrammarlyDocumentId">
    <vt:lpwstr>33050318443c77d27d9712c5fba52c3480cdb6abc87b67582794d38f1c72ecd2</vt:lpwstr>
  </property>
</Properties>
</file>