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W w:w="0" w:type="auto"/>
        <w:tblInd w:w="0" w:type="dxa"/>
        <w:tblLayout w:type="autofit"/>
        <w:tblCellMar>
          <w:top w:w="0" w:type="dxa"/>
          <w:left w:w="108" w:type="dxa"/>
          <w:bottom w:w="0" w:type="dxa"/>
          <w:right w:w="108" w:type="dxa"/>
        </w:tblCellMar>
      </w:tblPr>
      <w:tblGrid>
        <w:gridCol w:w="4148"/>
        <w:gridCol w:w="4148"/>
      </w:tblGrid>
      <w:tr w14:paraId="7BD8417B">
        <w:tblPrEx>
          <w:tblCellMar>
            <w:top w:w="0" w:type="dxa"/>
            <w:left w:w="108" w:type="dxa"/>
            <w:bottom w:w="0" w:type="dxa"/>
            <w:right w:w="108" w:type="dxa"/>
          </w:tblCellMar>
        </w:tblPrEx>
        <w:tc>
          <w:tcPr>
            <w:tcW w:w="8296" w:type="dxa"/>
            <w:gridSpan w:val="2"/>
            <w:tcBorders>
              <w:bottom w:val="single" w:color="auto" w:sz="12" w:space="0"/>
            </w:tcBorders>
            <w:vAlign w:val="center"/>
          </w:tcPr>
          <w:p w14:paraId="3CD2BE38">
            <w:pPr>
              <w:keepNext w:val="0"/>
              <w:keepLines w:val="0"/>
              <w:widowControl/>
              <w:suppressLineNumbers w:val="0"/>
              <w:spacing w:before="0" w:beforeAutospacing="0" w:after="0" w:afterAutospacing="0" w:line="360" w:lineRule="auto"/>
              <w:ind w:left="0" w:right="0"/>
              <w:rPr>
                <w:rFonts w:hint="eastAsia" w:ascii="Times New Roman" w:hAnsi="Times New Roman" w:cs="Times New Roman"/>
                <w:b/>
                <w:bCs/>
                <w:sz w:val="24"/>
                <w:highlight w:val="none"/>
              </w:rPr>
            </w:pPr>
            <w:r>
              <w:rPr>
                <w:rFonts w:hint="eastAsia" w:ascii="Times New Roman" w:hAnsi="Times New Roman" w:cs="Times New Roman"/>
                <w:b/>
                <w:bCs/>
                <w:sz w:val="24"/>
                <w:highlight w:val="none"/>
              </w:rPr>
              <w:t xml:space="preserve">Table </w:t>
            </w:r>
            <w:r>
              <w:rPr>
                <w:rFonts w:hint="eastAsia" w:ascii="Times New Roman" w:hAnsi="Times New Roman" w:cs="Times New Roman"/>
                <w:b/>
                <w:bCs/>
                <w:sz w:val="24"/>
                <w:highlight w:val="none"/>
                <w:lang w:val="en-US" w:eastAsia="zh-CN"/>
              </w:rPr>
              <w:t>S</w:t>
            </w:r>
            <w:r>
              <w:rPr>
                <w:rFonts w:hint="eastAsia" w:ascii="Times New Roman" w:hAnsi="Times New Roman" w:cs="Times New Roman"/>
                <w:b/>
                <w:bCs/>
                <w:sz w:val="24"/>
                <w:highlight w:val="none"/>
              </w:rPr>
              <w:t>1</w:t>
            </w:r>
            <w:r>
              <w:rPr>
                <w:rFonts w:hint="eastAsia" w:ascii="Times New Roman" w:hAnsi="Times New Roman" w:cs="Times New Roman"/>
                <w:b/>
                <w:bCs/>
                <w:sz w:val="24"/>
                <w:highlight w:val="none"/>
              </w:rPr>
              <w:t>.</w:t>
            </w:r>
            <w:r>
              <w:rPr>
                <w:rFonts w:hint="eastAsia" w:ascii="Times New Roman" w:hAnsi="Times New Roman" w:eastAsia="宋体" w:cs="Times New Roman"/>
                <w:b/>
                <w:bCs/>
                <w:sz w:val="22"/>
                <w:highlight w:val="none"/>
              </w:rPr>
              <w:t xml:space="preserve"> The clinical characteristics of the patients</w:t>
            </w:r>
            <w:r>
              <w:rPr>
                <w:rFonts w:hint="eastAsia" w:ascii="Times New Roman" w:hAnsi="Times New Roman" w:eastAsia="宋体" w:cs="Times New Roman"/>
                <w:b/>
                <w:bCs/>
                <w:sz w:val="24"/>
                <w:szCs w:val="24"/>
                <w:highlight w:val="none"/>
              </w:rPr>
              <w:t xml:space="preserve"> with reduced CTV2 radiotherapy</w:t>
            </w:r>
          </w:p>
        </w:tc>
      </w:tr>
      <w:tr w14:paraId="26B2C0F6">
        <w:tblPrEx>
          <w:tblCellMar>
            <w:top w:w="0" w:type="dxa"/>
            <w:left w:w="108" w:type="dxa"/>
            <w:bottom w:w="0" w:type="dxa"/>
            <w:right w:w="108" w:type="dxa"/>
          </w:tblCellMar>
        </w:tblPrEx>
        <w:tc>
          <w:tcPr>
            <w:tcW w:w="4148" w:type="dxa"/>
            <w:tcBorders>
              <w:top w:val="single" w:color="auto" w:sz="12" w:space="0"/>
              <w:bottom w:val="single" w:color="auto" w:sz="4" w:space="0"/>
            </w:tcBorders>
            <w:vAlign w:val="center"/>
          </w:tcPr>
          <w:p w14:paraId="32551567">
            <w:pPr>
              <w:keepNext w:val="0"/>
              <w:keepLines w:val="0"/>
              <w:widowControl/>
              <w:suppressLineNumbers w:val="0"/>
              <w:spacing w:before="0" w:beforeAutospacing="0" w:after="0" w:afterAutospacing="0" w:line="360" w:lineRule="auto"/>
              <w:ind w:left="0" w:right="0"/>
              <w:rPr>
                <w:rFonts w:hint="eastAsia" w:ascii="Times New Roman" w:hAnsi="Times New Roman" w:cs="Times New Roman"/>
                <w:sz w:val="24"/>
                <w:highlight w:val="none"/>
              </w:rPr>
            </w:pPr>
            <w:r>
              <w:rPr>
                <w:rFonts w:hint="eastAsia" w:ascii="Times New Roman" w:hAnsi="Times New Roman" w:eastAsia="宋体" w:cs="Times New Roman"/>
                <w:sz w:val="24"/>
                <w:szCs w:val="24"/>
                <w:highlight w:val="none"/>
              </w:rPr>
              <w:t>Parameter</w:t>
            </w:r>
          </w:p>
        </w:tc>
        <w:tc>
          <w:tcPr>
            <w:tcW w:w="4148" w:type="dxa"/>
            <w:tcBorders>
              <w:top w:val="single" w:color="auto" w:sz="12" w:space="0"/>
              <w:bottom w:val="single" w:color="auto" w:sz="4" w:space="0"/>
            </w:tcBorders>
            <w:vAlign w:val="center"/>
          </w:tcPr>
          <w:p w14:paraId="0522E4DE">
            <w:pPr>
              <w:keepNext w:val="0"/>
              <w:keepLines w:val="0"/>
              <w:widowControl/>
              <w:suppressLineNumbers w:val="0"/>
              <w:spacing w:before="0" w:beforeAutospacing="0" w:after="0" w:afterAutospacing="0" w:line="360" w:lineRule="auto"/>
              <w:ind w:left="0" w:right="0"/>
              <w:rPr>
                <w:rFonts w:hint="eastAsia" w:ascii="Times New Roman" w:hAnsi="Times New Roman" w:cs="Times New Roman"/>
                <w:sz w:val="24"/>
                <w:highlight w:val="none"/>
              </w:rPr>
            </w:pPr>
            <w:r>
              <w:rPr>
                <w:rFonts w:hint="eastAsia" w:ascii="Times New Roman" w:hAnsi="Times New Roman" w:eastAsia="宋体" w:cs="Times New Roman"/>
                <w:sz w:val="24"/>
                <w:szCs w:val="24"/>
                <w:highlight w:val="none"/>
              </w:rPr>
              <w:t>Patients (N = 30, N%)</w:t>
            </w:r>
          </w:p>
        </w:tc>
      </w:tr>
      <w:tr w14:paraId="75CED049">
        <w:tblPrEx>
          <w:tblCellMar>
            <w:top w:w="0" w:type="dxa"/>
            <w:left w:w="108" w:type="dxa"/>
            <w:bottom w:w="0" w:type="dxa"/>
            <w:right w:w="108" w:type="dxa"/>
          </w:tblCellMar>
        </w:tblPrEx>
        <w:tc>
          <w:tcPr>
            <w:tcW w:w="8296" w:type="dxa"/>
            <w:gridSpan w:val="2"/>
            <w:tcBorders>
              <w:top w:val="single" w:color="auto" w:sz="4" w:space="0"/>
            </w:tcBorders>
            <w:vAlign w:val="center"/>
          </w:tcPr>
          <w:p w14:paraId="32A16C91">
            <w:pPr>
              <w:keepNext w:val="0"/>
              <w:keepLines w:val="0"/>
              <w:widowControl/>
              <w:suppressLineNumbers w:val="0"/>
              <w:spacing w:before="0" w:beforeAutospacing="0" w:after="0" w:afterAutospacing="0" w:line="360" w:lineRule="auto"/>
              <w:ind w:left="0" w:right="0"/>
              <w:rPr>
                <w:rFonts w:hint="eastAsia" w:ascii="Times New Roman" w:hAnsi="Times New Roman" w:cs="Times New Roman"/>
                <w:sz w:val="24"/>
                <w:highlight w:val="none"/>
              </w:rPr>
            </w:pPr>
            <w:r>
              <w:rPr>
                <w:rFonts w:hint="eastAsia" w:ascii="Times New Roman" w:hAnsi="Times New Roman" w:eastAsia="宋体" w:cs="Times New Roman"/>
                <w:sz w:val="24"/>
                <w:szCs w:val="24"/>
                <w:highlight w:val="none"/>
              </w:rPr>
              <w:t>Sex</w:t>
            </w:r>
          </w:p>
        </w:tc>
      </w:tr>
      <w:tr w14:paraId="39085D71">
        <w:tblPrEx>
          <w:tblCellMar>
            <w:top w:w="0" w:type="dxa"/>
            <w:left w:w="108" w:type="dxa"/>
            <w:bottom w:w="0" w:type="dxa"/>
            <w:right w:w="108" w:type="dxa"/>
          </w:tblCellMar>
        </w:tblPrEx>
        <w:tc>
          <w:tcPr>
            <w:tcW w:w="4148" w:type="dxa"/>
            <w:vAlign w:val="center"/>
          </w:tcPr>
          <w:p w14:paraId="1A198A04">
            <w:pPr>
              <w:keepNext w:val="0"/>
              <w:keepLines w:val="0"/>
              <w:widowControl/>
              <w:suppressLineNumbers w:val="0"/>
              <w:spacing w:before="0" w:beforeAutospacing="0" w:after="0" w:afterAutospacing="0" w:line="360" w:lineRule="auto"/>
              <w:ind w:left="0" w:right="0" w:firstLine="480" w:firstLineChars="200"/>
              <w:rPr>
                <w:rFonts w:hint="eastAsia" w:ascii="Times New Roman" w:hAnsi="Times New Roman" w:cs="Times New Roman"/>
                <w:sz w:val="24"/>
                <w:highlight w:val="none"/>
              </w:rPr>
            </w:pPr>
            <w:r>
              <w:rPr>
                <w:rFonts w:hint="eastAsia" w:ascii="Times New Roman" w:hAnsi="Times New Roman" w:cs="Times New Roman"/>
                <w:sz w:val="24"/>
                <w:highlight w:val="none"/>
              </w:rPr>
              <w:t>Male</w:t>
            </w:r>
          </w:p>
        </w:tc>
        <w:tc>
          <w:tcPr>
            <w:tcW w:w="4148" w:type="dxa"/>
            <w:vAlign w:val="center"/>
          </w:tcPr>
          <w:p w14:paraId="60D07AEA">
            <w:pPr>
              <w:keepNext w:val="0"/>
              <w:keepLines w:val="0"/>
              <w:widowControl/>
              <w:suppressLineNumbers w:val="0"/>
              <w:spacing w:before="0" w:beforeAutospacing="0" w:after="0" w:afterAutospacing="0" w:line="360" w:lineRule="auto"/>
              <w:ind w:left="0" w:right="0"/>
              <w:rPr>
                <w:rFonts w:hint="eastAsia" w:ascii="Times New Roman" w:hAnsi="Times New Roman" w:cs="Times New Roman"/>
                <w:sz w:val="24"/>
                <w:highlight w:val="none"/>
              </w:rPr>
            </w:pPr>
            <w:r>
              <w:rPr>
                <w:rFonts w:hint="eastAsia" w:ascii="Times New Roman" w:hAnsi="Times New Roman" w:cs="Times New Roman"/>
                <w:sz w:val="24"/>
                <w:highlight w:val="none"/>
              </w:rPr>
              <w:t>17（56.7%）</w:t>
            </w:r>
          </w:p>
        </w:tc>
      </w:tr>
      <w:tr w14:paraId="50673C0B">
        <w:tblPrEx>
          <w:tblCellMar>
            <w:top w:w="0" w:type="dxa"/>
            <w:left w:w="108" w:type="dxa"/>
            <w:bottom w:w="0" w:type="dxa"/>
            <w:right w:w="108" w:type="dxa"/>
          </w:tblCellMar>
        </w:tblPrEx>
        <w:tc>
          <w:tcPr>
            <w:tcW w:w="4148" w:type="dxa"/>
            <w:vAlign w:val="center"/>
          </w:tcPr>
          <w:p w14:paraId="10F58A40">
            <w:pPr>
              <w:keepNext w:val="0"/>
              <w:keepLines w:val="0"/>
              <w:widowControl/>
              <w:suppressLineNumbers w:val="0"/>
              <w:spacing w:before="0" w:beforeAutospacing="0" w:after="0" w:afterAutospacing="0" w:line="360" w:lineRule="auto"/>
              <w:ind w:left="0" w:right="0" w:firstLine="480" w:firstLineChars="200"/>
              <w:rPr>
                <w:rFonts w:hint="eastAsia" w:ascii="Times New Roman" w:hAnsi="Times New Roman" w:cs="Times New Roman"/>
                <w:sz w:val="24"/>
                <w:highlight w:val="none"/>
              </w:rPr>
            </w:pPr>
            <w:r>
              <w:rPr>
                <w:rFonts w:hint="eastAsia" w:ascii="Times New Roman" w:hAnsi="Times New Roman" w:cs="Times New Roman"/>
                <w:sz w:val="24"/>
                <w:highlight w:val="none"/>
              </w:rPr>
              <w:t>Femal</w:t>
            </w:r>
          </w:p>
        </w:tc>
        <w:tc>
          <w:tcPr>
            <w:tcW w:w="4148" w:type="dxa"/>
            <w:vAlign w:val="center"/>
          </w:tcPr>
          <w:p w14:paraId="36C576B1">
            <w:pPr>
              <w:keepNext w:val="0"/>
              <w:keepLines w:val="0"/>
              <w:widowControl/>
              <w:suppressLineNumbers w:val="0"/>
              <w:spacing w:before="0" w:beforeAutospacing="0" w:after="0" w:afterAutospacing="0" w:line="360" w:lineRule="auto"/>
              <w:ind w:left="0" w:right="0"/>
              <w:rPr>
                <w:rFonts w:hint="eastAsia" w:ascii="Times New Roman" w:hAnsi="Times New Roman" w:cs="Times New Roman"/>
                <w:sz w:val="24"/>
                <w:highlight w:val="none"/>
              </w:rPr>
            </w:pPr>
            <w:r>
              <w:rPr>
                <w:rFonts w:hint="eastAsia" w:ascii="Times New Roman" w:hAnsi="Times New Roman" w:cs="Times New Roman"/>
                <w:sz w:val="24"/>
                <w:highlight w:val="none"/>
              </w:rPr>
              <w:t>13 （43.3%）</w:t>
            </w:r>
          </w:p>
        </w:tc>
      </w:tr>
      <w:tr w14:paraId="30ED5634">
        <w:tblPrEx>
          <w:tblCellMar>
            <w:top w:w="0" w:type="dxa"/>
            <w:left w:w="108" w:type="dxa"/>
            <w:bottom w:w="0" w:type="dxa"/>
            <w:right w:w="108" w:type="dxa"/>
          </w:tblCellMar>
        </w:tblPrEx>
        <w:tc>
          <w:tcPr>
            <w:tcW w:w="8296" w:type="dxa"/>
            <w:gridSpan w:val="2"/>
            <w:vAlign w:val="center"/>
          </w:tcPr>
          <w:p w14:paraId="23774060">
            <w:pPr>
              <w:keepNext w:val="0"/>
              <w:keepLines w:val="0"/>
              <w:widowControl/>
              <w:suppressLineNumbers w:val="0"/>
              <w:spacing w:before="0" w:beforeAutospacing="0" w:after="0" w:afterAutospacing="0" w:line="360" w:lineRule="auto"/>
              <w:ind w:left="0" w:right="0"/>
              <w:rPr>
                <w:rFonts w:hint="eastAsia" w:ascii="Times New Roman" w:hAnsi="Times New Roman" w:cs="Times New Roman"/>
                <w:sz w:val="24"/>
                <w:highlight w:val="none"/>
              </w:rPr>
            </w:pPr>
            <w:r>
              <w:rPr>
                <w:rFonts w:hint="eastAsia" w:ascii="Times New Roman" w:hAnsi="Times New Roman" w:cs="Times New Roman"/>
                <w:sz w:val="24"/>
                <w:highlight w:val="none"/>
              </w:rPr>
              <w:t>Age（20-75 year）</w:t>
            </w:r>
          </w:p>
        </w:tc>
      </w:tr>
      <w:tr w14:paraId="13DB9AF5">
        <w:tblPrEx>
          <w:tblCellMar>
            <w:top w:w="0" w:type="dxa"/>
            <w:left w:w="108" w:type="dxa"/>
            <w:bottom w:w="0" w:type="dxa"/>
            <w:right w:w="108" w:type="dxa"/>
          </w:tblCellMar>
        </w:tblPrEx>
        <w:tc>
          <w:tcPr>
            <w:tcW w:w="4148" w:type="dxa"/>
            <w:vAlign w:val="center"/>
          </w:tcPr>
          <w:p w14:paraId="1C10CCA1">
            <w:pPr>
              <w:keepNext w:val="0"/>
              <w:keepLines w:val="0"/>
              <w:widowControl/>
              <w:suppressLineNumbers w:val="0"/>
              <w:spacing w:before="0" w:beforeAutospacing="0" w:after="0" w:afterAutospacing="0" w:line="360" w:lineRule="auto"/>
              <w:ind w:left="0" w:right="0" w:firstLine="480" w:firstLineChars="200"/>
              <w:rPr>
                <w:rFonts w:hint="eastAsia" w:ascii="Times New Roman" w:hAnsi="Times New Roman" w:cs="Times New Roman"/>
                <w:sz w:val="24"/>
                <w:highlight w:val="none"/>
              </w:rPr>
            </w:pPr>
            <w:r>
              <w:rPr>
                <w:rFonts w:hint="eastAsia" w:ascii="Times New Roman" w:hAnsi="Times New Roman" w:cs="Times New Roman"/>
                <w:sz w:val="24"/>
                <w:highlight w:val="none"/>
              </w:rPr>
              <w:t>≤49</w:t>
            </w:r>
          </w:p>
        </w:tc>
        <w:tc>
          <w:tcPr>
            <w:tcW w:w="4148" w:type="dxa"/>
            <w:vAlign w:val="center"/>
          </w:tcPr>
          <w:p w14:paraId="4B86F7C2">
            <w:pPr>
              <w:keepNext w:val="0"/>
              <w:keepLines w:val="0"/>
              <w:widowControl/>
              <w:suppressLineNumbers w:val="0"/>
              <w:spacing w:before="0" w:beforeAutospacing="0" w:after="0" w:afterAutospacing="0" w:line="360" w:lineRule="auto"/>
              <w:ind w:left="0" w:right="0"/>
              <w:rPr>
                <w:rFonts w:hint="eastAsia" w:ascii="Times New Roman" w:hAnsi="Times New Roman" w:cs="Times New Roman"/>
                <w:sz w:val="24"/>
                <w:highlight w:val="none"/>
              </w:rPr>
            </w:pPr>
            <w:r>
              <w:rPr>
                <w:rFonts w:hint="eastAsia" w:ascii="Times New Roman" w:hAnsi="Times New Roman" w:cs="Times New Roman"/>
                <w:sz w:val="24"/>
                <w:highlight w:val="none"/>
              </w:rPr>
              <w:t>18（60.0%）</w:t>
            </w:r>
          </w:p>
        </w:tc>
      </w:tr>
      <w:tr w14:paraId="67C216B9">
        <w:tblPrEx>
          <w:tblCellMar>
            <w:top w:w="0" w:type="dxa"/>
            <w:left w:w="108" w:type="dxa"/>
            <w:bottom w:w="0" w:type="dxa"/>
            <w:right w:w="108" w:type="dxa"/>
          </w:tblCellMar>
        </w:tblPrEx>
        <w:tc>
          <w:tcPr>
            <w:tcW w:w="4148" w:type="dxa"/>
            <w:vAlign w:val="center"/>
          </w:tcPr>
          <w:p w14:paraId="6AD4556F">
            <w:pPr>
              <w:keepNext w:val="0"/>
              <w:keepLines w:val="0"/>
              <w:widowControl/>
              <w:suppressLineNumbers w:val="0"/>
              <w:spacing w:before="0" w:beforeAutospacing="0" w:after="0" w:afterAutospacing="0" w:line="360" w:lineRule="auto"/>
              <w:ind w:left="0" w:right="0" w:firstLine="480" w:firstLineChars="200"/>
              <w:rPr>
                <w:rFonts w:hint="eastAsia" w:ascii="Times New Roman" w:hAnsi="Times New Roman" w:cs="Times New Roman"/>
                <w:sz w:val="24"/>
                <w:highlight w:val="none"/>
              </w:rPr>
            </w:pPr>
            <w:r>
              <w:rPr>
                <w:rFonts w:hint="eastAsia" w:ascii="Times New Roman" w:hAnsi="Times New Roman" w:cs="Times New Roman"/>
                <w:sz w:val="24"/>
                <w:highlight w:val="none"/>
              </w:rPr>
              <w:t xml:space="preserve">＞49 </w:t>
            </w:r>
          </w:p>
        </w:tc>
        <w:tc>
          <w:tcPr>
            <w:tcW w:w="4148" w:type="dxa"/>
            <w:vAlign w:val="center"/>
          </w:tcPr>
          <w:p w14:paraId="6EDE7882">
            <w:pPr>
              <w:keepNext w:val="0"/>
              <w:keepLines w:val="0"/>
              <w:widowControl/>
              <w:suppressLineNumbers w:val="0"/>
              <w:spacing w:before="0" w:beforeAutospacing="0" w:after="0" w:afterAutospacing="0" w:line="360" w:lineRule="auto"/>
              <w:ind w:left="0" w:right="0"/>
              <w:rPr>
                <w:rFonts w:hint="eastAsia" w:ascii="Times New Roman" w:hAnsi="Times New Roman" w:cs="Times New Roman"/>
                <w:sz w:val="24"/>
                <w:highlight w:val="none"/>
              </w:rPr>
            </w:pPr>
            <w:r>
              <w:rPr>
                <w:rFonts w:hint="eastAsia" w:ascii="Times New Roman" w:hAnsi="Times New Roman" w:cs="Times New Roman"/>
                <w:sz w:val="24"/>
                <w:highlight w:val="none"/>
              </w:rPr>
              <w:t>12 （40.0%）</w:t>
            </w:r>
          </w:p>
        </w:tc>
      </w:tr>
      <w:tr w14:paraId="2EBD174D">
        <w:tblPrEx>
          <w:tblCellMar>
            <w:top w:w="0" w:type="dxa"/>
            <w:left w:w="108" w:type="dxa"/>
            <w:bottom w:w="0" w:type="dxa"/>
            <w:right w:w="108" w:type="dxa"/>
          </w:tblCellMar>
        </w:tblPrEx>
        <w:tc>
          <w:tcPr>
            <w:tcW w:w="8296" w:type="dxa"/>
            <w:gridSpan w:val="2"/>
            <w:vAlign w:val="center"/>
          </w:tcPr>
          <w:p w14:paraId="1BEEAF05">
            <w:pPr>
              <w:keepNext w:val="0"/>
              <w:keepLines w:val="0"/>
              <w:widowControl/>
              <w:suppressLineNumbers w:val="0"/>
              <w:spacing w:before="0" w:beforeAutospacing="0" w:after="0" w:afterAutospacing="0" w:line="360" w:lineRule="auto"/>
              <w:ind w:left="0" w:right="0"/>
              <w:rPr>
                <w:rFonts w:hint="eastAsia" w:ascii="Times New Roman" w:hAnsi="Times New Roman" w:cs="Times New Roman"/>
                <w:sz w:val="24"/>
                <w:highlight w:val="none"/>
              </w:rPr>
            </w:pPr>
            <w:r>
              <w:rPr>
                <w:rFonts w:hint="eastAsia" w:ascii="Times New Roman" w:hAnsi="Times New Roman" w:cs="Times New Roman"/>
                <w:sz w:val="24"/>
                <w:highlight w:val="none"/>
              </w:rPr>
              <w:t>T</w:t>
            </w:r>
            <w:r>
              <w:rPr>
                <w:rFonts w:hint="eastAsia" w:ascii="Times New Roman" w:hAnsi="Times New Roman" w:eastAsia="宋体" w:cs="Times New Roman"/>
                <w:sz w:val="24"/>
                <w:szCs w:val="24"/>
                <w:highlight w:val="none"/>
              </w:rPr>
              <w:t xml:space="preserve"> classiﬁcation</w:t>
            </w:r>
          </w:p>
        </w:tc>
      </w:tr>
      <w:tr w14:paraId="0D451119">
        <w:tblPrEx>
          <w:tblCellMar>
            <w:top w:w="0" w:type="dxa"/>
            <w:left w:w="108" w:type="dxa"/>
            <w:bottom w:w="0" w:type="dxa"/>
            <w:right w:w="108" w:type="dxa"/>
          </w:tblCellMar>
        </w:tblPrEx>
        <w:tc>
          <w:tcPr>
            <w:tcW w:w="4148" w:type="dxa"/>
            <w:vAlign w:val="center"/>
          </w:tcPr>
          <w:p w14:paraId="2733BF90">
            <w:pPr>
              <w:keepNext w:val="0"/>
              <w:keepLines w:val="0"/>
              <w:widowControl/>
              <w:suppressLineNumbers w:val="0"/>
              <w:spacing w:before="0" w:beforeAutospacing="0" w:after="0" w:afterAutospacing="0" w:line="360" w:lineRule="auto"/>
              <w:ind w:left="0" w:right="0" w:firstLine="480" w:firstLineChars="200"/>
              <w:rPr>
                <w:rFonts w:hint="eastAsia" w:ascii="Times New Roman" w:hAnsi="Times New Roman" w:cs="Times New Roman"/>
                <w:sz w:val="24"/>
                <w:highlight w:val="none"/>
              </w:rPr>
            </w:pPr>
            <w:r>
              <w:rPr>
                <w:rFonts w:hint="eastAsia" w:ascii="Times New Roman" w:hAnsi="Times New Roman" w:cs="Times New Roman"/>
                <w:sz w:val="24"/>
                <w:highlight w:val="none"/>
              </w:rPr>
              <w:t>T1</w:t>
            </w:r>
          </w:p>
        </w:tc>
        <w:tc>
          <w:tcPr>
            <w:tcW w:w="4148" w:type="dxa"/>
            <w:vAlign w:val="center"/>
          </w:tcPr>
          <w:p w14:paraId="0748C1F2">
            <w:pPr>
              <w:keepNext w:val="0"/>
              <w:keepLines w:val="0"/>
              <w:widowControl/>
              <w:suppressLineNumbers w:val="0"/>
              <w:spacing w:before="0" w:beforeAutospacing="0" w:after="0" w:afterAutospacing="0" w:line="360" w:lineRule="auto"/>
              <w:ind w:left="0" w:right="0"/>
              <w:rPr>
                <w:rFonts w:hint="eastAsia" w:ascii="Times New Roman" w:hAnsi="Times New Roman" w:cs="Times New Roman"/>
                <w:sz w:val="24"/>
                <w:highlight w:val="none"/>
              </w:rPr>
            </w:pPr>
            <w:r>
              <w:rPr>
                <w:rFonts w:hint="eastAsia" w:ascii="Times New Roman" w:hAnsi="Times New Roman" w:cs="Times New Roman"/>
                <w:sz w:val="24"/>
                <w:highlight w:val="none"/>
              </w:rPr>
              <w:t>1 （3.3%）</w:t>
            </w:r>
          </w:p>
        </w:tc>
      </w:tr>
      <w:tr w14:paraId="7DC2F8A1">
        <w:tblPrEx>
          <w:tblCellMar>
            <w:top w:w="0" w:type="dxa"/>
            <w:left w:w="108" w:type="dxa"/>
            <w:bottom w:w="0" w:type="dxa"/>
            <w:right w:w="108" w:type="dxa"/>
          </w:tblCellMar>
        </w:tblPrEx>
        <w:tc>
          <w:tcPr>
            <w:tcW w:w="4148" w:type="dxa"/>
            <w:vAlign w:val="center"/>
          </w:tcPr>
          <w:p w14:paraId="2DAD97B1">
            <w:pPr>
              <w:keepNext w:val="0"/>
              <w:keepLines w:val="0"/>
              <w:widowControl/>
              <w:suppressLineNumbers w:val="0"/>
              <w:spacing w:before="0" w:beforeAutospacing="0" w:after="0" w:afterAutospacing="0" w:line="360" w:lineRule="auto"/>
              <w:ind w:left="0" w:right="0" w:firstLine="480" w:firstLineChars="200"/>
              <w:rPr>
                <w:rFonts w:hint="eastAsia" w:ascii="Times New Roman" w:hAnsi="Times New Roman" w:cs="Times New Roman"/>
                <w:sz w:val="24"/>
                <w:highlight w:val="none"/>
              </w:rPr>
            </w:pPr>
            <w:r>
              <w:rPr>
                <w:rFonts w:hint="eastAsia" w:ascii="Times New Roman" w:hAnsi="Times New Roman" w:cs="Times New Roman"/>
                <w:sz w:val="24"/>
                <w:highlight w:val="none"/>
              </w:rPr>
              <w:t>T2</w:t>
            </w:r>
          </w:p>
        </w:tc>
        <w:tc>
          <w:tcPr>
            <w:tcW w:w="4148" w:type="dxa"/>
            <w:vAlign w:val="center"/>
          </w:tcPr>
          <w:p w14:paraId="77A13032">
            <w:pPr>
              <w:keepNext w:val="0"/>
              <w:keepLines w:val="0"/>
              <w:widowControl/>
              <w:suppressLineNumbers w:val="0"/>
              <w:spacing w:before="0" w:beforeAutospacing="0" w:after="0" w:afterAutospacing="0" w:line="360" w:lineRule="auto"/>
              <w:ind w:left="0" w:right="0"/>
              <w:rPr>
                <w:rFonts w:hint="eastAsia" w:ascii="Times New Roman" w:hAnsi="Times New Roman" w:cs="Times New Roman"/>
                <w:sz w:val="24"/>
                <w:highlight w:val="none"/>
              </w:rPr>
            </w:pPr>
            <w:r>
              <w:rPr>
                <w:rFonts w:hint="eastAsia" w:ascii="Times New Roman" w:hAnsi="Times New Roman" w:cs="Times New Roman"/>
                <w:sz w:val="24"/>
                <w:highlight w:val="none"/>
              </w:rPr>
              <w:t>8 （26.7）</w:t>
            </w:r>
          </w:p>
        </w:tc>
      </w:tr>
      <w:tr w14:paraId="38891F16">
        <w:tblPrEx>
          <w:tblCellMar>
            <w:top w:w="0" w:type="dxa"/>
            <w:left w:w="108" w:type="dxa"/>
            <w:bottom w:w="0" w:type="dxa"/>
            <w:right w:w="108" w:type="dxa"/>
          </w:tblCellMar>
        </w:tblPrEx>
        <w:tc>
          <w:tcPr>
            <w:tcW w:w="4148" w:type="dxa"/>
            <w:vAlign w:val="center"/>
          </w:tcPr>
          <w:p w14:paraId="3BC92C1A">
            <w:pPr>
              <w:keepNext w:val="0"/>
              <w:keepLines w:val="0"/>
              <w:widowControl/>
              <w:suppressLineNumbers w:val="0"/>
              <w:spacing w:before="0" w:beforeAutospacing="0" w:after="0" w:afterAutospacing="0" w:line="360" w:lineRule="auto"/>
              <w:ind w:left="0" w:right="0" w:firstLine="480" w:firstLineChars="200"/>
              <w:rPr>
                <w:rFonts w:hint="eastAsia" w:ascii="Times New Roman" w:hAnsi="Times New Roman" w:cs="Times New Roman"/>
                <w:sz w:val="24"/>
                <w:highlight w:val="none"/>
              </w:rPr>
            </w:pPr>
            <w:r>
              <w:rPr>
                <w:rFonts w:hint="eastAsia" w:ascii="Times New Roman" w:hAnsi="Times New Roman" w:cs="Times New Roman"/>
                <w:sz w:val="24"/>
                <w:highlight w:val="none"/>
              </w:rPr>
              <w:t>T3</w:t>
            </w:r>
          </w:p>
        </w:tc>
        <w:tc>
          <w:tcPr>
            <w:tcW w:w="4148" w:type="dxa"/>
            <w:vAlign w:val="center"/>
          </w:tcPr>
          <w:p w14:paraId="2FADC5C7">
            <w:pPr>
              <w:keepNext w:val="0"/>
              <w:keepLines w:val="0"/>
              <w:widowControl/>
              <w:suppressLineNumbers w:val="0"/>
              <w:spacing w:before="0" w:beforeAutospacing="0" w:after="0" w:afterAutospacing="0" w:line="360" w:lineRule="auto"/>
              <w:ind w:left="0" w:right="0"/>
              <w:rPr>
                <w:rFonts w:hint="eastAsia" w:ascii="Times New Roman" w:hAnsi="Times New Roman" w:cs="Times New Roman"/>
                <w:sz w:val="24"/>
                <w:highlight w:val="none"/>
              </w:rPr>
            </w:pPr>
            <w:r>
              <w:rPr>
                <w:rFonts w:hint="eastAsia" w:ascii="Times New Roman" w:hAnsi="Times New Roman" w:cs="Times New Roman"/>
                <w:sz w:val="24"/>
                <w:highlight w:val="none"/>
              </w:rPr>
              <w:t>14（46.7%）</w:t>
            </w:r>
          </w:p>
        </w:tc>
      </w:tr>
      <w:tr w14:paraId="791A5BF4">
        <w:tblPrEx>
          <w:tblCellMar>
            <w:top w:w="0" w:type="dxa"/>
            <w:left w:w="108" w:type="dxa"/>
            <w:bottom w:w="0" w:type="dxa"/>
            <w:right w:w="108" w:type="dxa"/>
          </w:tblCellMar>
        </w:tblPrEx>
        <w:tc>
          <w:tcPr>
            <w:tcW w:w="4148" w:type="dxa"/>
            <w:vAlign w:val="center"/>
          </w:tcPr>
          <w:p w14:paraId="7F7A66E1">
            <w:pPr>
              <w:keepNext w:val="0"/>
              <w:keepLines w:val="0"/>
              <w:widowControl/>
              <w:suppressLineNumbers w:val="0"/>
              <w:spacing w:before="0" w:beforeAutospacing="0" w:after="0" w:afterAutospacing="0" w:line="360" w:lineRule="auto"/>
              <w:ind w:left="0" w:right="0" w:firstLine="480" w:firstLineChars="200"/>
              <w:rPr>
                <w:rFonts w:hint="eastAsia" w:ascii="Times New Roman" w:hAnsi="Times New Roman" w:cs="Times New Roman"/>
                <w:sz w:val="24"/>
                <w:highlight w:val="none"/>
              </w:rPr>
            </w:pPr>
            <w:r>
              <w:rPr>
                <w:rFonts w:hint="eastAsia" w:ascii="Times New Roman" w:hAnsi="Times New Roman" w:cs="Times New Roman"/>
                <w:sz w:val="24"/>
                <w:highlight w:val="none"/>
              </w:rPr>
              <w:t>T4</w:t>
            </w:r>
          </w:p>
        </w:tc>
        <w:tc>
          <w:tcPr>
            <w:tcW w:w="4148" w:type="dxa"/>
            <w:vAlign w:val="center"/>
          </w:tcPr>
          <w:p w14:paraId="15C9C86B">
            <w:pPr>
              <w:keepNext w:val="0"/>
              <w:keepLines w:val="0"/>
              <w:widowControl/>
              <w:suppressLineNumbers w:val="0"/>
              <w:spacing w:before="0" w:beforeAutospacing="0" w:after="0" w:afterAutospacing="0" w:line="360" w:lineRule="auto"/>
              <w:ind w:left="0" w:right="0"/>
              <w:rPr>
                <w:rFonts w:hint="eastAsia" w:ascii="Times New Roman" w:hAnsi="Times New Roman" w:cs="Times New Roman"/>
                <w:sz w:val="24"/>
                <w:highlight w:val="none"/>
              </w:rPr>
            </w:pPr>
            <w:r>
              <w:rPr>
                <w:rFonts w:hint="eastAsia" w:ascii="Times New Roman" w:hAnsi="Times New Roman" w:cs="Times New Roman"/>
                <w:sz w:val="24"/>
                <w:highlight w:val="none"/>
              </w:rPr>
              <w:t>7 （23.3%）</w:t>
            </w:r>
          </w:p>
        </w:tc>
      </w:tr>
      <w:tr w14:paraId="443BB826">
        <w:tblPrEx>
          <w:tblCellMar>
            <w:top w:w="0" w:type="dxa"/>
            <w:left w:w="108" w:type="dxa"/>
            <w:bottom w:w="0" w:type="dxa"/>
            <w:right w:w="108" w:type="dxa"/>
          </w:tblCellMar>
        </w:tblPrEx>
        <w:tc>
          <w:tcPr>
            <w:tcW w:w="8296" w:type="dxa"/>
            <w:gridSpan w:val="2"/>
            <w:vAlign w:val="center"/>
          </w:tcPr>
          <w:p w14:paraId="03468A7E">
            <w:pPr>
              <w:keepNext w:val="0"/>
              <w:keepLines w:val="0"/>
              <w:widowControl/>
              <w:suppressLineNumbers w:val="0"/>
              <w:spacing w:before="0" w:beforeAutospacing="0" w:after="0" w:afterAutospacing="0" w:line="360" w:lineRule="auto"/>
              <w:ind w:left="0" w:right="0"/>
              <w:rPr>
                <w:rFonts w:hint="eastAsia" w:ascii="Times New Roman" w:hAnsi="Times New Roman" w:cs="Times New Roman"/>
                <w:sz w:val="24"/>
                <w:highlight w:val="none"/>
              </w:rPr>
            </w:pPr>
            <w:r>
              <w:rPr>
                <w:rFonts w:hint="eastAsia" w:ascii="Times New Roman" w:hAnsi="Times New Roman" w:cs="Times New Roman"/>
                <w:sz w:val="24"/>
                <w:highlight w:val="none"/>
              </w:rPr>
              <w:t>N</w:t>
            </w:r>
            <w:r>
              <w:rPr>
                <w:rFonts w:hint="eastAsia" w:ascii="Times New Roman" w:hAnsi="Times New Roman" w:eastAsia="宋体" w:cs="Times New Roman"/>
                <w:sz w:val="24"/>
                <w:szCs w:val="24"/>
                <w:highlight w:val="none"/>
              </w:rPr>
              <w:t xml:space="preserve"> classiﬁcation</w:t>
            </w:r>
          </w:p>
        </w:tc>
      </w:tr>
      <w:tr w14:paraId="07480A96">
        <w:tblPrEx>
          <w:tblCellMar>
            <w:top w:w="0" w:type="dxa"/>
            <w:left w:w="108" w:type="dxa"/>
            <w:bottom w:w="0" w:type="dxa"/>
            <w:right w:w="108" w:type="dxa"/>
          </w:tblCellMar>
        </w:tblPrEx>
        <w:tc>
          <w:tcPr>
            <w:tcW w:w="4148" w:type="dxa"/>
            <w:vAlign w:val="center"/>
          </w:tcPr>
          <w:p w14:paraId="4214625F">
            <w:pPr>
              <w:keepNext w:val="0"/>
              <w:keepLines w:val="0"/>
              <w:widowControl/>
              <w:suppressLineNumbers w:val="0"/>
              <w:spacing w:before="0" w:beforeAutospacing="0" w:after="0" w:afterAutospacing="0" w:line="360" w:lineRule="auto"/>
              <w:ind w:left="0" w:right="0" w:firstLine="480" w:firstLineChars="200"/>
              <w:rPr>
                <w:rFonts w:hint="eastAsia" w:ascii="Times New Roman" w:hAnsi="Times New Roman" w:cs="Times New Roman"/>
                <w:sz w:val="24"/>
                <w:highlight w:val="none"/>
              </w:rPr>
            </w:pPr>
            <w:r>
              <w:rPr>
                <w:rFonts w:hint="eastAsia" w:ascii="Times New Roman" w:hAnsi="Times New Roman" w:cs="Times New Roman"/>
                <w:sz w:val="24"/>
                <w:highlight w:val="none"/>
              </w:rPr>
              <w:t>N2</w:t>
            </w:r>
          </w:p>
        </w:tc>
        <w:tc>
          <w:tcPr>
            <w:tcW w:w="4148" w:type="dxa"/>
            <w:vAlign w:val="center"/>
          </w:tcPr>
          <w:p w14:paraId="230EBBD1">
            <w:pPr>
              <w:keepNext w:val="0"/>
              <w:keepLines w:val="0"/>
              <w:widowControl/>
              <w:suppressLineNumbers w:val="0"/>
              <w:spacing w:before="0" w:beforeAutospacing="0" w:after="0" w:afterAutospacing="0" w:line="360" w:lineRule="auto"/>
              <w:ind w:left="0" w:right="0"/>
              <w:rPr>
                <w:rFonts w:hint="eastAsia" w:ascii="Times New Roman" w:hAnsi="Times New Roman" w:cs="Times New Roman"/>
                <w:sz w:val="24"/>
                <w:highlight w:val="none"/>
              </w:rPr>
            </w:pPr>
            <w:r>
              <w:rPr>
                <w:rFonts w:hint="eastAsia" w:ascii="Times New Roman" w:hAnsi="Times New Roman" w:cs="Times New Roman"/>
                <w:sz w:val="24"/>
                <w:highlight w:val="none"/>
              </w:rPr>
              <w:t>25（83.3%）</w:t>
            </w:r>
          </w:p>
        </w:tc>
      </w:tr>
      <w:tr w14:paraId="46A735B5">
        <w:tblPrEx>
          <w:tblCellMar>
            <w:top w:w="0" w:type="dxa"/>
            <w:left w:w="108" w:type="dxa"/>
            <w:bottom w:w="0" w:type="dxa"/>
            <w:right w:w="108" w:type="dxa"/>
          </w:tblCellMar>
        </w:tblPrEx>
        <w:tc>
          <w:tcPr>
            <w:tcW w:w="4148" w:type="dxa"/>
            <w:vAlign w:val="center"/>
          </w:tcPr>
          <w:p w14:paraId="71CABECE">
            <w:pPr>
              <w:keepNext w:val="0"/>
              <w:keepLines w:val="0"/>
              <w:widowControl/>
              <w:suppressLineNumbers w:val="0"/>
              <w:spacing w:before="0" w:beforeAutospacing="0" w:after="0" w:afterAutospacing="0" w:line="360" w:lineRule="auto"/>
              <w:ind w:left="0" w:right="0" w:firstLine="480" w:firstLineChars="200"/>
              <w:rPr>
                <w:rFonts w:hint="eastAsia" w:ascii="Times New Roman" w:hAnsi="Times New Roman" w:cs="Times New Roman"/>
                <w:sz w:val="24"/>
                <w:highlight w:val="none"/>
              </w:rPr>
            </w:pPr>
            <w:r>
              <w:rPr>
                <w:rFonts w:hint="eastAsia" w:ascii="Times New Roman" w:hAnsi="Times New Roman" w:cs="Times New Roman"/>
                <w:sz w:val="24"/>
                <w:highlight w:val="none"/>
              </w:rPr>
              <w:t>N3</w:t>
            </w:r>
          </w:p>
        </w:tc>
        <w:tc>
          <w:tcPr>
            <w:tcW w:w="4148" w:type="dxa"/>
            <w:vAlign w:val="center"/>
          </w:tcPr>
          <w:p w14:paraId="0A06EC63">
            <w:pPr>
              <w:keepNext w:val="0"/>
              <w:keepLines w:val="0"/>
              <w:widowControl/>
              <w:suppressLineNumbers w:val="0"/>
              <w:spacing w:before="0" w:beforeAutospacing="0" w:after="0" w:afterAutospacing="0" w:line="360" w:lineRule="auto"/>
              <w:ind w:left="0" w:right="0"/>
              <w:rPr>
                <w:rFonts w:hint="eastAsia" w:ascii="Times New Roman" w:hAnsi="Times New Roman" w:cs="Times New Roman"/>
                <w:sz w:val="24"/>
                <w:highlight w:val="none"/>
              </w:rPr>
            </w:pPr>
            <w:r>
              <w:rPr>
                <w:rFonts w:hint="eastAsia" w:ascii="Times New Roman" w:hAnsi="Times New Roman" w:cs="Times New Roman"/>
                <w:sz w:val="24"/>
                <w:highlight w:val="none"/>
              </w:rPr>
              <w:t>5 （16.7%）</w:t>
            </w:r>
          </w:p>
        </w:tc>
      </w:tr>
      <w:tr w14:paraId="5BFAA28E">
        <w:tblPrEx>
          <w:tblCellMar>
            <w:top w:w="0" w:type="dxa"/>
            <w:left w:w="108" w:type="dxa"/>
            <w:bottom w:w="0" w:type="dxa"/>
            <w:right w:w="108" w:type="dxa"/>
          </w:tblCellMar>
        </w:tblPrEx>
        <w:tc>
          <w:tcPr>
            <w:tcW w:w="8296" w:type="dxa"/>
            <w:gridSpan w:val="2"/>
            <w:vAlign w:val="center"/>
          </w:tcPr>
          <w:p w14:paraId="17C42CE2">
            <w:pPr>
              <w:keepNext w:val="0"/>
              <w:keepLines w:val="0"/>
              <w:widowControl/>
              <w:suppressLineNumbers w:val="0"/>
              <w:spacing w:before="0" w:beforeAutospacing="0" w:after="0" w:afterAutospacing="0" w:line="360" w:lineRule="auto"/>
              <w:ind w:left="0" w:right="0"/>
              <w:rPr>
                <w:rFonts w:hint="eastAsia" w:ascii="Times New Roman" w:hAnsi="Times New Roman" w:cs="Times New Roman"/>
                <w:sz w:val="24"/>
                <w:highlight w:val="none"/>
              </w:rPr>
            </w:pPr>
            <w:r>
              <w:rPr>
                <w:rFonts w:hint="eastAsia" w:ascii="Times New Roman" w:hAnsi="Times New Roman" w:cs="Times New Roman"/>
                <w:sz w:val="24"/>
                <w:highlight w:val="none"/>
              </w:rPr>
              <w:t>TNM stage</w:t>
            </w:r>
          </w:p>
        </w:tc>
      </w:tr>
      <w:tr w14:paraId="1D215845">
        <w:tc>
          <w:tcPr>
            <w:tcW w:w="4148" w:type="dxa"/>
            <w:vAlign w:val="center"/>
          </w:tcPr>
          <w:p w14:paraId="393B143A">
            <w:pPr>
              <w:keepNext w:val="0"/>
              <w:keepLines w:val="0"/>
              <w:widowControl/>
              <w:suppressLineNumbers w:val="0"/>
              <w:spacing w:before="0" w:beforeAutospacing="0" w:after="0" w:afterAutospacing="0" w:line="360" w:lineRule="auto"/>
              <w:ind w:left="0" w:right="0" w:firstLine="480" w:firstLineChars="200"/>
              <w:rPr>
                <w:rFonts w:hint="eastAsia" w:ascii="Times New Roman" w:hAnsi="Times New Roman" w:cs="Times New Roman"/>
                <w:sz w:val="24"/>
                <w:highlight w:val="none"/>
              </w:rPr>
            </w:pPr>
            <w:r>
              <w:rPr>
                <w:rFonts w:hint="eastAsia" w:ascii="Times New Roman" w:hAnsi="Times New Roman" w:eastAsia="宋体" w:cs="Times New Roman"/>
                <w:sz w:val="24"/>
                <w:highlight w:val="none"/>
              </w:rPr>
              <w:t>Ⅲ</w:t>
            </w:r>
          </w:p>
        </w:tc>
        <w:tc>
          <w:tcPr>
            <w:tcW w:w="4148" w:type="dxa"/>
            <w:vAlign w:val="center"/>
          </w:tcPr>
          <w:p w14:paraId="2A83CB77">
            <w:pPr>
              <w:keepNext w:val="0"/>
              <w:keepLines w:val="0"/>
              <w:widowControl/>
              <w:suppressLineNumbers w:val="0"/>
              <w:spacing w:before="0" w:beforeAutospacing="0" w:after="0" w:afterAutospacing="0" w:line="360" w:lineRule="auto"/>
              <w:ind w:left="0" w:right="0"/>
              <w:rPr>
                <w:rFonts w:hint="eastAsia" w:ascii="Times New Roman" w:hAnsi="Times New Roman" w:cs="Times New Roman"/>
                <w:sz w:val="24"/>
                <w:highlight w:val="none"/>
              </w:rPr>
            </w:pPr>
            <w:r>
              <w:rPr>
                <w:rFonts w:hint="eastAsia" w:ascii="Times New Roman" w:hAnsi="Times New Roman" w:cs="Times New Roman"/>
                <w:sz w:val="24"/>
                <w:highlight w:val="none"/>
              </w:rPr>
              <w:t>21（70.0%）</w:t>
            </w:r>
          </w:p>
        </w:tc>
      </w:tr>
      <w:tr w14:paraId="56E946F2">
        <w:tblPrEx>
          <w:tblCellMar>
            <w:top w:w="0" w:type="dxa"/>
            <w:left w:w="108" w:type="dxa"/>
            <w:bottom w:w="0" w:type="dxa"/>
            <w:right w:w="108" w:type="dxa"/>
          </w:tblCellMar>
        </w:tblPrEx>
        <w:tc>
          <w:tcPr>
            <w:tcW w:w="4148" w:type="dxa"/>
            <w:tcBorders>
              <w:bottom w:val="single" w:color="auto" w:sz="12" w:space="0"/>
            </w:tcBorders>
            <w:vAlign w:val="center"/>
          </w:tcPr>
          <w:p w14:paraId="2343FFD9">
            <w:pPr>
              <w:keepNext w:val="0"/>
              <w:keepLines w:val="0"/>
              <w:widowControl/>
              <w:suppressLineNumbers w:val="0"/>
              <w:spacing w:before="0" w:beforeAutospacing="0" w:after="0" w:afterAutospacing="0" w:line="360" w:lineRule="auto"/>
              <w:ind w:left="0" w:right="0" w:firstLine="480" w:firstLineChars="200"/>
              <w:rPr>
                <w:rFonts w:hint="eastAsia" w:ascii="Times New Roman" w:hAnsi="Times New Roman" w:cs="Times New Roman"/>
                <w:sz w:val="24"/>
                <w:highlight w:val="none"/>
              </w:rPr>
            </w:pPr>
            <w:r>
              <w:rPr>
                <w:rFonts w:hint="eastAsia" w:ascii="Times New Roman" w:hAnsi="Times New Roman" w:eastAsia="宋体" w:cs="Times New Roman"/>
                <w:sz w:val="24"/>
                <w:highlight w:val="none"/>
              </w:rPr>
              <w:t>Ⅳ</w:t>
            </w:r>
            <w:r>
              <w:rPr>
                <w:rFonts w:hint="eastAsia" w:ascii="Times New Roman" w:hAnsi="Times New Roman" w:cs="Times New Roman"/>
                <w:sz w:val="24"/>
                <w:highlight w:val="none"/>
              </w:rPr>
              <w:t>a</w:t>
            </w:r>
          </w:p>
        </w:tc>
        <w:tc>
          <w:tcPr>
            <w:tcW w:w="4148" w:type="dxa"/>
            <w:tcBorders>
              <w:bottom w:val="single" w:color="auto" w:sz="12" w:space="0"/>
            </w:tcBorders>
            <w:vAlign w:val="center"/>
          </w:tcPr>
          <w:p w14:paraId="02BAE4D4">
            <w:pPr>
              <w:keepNext w:val="0"/>
              <w:keepLines w:val="0"/>
              <w:widowControl/>
              <w:suppressLineNumbers w:val="0"/>
              <w:spacing w:before="0" w:beforeAutospacing="0" w:after="0" w:afterAutospacing="0" w:line="360" w:lineRule="auto"/>
              <w:ind w:left="0" w:right="0"/>
              <w:rPr>
                <w:rFonts w:hint="eastAsia" w:ascii="Times New Roman" w:hAnsi="Times New Roman" w:cs="Times New Roman"/>
                <w:sz w:val="24"/>
                <w:highlight w:val="none"/>
              </w:rPr>
            </w:pPr>
            <w:r>
              <w:rPr>
                <w:rFonts w:hint="eastAsia" w:ascii="Times New Roman" w:hAnsi="Times New Roman" w:cs="Times New Roman"/>
                <w:sz w:val="24"/>
                <w:highlight w:val="none"/>
              </w:rPr>
              <w:t>9（30.0%）</w:t>
            </w:r>
          </w:p>
        </w:tc>
      </w:tr>
    </w:tbl>
    <w:p w14:paraId="1ABAF8BF">
      <w:pPr>
        <w:widowControl/>
        <w:spacing w:before="156" w:beforeLines="50" w:after="156" w:afterLines="50" w:line="360" w:lineRule="auto"/>
        <w:rPr>
          <w:rFonts w:ascii="Times New Roman" w:hAnsi="Times New Roman" w:cs="Times New Roman"/>
          <w:kern w:val="0"/>
          <w:highlight w:val="none"/>
        </w:rPr>
      </w:pPr>
      <w:r>
        <w:rPr>
          <w:rFonts w:ascii="Times New Roman" w:hAnsi="Times New Roman" w:cs="Times New Roman"/>
          <w:kern w:val="0"/>
          <w:szCs w:val="21"/>
          <w:highlight w:val="none"/>
        </w:rPr>
        <w:t>All data are presented as No. (%). Percentage values are rounded.</w:t>
      </w:r>
    </w:p>
    <w:p w14:paraId="4E539904">
      <w:pPr>
        <w:tabs>
          <w:tab w:val="left" w:pos="851"/>
        </w:tabs>
        <w:rPr>
          <w:rFonts w:ascii="Times New Roman" w:hAnsi="Times New Roman" w:cs="Times New Roman"/>
          <w:highlight w:val="none"/>
        </w:rPr>
      </w:pPr>
    </w:p>
    <w:p w14:paraId="7274DFA8">
      <w:pPr>
        <w:tabs>
          <w:tab w:val="left" w:pos="851"/>
        </w:tabs>
        <w:spacing w:line="360" w:lineRule="auto"/>
        <w:rPr>
          <w:rFonts w:ascii="Times New Roman" w:hAnsi="Times New Roman" w:cs="Times New Roman"/>
          <w:b/>
          <w:bCs/>
          <w:sz w:val="24"/>
          <w:highlight w:val="none"/>
        </w:rPr>
      </w:pPr>
    </w:p>
    <w:p w14:paraId="267BE86A">
      <w:pPr>
        <w:widowControl/>
        <w:jc w:val="left"/>
        <w:rPr>
          <w:rFonts w:ascii="Times New Roman" w:hAnsi="Times New Roman" w:cs="Times New Roman"/>
          <w:b/>
          <w:bCs/>
          <w:sz w:val="24"/>
          <w:highlight w:val="none"/>
        </w:rPr>
      </w:pPr>
      <w:r>
        <w:rPr>
          <w:rFonts w:ascii="Times New Roman" w:hAnsi="Times New Roman" w:cs="Times New Roman"/>
          <w:b/>
          <w:bCs/>
          <w:sz w:val="24"/>
          <w:highlight w:val="none"/>
        </w:rPr>
        <w:br w:type="page"/>
      </w:r>
    </w:p>
    <w:p w14:paraId="5DE884FE">
      <w:pPr>
        <w:tabs>
          <w:tab w:val="left" w:pos="851"/>
        </w:tabs>
        <w:spacing w:line="360" w:lineRule="auto"/>
        <w:rPr>
          <w:rFonts w:ascii="Times New Roman" w:hAnsi="Times New Roman" w:cs="Times New Roman"/>
          <w:b/>
          <w:bCs/>
          <w:highlight w:val="none"/>
        </w:rPr>
      </w:pPr>
      <w:r>
        <w:rPr>
          <w:rFonts w:ascii="Times New Roman" w:hAnsi="Times New Roman" w:cs="Times New Roman"/>
          <w:b/>
          <w:bCs/>
          <w:sz w:val="24"/>
          <w:highlight w:val="none"/>
        </w:rPr>
        <w:t xml:space="preserve">Table </w:t>
      </w:r>
      <w:r>
        <w:rPr>
          <w:rFonts w:hint="eastAsia" w:ascii="Times New Roman" w:hAnsi="Times New Roman" w:cs="Times New Roman"/>
          <w:b/>
          <w:bCs/>
          <w:sz w:val="24"/>
          <w:highlight w:val="none"/>
          <w:lang w:val="en-US" w:eastAsia="zh-CN"/>
        </w:rPr>
        <w:t>S</w:t>
      </w:r>
      <w:r>
        <w:rPr>
          <w:rFonts w:ascii="Times New Roman" w:hAnsi="Times New Roman" w:cs="Times New Roman"/>
          <w:b/>
          <w:bCs/>
          <w:sz w:val="24"/>
          <w:highlight w:val="none"/>
        </w:rPr>
        <w:t>2</w:t>
      </w:r>
      <w:r>
        <w:rPr>
          <w:rFonts w:ascii="Times New Roman" w:hAnsi="Times New Roman" w:cs="Times New Roman"/>
          <w:b/>
          <w:bCs/>
          <w:sz w:val="24"/>
          <w:highlight w:val="none"/>
        </w:rPr>
        <w:t>. The impact of gender, age, and TNM stage on the distribution pattern of cervical metastatic lymph nodes.</w:t>
      </w:r>
    </w:p>
    <w:tbl>
      <w:tblPr>
        <w:tblStyle w:val="8"/>
        <w:tblW w:w="0" w:type="auto"/>
        <w:tblInd w:w="-103" w:type="dxa"/>
        <w:tblLayout w:type="autofit"/>
        <w:tblCellMar>
          <w:top w:w="0" w:type="dxa"/>
          <w:left w:w="108" w:type="dxa"/>
          <w:bottom w:w="0" w:type="dxa"/>
          <w:right w:w="108" w:type="dxa"/>
        </w:tblCellMar>
      </w:tblPr>
      <w:tblGrid>
        <w:gridCol w:w="2167"/>
        <w:gridCol w:w="2397"/>
        <w:gridCol w:w="2060"/>
        <w:gridCol w:w="1564"/>
      </w:tblGrid>
      <w:tr w14:paraId="18D26EE7">
        <w:tblPrEx>
          <w:tblCellMar>
            <w:top w:w="0" w:type="dxa"/>
            <w:left w:w="108" w:type="dxa"/>
            <w:bottom w:w="0" w:type="dxa"/>
            <w:right w:w="108" w:type="dxa"/>
          </w:tblCellMar>
        </w:tblPrEx>
        <w:tc>
          <w:tcPr>
            <w:tcW w:w="2167" w:type="dxa"/>
            <w:tcBorders>
              <w:top w:val="single" w:color="auto" w:sz="12" w:space="0"/>
              <w:bottom w:val="single" w:color="auto" w:sz="4" w:space="0"/>
            </w:tcBorders>
            <w:shd w:val="clear" w:color="auto" w:fill="auto"/>
            <w:vAlign w:val="center"/>
          </w:tcPr>
          <w:p w14:paraId="65A37E3A">
            <w:pPr>
              <w:keepNext w:val="0"/>
              <w:keepLines w:val="0"/>
              <w:suppressLineNumbers w:val="0"/>
              <w:spacing w:before="0" w:beforeAutospacing="0" w:after="0" w:afterAutospacing="0" w:line="360" w:lineRule="auto"/>
              <w:ind w:left="0" w:right="0"/>
              <w:rPr>
                <w:rFonts w:hint="eastAsia" w:ascii="Times New Roman" w:hAnsi="Times New Roman" w:cs="Times New Roman"/>
                <w:sz w:val="24"/>
                <w:highlight w:val="none"/>
              </w:rPr>
            </w:pPr>
            <w:r>
              <w:rPr>
                <w:rFonts w:hint="eastAsia" w:ascii="Times New Roman" w:hAnsi="Times New Roman" w:eastAsia="宋体" w:cs="Times New Roman"/>
                <w:sz w:val="24"/>
                <w:szCs w:val="24"/>
                <w:highlight w:val="none"/>
              </w:rPr>
              <w:t>Parameter</w:t>
            </w:r>
          </w:p>
        </w:tc>
        <w:tc>
          <w:tcPr>
            <w:tcW w:w="2397" w:type="dxa"/>
            <w:tcBorders>
              <w:top w:val="single" w:color="auto" w:sz="12" w:space="0"/>
              <w:bottom w:val="single" w:color="auto" w:sz="4" w:space="0"/>
            </w:tcBorders>
            <w:shd w:val="clear" w:color="auto" w:fill="auto"/>
            <w:vAlign w:val="center"/>
          </w:tcPr>
          <w:p w14:paraId="4C2E6524">
            <w:pPr>
              <w:keepNext w:val="0"/>
              <w:keepLines w:val="0"/>
              <w:suppressLineNumbers w:val="0"/>
              <w:spacing w:before="0" w:beforeAutospacing="0" w:after="0" w:afterAutospacing="0" w:line="360" w:lineRule="auto"/>
              <w:ind w:left="0" w:right="0"/>
              <w:rPr>
                <w:rFonts w:hint="eastAsia" w:ascii="Times New Roman" w:hAnsi="Times New Roman" w:cs="Times New Roman"/>
                <w:sz w:val="24"/>
                <w:highlight w:val="none"/>
              </w:rPr>
            </w:pPr>
            <w:r>
              <w:rPr>
                <w:rFonts w:hint="eastAsia" w:ascii="Times New Roman" w:hAnsi="Times New Roman" w:cs="Times New Roman"/>
                <w:iCs/>
                <w:sz w:val="24"/>
                <w:highlight w:val="none"/>
              </w:rPr>
              <w:t>χ</w:t>
            </w:r>
            <w:r>
              <w:rPr>
                <w:rFonts w:hint="eastAsia" w:ascii="Times New Roman" w:hAnsi="Times New Roman" w:cs="Times New Roman"/>
                <w:iCs/>
                <w:sz w:val="24"/>
                <w:highlight w:val="none"/>
                <w:vertAlign w:val="superscript"/>
              </w:rPr>
              <w:t>2</w:t>
            </w:r>
            <w:r>
              <w:rPr>
                <w:rFonts w:hint="eastAsia" w:ascii="Times New Roman" w:hAnsi="Times New Roman" w:cs="Times New Roman"/>
                <w:sz w:val="24"/>
                <w:highlight w:val="none"/>
              </w:rPr>
              <w:t xml:space="preserve"> value</w:t>
            </w:r>
          </w:p>
        </w:tc>
        <w:tc>
          <w:tcPr>
            <w:tcW w:w="2060" w:type="dxa"/>
            <w:tcBorders>
              <w:top w:val="single" w:color="auto" w:sz="12" w:space="0"/>
              <w:bottom w:val="single" w:color="auto" w:sz="4" w:space="0"/>
            </w:tcBorders>
            <w:shd w:val="clear" w:color="auto" w:fill="auto"/>
            <w:vAlign w:val="center"/>
          </w:tcPr>
          <w:p w14:paraId="2AEAE966">
            <w:pPr>
              <w:keepNext w:val="0"/>
              <w:keepLines w:val="0"/>
              <w:suppressLineNumbers w:val="0"/>
              <w:spacing w:before="0" w:beforeAutospacing="0" w:after="0" w:afterAutospacing="0" w:line="360" w:lineRule="auto"/>
              <w:ind w:left="0" w:right="0"/>
              <w:rPr>
                <w:rFonts w:hint="eastAsia" w:ascii="Times New Roman" w:hAnsi="Times New Roman" w:cs="Times New Roman"/>
                <w:sz w:val="24"/>
                <w:highlight w:val="none"/>
              </w:rPr>
            </w:pPr>
            <w:r>
              <w:rPr>
                <w:rFonts w:hint="eastAsia" w:ascii="Times New Roman" w:hAnsi="Times New Roman" w:cs="Times New Roman"/>
                <w:sz w:val="24"/>
                <w:highlight w:val="none"/>
              </w:rPr>
              <w:t>Df</w:t>
            </w:r>
          </w:p>
        </w:tc>
        <w:tc>
          <w:tcPr>
            <w:tcW w:w="1564" w:type="dxa"/>
            <w:tcBorders>
              <w:top w:val="single" w:color="auto" w:sz="12" w:space="0"/>
              <w:bottom w:val="single" w:color="auto" w:sz="4" w:space="0"/>
            </w:tcBorders>
            <w:shd w:val="clear" w:color="auto" w:fill="auto"/>
            <w:vAlign w:val="center"/>
          </w:tcPr>
          <w:p w14:paraId="1108C74C">
            <w:pPr>
              <w:keepNext w:val="0"/>
              <w:keepLines w:val="0"/>
              <w:suppressLineNumbers w:val="0"/>
              <w:spacing w:before="0" w:beforeAutospacing="0" w:after="0" w:afterAutospacing="0" w:line="360" w:lineRule="auto"/>
              <w:ind w:left="0" w:right="0"/>
              <w:rPr>
                <w:rFonts w:hint="eastAsia" w:ascii="Times New Roman" w:hAnsi="Times New Roman" w:cs="Times New Roman"/>
                <w:sz w:val="24"/>
                <w:highlight w:val="none"/>
              </w:rPr>
            </w:pPr>
            <w:r>
              <w:rPr>
                <w:rFonts w:hint="eastAsia" w:ascii="Times New Roman" w:hAnsi="Times New Roman" w:cs="Times New Roman"/>
                <w:i/>
                <w:iCs/>
                <w:sz w:val="24"/>
                <w:highlight w:val="none"/>
              </w:rPr>
              <w:t>P</w:t>
            </w:r>
            <w:r>
              <w:rPr>
                <w:rFonts w:hint="eastAsia" w:ascii="Times New Roman" w:hAnsi="Times New Roman" w:cs="Times New Roman"/>
                <w:sz w:val="24"/>
                <w:highlight w:val="none"/>
              </w:rPr>
              <w:t xml:space="preserve"> value</w:t>
            </w:r>
          </w:p>
        </w:tc>
      </w:tr>
      <w:tr w14:paraId="756E7C3E">
        <w:tblPrEx>
          <w:tblCellMar>
            <w:top w:w="0" w:type="dxa"/>
            <w:left w:w="108" w:type="dxa"/>
            <w:bottom w:w="0" w:type="dxa"/>
            <w:right w:w="108" w:type="dxa"/>
          </w:tblCellMar>
        </w:tblPrEx>
        <w:tc>
          <w:tcPr>
            <w:tcW w:w="2167" w:type="dxa"/>
            <w:tcBorders>
              <w:top w:val="single" w:color="auto" w:sz="4" w:space="0"/>
            </w:tcBorders>
            <w:shd w:val="clear" w:color="auto" w:fill="auto"/>
            <w:vAlign w:val="center"/>
          </w:tcPr>
          <w:p w14:paraId="5BF5418C">
            <w:pPr>
              <w:keepNext w:val="0"/>
              <w:keepLines w:val="0"/>
              <w:suppressLineNumbers w:val="0"/>
              <w:spacing w:before="0" w:beforeAutospacing="0" w:after="0" w:afterAutospacing="0" w:line="360" w:lineRule="auto"/>
              <w:ind w:left="0" w:right="0"/>
              <w:rPr>
                <w:rFonts w:hint="eastAsia" w:ascii="Times New Roman" w:hAnsi="Times New Roman" w:cs="Times New Roman"/>
                <w:sz w:val="24"/>
                <w:highlight w:val="none"/>
              </w:rPr>
            </w:pPr>
            <w:r>
              <w:rPr>
                <w:rFonts w:hint="eastAsia" w:ascii="Times New Roman" w:hAnsi="Times New Roman" w:cs="Times New Roman"/>
                <w:sz w:val="24"/>
                <w:highlight w:val="none"/>
              </w:rPr>
              <w:t>T stage</w:t>
            </w:r>
          </w:p>
        </w:tc>
        <w:tc>
          <w:tcPr>
            <w:tcW w:w="2397" w:type="dxa"/>
            <w:tcBorders>
              <w:top w:val="single" w:color="auto" w:sz="4" w:space="0"/>
            </w:tcBorders>
            <w:shd w:val="clear" w:color="auto" w:fill="auto"/>
            <w:vAlign w:val="center"/>
          </w:tcPr>
          <w:p w14:paraId="6AE08973">
            <w:pPr>
              <w:keepNext w:val="0"/>
              <w:keepLines w:val="0"/>
              <w:suppressLineNumbers w:val="0"/>
              <w:spacing w:before="0" w:beforeAutospacing="0" w:after="0" w:afterAutospacing="0" w:line="360" w:lineRule="auto"/>
              <w:ind w:left="0" w:right="0"/>
              <w:rPr>
                <w:rFonts w:hint="eastAsia" w:ascii="Times New Roman" w:hAnsi="Times New Roman" w:cs="Times New Roman"/>
                <w:sz w:val="24"/>
                <w:highlight w:val="none"/>
              </w:rPr>
            </w:pPr>
            <w:r>
              <w:rPr>
                <w:rFonts w:hint="eastAsia" w:ascii="Times New Roman" w:hAnsi="Times New Roman" w:cs="Times New Roman"/>
                <w:sz w:val="24"/>
                <w:highlight w:val="none"/>
              </w:rPr>
              <w:t>23.096</w:t>
            </w:r>
          </w:p>
        </w:tc>
        <w:tc>
          <w:tcPr>
            <w:tcW w:w="2060" w:type="dxa"/>
            <w:tcBorders>
              <w:top w:val="single" w:color="auto" w:sz="4" w:space="0"/>
            </w:tcBorders>
            <w:shd w:val="clear" w:color="auto" w:fill="auto"/>
            <w:vAlign w:val="center"/>
          </w:tcPr>
          <w:p w14:paraId="4305E8B4">
            <w:pPr>
              <w:keepNext w:val="0"/>
              <w:keepLines w:val="0"/>
              <w:suppressLineNumbers w:val="0"/>
              <w:spacing w:before="0" w:beforeAutospacing="0" w:after="0" w:afterAutospacing="0" w:line="360" w:lineRule="auto"/>
              <w:ind w:left="0" w:right="0"/>
              <w:rPr>
                <w:rFonts w:hint="eastAsia" w:ascii="Times New Roman" w:hAnsi="Times New Roman" w:cs="Times New Roman"/>
                <w:sz w:val="24"/>
                <w:highlight w:val="none"/>
              </w:rPr>
            </w:pPr>
            <w:r>
              <w:rPr>
                <w:rFonts w:hint="eastAsia" w:ascii="Times New Roman" w:hAnsi="Times New Roman" w:cs="Times New Roman"/>
                <w:sz w:val="24"/>
                <w:highlight w:val="none"/>
              </w:rPr>
              <w:t>33</w:t>
            </w:r>
          </w:p>
        </w:tc>
        <w:tc>
          <w:tcPr>
            <w:tcW w:w="1564" w:type="dxa"/>
            <w:tcBorders>
              <w:top w:val="single" w:color="auto" w:sz="4" w:space="0"/>
            </w:tcBorders>
            <w:shd w:val="clear" w:color="auto" w:fill="auto"/>
            <w:vAlign w:val="center"/>
          </w:tcPr>
          <w:p w14:paraId="54BD18D5">
            <w:pPr>
              <w:keepNext w:val="0"/>
              <w:keepLines w:val="0"/>
              <w:suppressLineNumbers w:val="0"/>
              <w:spacing w:before="0" w:beforeAutospacing="0" w:after="0" w:afterAutospacing="0" w:line="360" w:lineRule="auto"/>
              <w:ind w:left="0" w:right="0"/>
              <w:rPr>
                <w:rFonts w:hint="eastAsia" w:ascii="Times New Roman" w:hAnsi="Times New Roman" w:cs="Times New Roman"/>
                <w:sz w:val="24"/>
                <w:highlight w:val="none"/>
              </w:rPr>
            </w:pPr>
            <w:r>
              <w:rPr>
                <w:rFonts w:hint="eastAsia" w:ascii="Times New Roman" w:hAnsi="Times New Roman" w:cs="Times New Roman"/>
                <w:sz w:val="24"/>
                <w:highlight w:val="none"/>
              </w:rPr>
              <w:t>0.900</w:t>
            </w:r>
          </w:p>
        </w:tc>
      </w:tr>
      <w:tr w14:paraId="62C5EC44">
        <w:tblPrEx>
          <w:tblCellMar>
            <w:top w:w="0" w:type="dxa"/>
            <w:left w:w="108" w:type="dxa"/>
            <w:bottom w:w="0" w:type="dxa"/>
            <w:right w:w="108" w:type="dxa"/>
          </w:tblCellMar>
        </w:tblPrEx>
        <w:tc>
          <w:tcPr>
            <w:tcW w:w="2167" w:type="dxa"/>
            <w:shd w:val="clear" w:color="auto" w:fill="auto"/>
            <w:vAlign w:val="center"/>
          </w:tcPr>
          <w:p w14:paraId="2AA140B3">
            <w:pPr>
              <w:keepNext w:val="0"/>
              <w:keepLines w:val="0"/>
              <w:suppressLineNumbers w:val="0"/>
              <w:spacing w:before="0" w:beforeAutospacing="0" w:after="0" w:afterAutospacing="0" w:line="360" w:lineRule="auto"/>
              <w:ind w:left="0" w:right="0"/>
              <w:rPr>
                <w:rFonts w:hint="eastAsia" w:ascii="Times New Roman" w:hAnsi="Times New Roman" w:cs="Times New Roman"/>
                <w:sz w:val="24"/>
                <w:highlight w:val="none"/>
              </w:rPr>
            </w:pPr>
            <w:r>
              <w:rPr>
                <w:rFonts w:hint="eastAsia" w:ascii="Times New Roman" w:hAnsi="Times New Roman" w:cs="Times New Roman"/>
                <w:sz w:val="24"/>
                <w:highlight w:val="none"/>
              </w:rPr>
              <w:t>gender</w:t>
            </w:r>
          </w:p>
        </w:tc>
        <w:tc>
          <w:tcPr>
            <w:tcW w:w="2397" w:type="dxa"/>
            <w:shd w:val="clear" w:color="auto" w:fill="auto"/>
            <w:vAlign w:val="center"/>
          </w:tcPr>
          <w:p w14:paraId="073BD558">
            <w:pPr>
              <w:keepNext w:val="0"/>
              <w:keepLines w:val="0"/>
              <w:suppressLineNumbers w:val="0"/>
              <w:spacing w:before="0" w:beforeAutospacing="0" w:after="0" w:afterAutospacing="0" w:line="360" w:lineRule="auto"/>
              <w:ind w:left="0" w:right="0"/>
              <w:rPr>
                <w:rFonts w:hint="eastAsia" w:ascii="Times New Roman" w:hAnsi="Times New Roman" w:cs="Times New Roman"/>
                <w:sz w:val="24"/>
                <w:highlight w:val="none"/>
              </w:rPr>
            </w:pPr>
            <w:r>
              <w:rPr>
                <w:rFonts w:hint="eastAsia" w:ascii="Times New Roman" w:hAnsi="Times New Roman" w:cs="Times New Roman"/>
                <w:sz w:val="24"/>
                <w:highlight w:val="none"/>
              </w:rPr>
              <w:t>14.604</w:t>
            </w:r>
          </w:p>
        </w:tc>
        <w:tc>
          <w:tcPr>
            <w:tcW w:w="2060" w:type="dxa"/>
            <w:shd w:val="clear" w:color="auto" w:fill="auto"/>
            <w:vAlign w:val="center"/>
          </w:tcPr>
          <w:p w14:paraId="1D743AEE">
            <w:pPr>
              <w:keepNext w:val="0"/>
              <w:keepLines w:val="0"/>
              <w:suppressLineNumbers w:val="0"/>
              <w:spacing w:before="0" w:beforeAutospacing="0" w:after="0" w:afterAutospacing="0" w:line="360" w:lineRule="auto"/>
              <w:ind w:left="0" w:right="0"/>
              <w:rPr>
                <w:rFonts w:hint="eastAsia" w:ascii="Times New Roman" w:hAnsi="Times New Roman" w:cs="Times New Roman"/>
                <w:sz w:val="24"/>
                <w:highlight w:val="none"/>
              </w:rPr>
            </w:pPr>
            <w:r>
              <w:rPr>
                <w:rFonts w:hint="eastAsia" w:ascii="Times New Roman" w:hAnsi="Times New Roman" w:cs="Times New Roman"/>
                <w:sz w:val="24"/>
                <w:highlight w:val="none"/>
              </w:rPr>
              <w:t>11</w:t>
            </w:r>
          </w:p>
        </w:tc>
        <w:tc>
          <w:tcPr>
            <w:tcW w:w="1564" w:type="dxa"/>
            <w:shd w:val="clear" w:color="auto" w:fill="auto"/>
            <w:vAlign w:val="center"/>
          </w:tcPr>
          <w:p w14:paraId="0F058B83">
            <w:pPr>
              <w:keepNext w:val="0"/>
              <w:keepLines w:val="0"/>
              <w:suppressLineNumbers w:val="0"/>
              <w:spacing w:before="0" w:beforeAutospacing="0" w:after="0" w:afterAutospacing="0" w:line="360" w:lineRule="auto"/>
              <w:ind w:left="0" w:right="0"/>
              <w:rPr>
                <w:rFonts w:hint="eastAsia" w:ascii="Times New Roman" w:hAnsi="Times New Roman" w:cs="Times New Roman"/>
                <w:sz w:val="24"/>
                <w:highlight w:val="none"/>
              </w:rPr>
            </w:pPr>
            <w:bookmarkStart w:id="0" w:name="OLE_LINK17"/>
            <w:r>
              <w:rPr>
                <w:rFonts w:hint="eastAsia" w:ascii="Times New Roman" w:hAnsi="Times New Roman" w:cs="Times New Roman"/>
                <w:sz w:val="24"/>
                <w:highlight w:val="none"/>
              </w:rPr>
              <w:t>0.201</w:t>
            </w:r>
            <w:bookmarkEnd w:id="0"/>
          </w:p>
        </w:tc>
      </w:tr>
      <w:tr w14:paraId="63D22F85">
        <w:tblPrEx>
          <w:tblCellMar>
            <w:top w:w="0" w:type="dxa"/>
            <w:left w:w="108" w:type="dxa"/>
            <w:bottom w:w="0" w:type="dxa"/>
            <w:right w:w="108" w:type="dxa"/>
          </w:tblCellMar>
        </w:tblPrEx>
        <w:tc>
          <w:tcPr>
            <w:tcW w:w="2167" w:type="dxa"/>
            <w:shd w:val="clear" w:color="auto" w:fill="auto"/>
            <w:vAlign w:val="center"/>
          </w:tcPr>
          <w:p w14:paraId="5E05D813">
            <w:pPr>
              <w:keepNext w:val="0"/>
              <w:keepLines w:val="0"/>
              <w:suppressLineNumbers w:val="0"/>
              <w:spacing w:before="0" w:beforeAutospacing="0" w:after="0" w:afterAutospacing="0" w:line="360" w:lineRule="auto"/>
              <w:ind w:left="0" w:right="0"/>
              <w:rPr>
                <w:rFonts w:hint="eastAsia" w:ascii="Times New Roman" w:hAnsi="Times New Roman" w:cs="Times New Roman"/>
                <w:sz w:val="24"/>
                <w:highlight w:val="none"/>
              </w:rPr>
            </w:pPr>
            <w:r>
              <w:rPr>
                <w:rFonts w:hint="eastAsia" w:ascii="Times New Roman" w:hAnsi="Times New Roman" w:cs="Times New Roman"/>
                <w:sz w:val="24"/>
                <w:highlight w:val="none"/>
              </w:rPr>
              <w:t>Age</w:t>
            </w:r>
          </w:p>
        </w:tc>
        <w:tc>
          <w:tcPr>
            <w:tcW w:w="2397" w:type="dxa"/>
            <w:shd w:val="clear" w:color="auto" w:fill="auto"/>
            <w:vAlign w:val="center"/>
          </w:tcPr>
          <w:p w14:paraId="213F35E8">
            <w:pPr>
              <w:keepNext w:val="0"/>
              <w:keepLines w:val="0"/>
              <w:suppressLineNumbers w:val="0"/>
              <w:spacing w:before="0" w:beforeAutospacing="0" w:after="0" w:afterAutospacing="0" w:line="360" w:lineRule="auto"/>
              <w:ind w:left="0" w:right="0"/>
              <w:rPr>
                <w:rFonts w:hint="eastAsia" w:ascii="Times New Roman" w:hAnsi="Times New Roman" w:cs="Times New Roman"/>
                <w:sz w:val="24"/>
                <w:highlight w:val="none"/>
              </w:rPr>
            </w:pPr>
            <w:r>
              <w:rPr>
                <w:rFonts w:hint="eastAsia" w:ascii="Times New Roman" w:hAnsi="Times New Roman" w:cs="Times New Roman"/>
                <w:sz w:val="24"/>
                <w:highlight w:val="none"/>
              </w:rPr>
              <w:t>13.280</w:t>
            </w:r>
          </w:p>
        </w:tc>
        <w:tc>
          <w:tcPr>
            <w:tcW w:w="2060" w:type="dxa"/>
            <w:shd w:val="clear" w:color="auto" w:fill="auto"/>
            <w:vAlign w:val="center"/>
          </w:tcPr>
          <w:p w14:paraId="1103D96E">
            <w:pPr>
              <w:keepNext w:val="0"/>
              <w:keepLines w:val="0"/>
              <w:suppressLineNumbers w:val="0"/>
              <w:spacing w:before="0" w:beforeAutospacing="0" w:after="0" w:afterAutospacing="0" w:line="360" w:lineRule="auto"/>
              <w:ind w:left="0" w:right="0"/>
              <w:rPr>
                <w:rFonts w:hint="eastAsia" w:ascii="Times New Roman" w:hAnsi="Times New Roman" w:cs="Times New Roman"/>
                <w:sz w:val="24"/>
                <w:highlight w:val="none"/>
              </w:rPr>
            </w:pPr>
            <w:r>
              <w:rPr>
                <w:rFonts w:hint="eastAsia" w:ascii="Times New Roman" w:hAnsi="Times New Roman" w:cs="Times New Roman"/>
                <w:sz w:val="24"/>
                <w:highlight w:val="none"/>
              </w:rPr>
              <w:t>11</w:t>
            </w:r>
          </w:p>
        </w:tc>
        <w:tc>
          <w:tcPr>
            <w:tcW w:w="1564" w:type="dxa"/>
            <w:shd w:val="clear" w:color="auto" w:fill="auto"/>
            <w:vAlign w:val="center"/>
          </w:tcPr>
          <w:p w14:paraId="5BB903C3">
            <w:pPr>
              <w:keepNext w:val="0"/>
              <w:keepLines w:val="0"/>
              <w:suppressLineNumbers w:val="0"/>
              <w:spacing w:before="0" w:beforeAutospacing="0" w:after="0" w:afterAutospacing="0" w:line="360" w:lineRule="auto"/>
              <w:ind w:left="0" w:right="0"/>
              <w:rPr>
                <w:rFonts w:hint="eastAsia" w:ascii="Times New Roman" w:hAnsi="Times New Roman" w:cs="Times New Roman"/>
                <w:sz w:val="24"/>
                <w:highlight w:val="none"/>
              </w:rPr>
            </w:pPr>
            <w:r>
              <w:rPr>
                <w:rFonts w:hint="eastAsia" w:ascii="Times New Roman" w:hAnsi="Times New Roman" w:cs="Times New Roman"/>
                <w:sz w:val="24"/>
                <w:highlight w:val="none"/>
              </w:rPr>
              <w:t>0.280</w:t>
            </w:r>
          </w:p>
        </w:tc>
      </w:tr>
      <w:tr w14:paraId="2EFA759C">
        <w:tblPrEx>
          <w:tblCellMar>
            <w:top w:w="0" w:type="dxa"/>
            <w:left w:w="108" w:type="dxa"/>
            <w:bottom w:w="0" w:type="dxa"/>
            <w:right w:w="108" w:type="dxa"/>
          </w:tblCellMar>
        </w:tblPrEx>
        <w:tc>
          <w:tcPr>
            <w:tcW w:w="2167" w:type="dxa"/>
            <w:tcBorders>
              <w:bottom w:val="single" w:color="auto" w:sz="12" w:space="0"/>
            </w:tcBorders>
            <w:shd w:val="clear" w:color="auto" w:fill="auto"/>
            <w:vAlign w:val="center"/>
          </w:tcPr>
          <w:p w14:paraId="1175FFCC">
            <w:pPr>
              <w:keepNext w:val="0"/>
              <w:keepLines w:val="0"/>
              <w:suppressLineNumbers w:val="0"/>
              <w:spacing w:before="0" w:beforeAutospacing="0" w:after="0" w:afterAutospacing="0" w:line="360" w:lineRule="auto"/>
              <w:ind w:left="0" w:right="0"/>
              <w:rPr>
                <w:rFonts w:hint="eastAsia" w:ascii="Times New Roman" w:hAnsi="Times New Roman" w:cs="Times New Roman"/>
                <w:sz w:val="24"/>
                <w:highlight w:val="none"/>
              </w:rPr>
            </w:pPr>
            <w:r>
              <w:rPr>
                <w:rFonts w:hint="eastAsia" w:ascii="Times New Roman" w:hAnsi="Times New Roman" w:cs="Times New Roman"/>
                <w:sz w:val="24"/>
                <w:highlight w:val="none"/>
              </w:rPr>
              <w:t>TNM stage</w:t>
            </w:r>
          </w:p>
        </w:tc>
        <w:tc>
          <w:tcPr>
            <w:tcW w:w="2397" w:type="dxa"/>
            <w:tcBorders>
              <w:bottom w:val="single" w:color="auto" w:sz="12" w:space="0"/>
            </w:tcBorders>
            <w:shd w:val="clear" w:color="auto" w:fill="auto"/>
            <w:vAlign w:val="center"/>
          </w:tcPr>
          <w:p w14:paraId="76E2FFF6">
            <w:pPr>
              <w:keepNext w:val="0"/>
              <w:keepLines w:val="0"/>
              <w:suppressLineNumbers w:val="0"/>
              <w:spacing w:before="0" w:beforeAutospacing="0" w:after="0" w:afterAutospacing="0" w:line="360" w:lineRule="auto"/>
              <w:ind w:left="0" w:right="0"/>
              <w:rPr>
                <w:rFonts w:hint="eastAsia" w:ascii="Times New Roman" w:hAnsi="Times New Roman" w:cs="Times New Roman"/>
                <w:sz w:val="24"/>
                <w:highlight w:val="none"/>
              </w:rPr>
            </w:pPr>
            <w:r>
              <w:rPr>
                <w:rFonts w:hint="eastAsia" w:ascii="Times New Roman" w:hAnsi="Times New Roman" w:cs="Times New Roman"/>
                <w:sz w:val="24"/>
                <w:highlight w:val="none"/>
              </w:rPr>
              <w:t>38.136</w:t>
            </w:r>
          </w:p>
        </w:tc>
        <w:tc>
          <w:tcPr>
            <w:tcW w:w="2060" w:type="dxa"/>
            <w:tcBorders>
              <w:bottom w:val="single" w:color="auto" w:sz="12" w:space="0"/>
            </w:tcBorders>
            <w:shd w:val="clear" w:color="auto" w:fill="auto"/>
            <w:vAlign w:val="center"/>
          </w:tcPr>
          <w:p w14:paraId="7D826BD0">
            <w:pPr>
              <w:keepNext w:val="0"/>
              <w:keepLines w:val="0"/>
              <w:suppressLineNumbers w:val="0"/>
              <w:spacing w:before="0" w:beforeAutospacing="0" w:after="0" w:afterAutospacing="0" w:line="360" w:lineRule="auto"/>
              <w:ind w:left="0" w:right="0"/>
              <w:rPr>
                <w:rFonts w:hint="eastAsia" w:ascii="Times New Roman" w:hAnsi="Times New Roman" w:cs="Times New Roman"/>
                <w:sz w:val="24"/>
                <w:highlight w:val="none"/>
              </w:rPr>
            </w:pPr>
            <w:r>
              <w:rPr>
                <w:rFonts w:hint="eastAsia" w:ascii="Times New Roman" w:hAnsi="Times New Roman" w:cs="Times New Roman"/>
                <w:sz w:val="24"/>
                <w:highlight w:val="none"/>
              </w:rPr>
              <w:t>22</w:t>
            </w:r>
          </w:p>
        </w:tc>
        <w:tc>
          <w:tcPr>
            <w:tcW w:w="1564" w:type="dxa"/>
            <w:tcBorders>
              <w:bottom w:val="single" w:color="auto" w:sz="12" w:space="0"/>
            </w:tcBorders>
            <w:shd w:val="clear" w:color="auto" w:fill="auto"/>
            <w:vAlign w:val="center"/>
          </w:tcPr>
          <w:p w14:paraId="0F6EF6B0">
            <w:pPr>
              <w:keepNext w:val="0"/>
              <w:keepLines w:val="0"/>
              <w:suppressLineNumbers w:val="0"/>
              <w:spacing w:before="0" w:beforeAutospacing="0" w:after="0" w:afterAutospacing="0" w:line="360" w:lineRule="auto"/>
              <w:ind w:left="0" w:right="0"/>
              <w:rPr>
                <w:rFonts w:hint="default" w:ascii="Times New Roman" w:hAnsi="Times New Roman" w:cs="Times New Roman" w:eastAsiaTheme="minorEastAsia"/>
                <w:sz w:val="24"/>
                <w:highlight w:val="none"/>
                <w:lang w:val="en-US" w:eastAsia="zh-CN"/>
              </w:rPr>
            </w:pPr>
            <w:r>
              <w:rPr>
                <w:rFonts w:hint="eastAsia" w:ascii="Times New Roman" w:hAnsi="Times New Roman" w:cs="Times New Roman"/>
                <w:sz w:val="24"/>
                <w:highlight w:val="none"/>
                <w:lang w:val="en-US" w:eastAsia="zh-CN"/>
              </w:rPr>
              <w:t>＜0.001*</w:t>
            </w:r>
          </w:p>
        </w:tc>
      </w:tr>
    </w:tbl>
    <w:p w14:paraId="383A34EE">
      <w:pPr>
        <w:widowControl/>
        <w:spacing w:line="360" w:lineRule="auto"/>
        <w:jc w:val="left"/>
        <w:rPr>
          <w:rFonts w:ascii="Times New Roman" w:hAnsi="Times New Roman" w:cs="Times New Roman"/>
          <w:highlight w:val="none"/>
        </w:rPr>
      </w:pPr>
      <w:r>
        <w:rPr>
          <w:rFonts w:hint="eastAsia" w:ascii="Times New Roman" w:hAnsi="Times New Roman" w:cs="Times New Roman"/>
          <w:highlight w:val="none"/>
          <w:lang w:val="en-US" w:eastAsia="zh-CN"/>
        </w:rPr>
        <w:t xml:space="preserve">*Stating P=0.000 is inaccurate, as the P-value cannot actually be zero. The 0.000 is merely a representation of the data and does not represent an actual zero value. In this study, we have modified it to P &lt; 0.001. </w:t>
      </w:r>
    </w:p>
    <w:p w14:paraId="6510351D">
      <w:pPr>
        <w:widowControl/>
        <w:bidi w:val="0"/>
        <w:jc w:val="left"/>
        <w:rPr>
          <w:rFonts w:hint="eastAsia" w:ascii="微软雅黑" w:hAnsi="微软雅黑" w:eastAsia="微软雅黑" w:cs="微软雅黑"/>
          <w:i w:val="0"/>
          <w:iCs w:val="0"/>
          <w:caps w:val="0"/>
          <w:color w:val="18191C"/>
          <w:spacing w:val="0"/>
          <w:kern w:val="2"/>
          <w:sz w:val="20"/>
          <w:szCs w:val="20"/>
          <w:highlight w:val="none"/>
          <w:shd w:val="clear" w:fill="FFFFFF"/>
          <w:lang w:val="en-US" w:eastAsia="zh-CN" w:bidi="ar-SA"/>
        </w:rPr>
      </w:pPr>
    </w:p>
    <w:p w14:paraId="7EE408A8">
      <w:pPr>
        <w:widowControl/>
        <w:jc w:val="left"/>
        <w:rPr>
          <w:rFonts w:ascii="Times New Roman" w:hAnsi="Times New Roman" w:cs="Times New Roman"/>
          <w:sz w:val="24"/>
          <w:highlight w:val="none"/>
        </w:rPr>
      </w:pPr>
      <w:r>
        <w:rPr>
          <w:rFonts w:ascii="Times New Roman" w:hAnsi="Times New Roman" w:cs="Times New Roman"/>
          <w:sz w:val="24"/>
          <w:highlight w:val="none"/>
        </w:rPr>
        <w:br w:type="page"/>
      </w:r>
    </w:p>
    <w:p w14:paraId="2DEB491A">
      <w:pPr>
        <w:widowControl/>
        <w:jc w:val="left"/>
        <w:rPr>
          <w:rFonts w:ascii="Times New Roman" w:hAnsi="Times New Roman" w:cs="Times New Roman"/>
          <w:sz w:val="24"/>
          <w:highlight w:val="none"/>
        </w:rPr>
        <w:sectPr>
          <w:footerReference r:id="rId3" w:type="default"/>
          <w:pgSz w:w="11906" w:h="16838"/>
          <w:pgMar w:top="1440" w:right="1800" w:bottom="1440" w:left="1800" w:header="851" w:footer="992" w:gutter="0"/>
          <w:lnNumType w:countBy="0" w:restart="continuous"/>
          <w:cols w:space="425" w:num="1"/>
          <w:docGrid w:type="lines" w:linePitch="312" w:charSpace="0"/>
        </w:sectPr>
      </w:pPr>
    </w:p>
    <w:p w14:paraId="2DDB177B">
      <w:pPr>
        <w:widowControl/>
        <w:jc w:val="left"/>
        <w:rPr>
          <w:rFonts w:ascii="Times New Roman" w:hAnsi="Times New Roman" w:eastAsia="宋体" w:cs="Times New Roman"/>
          <w:bCs/>
          <w:sz w:val="24"/>
          <w:szCs w:val="24"/>
          <w:highlight w:val="none"/>
        </w:rPr>
      </w:pPr>
      <w:r>
        <w:rPr>
          <w:rFonts w:ascii="Times New Roman" w:hAnsi="Times New Roman" w:cs="Times New Roman"/>
          <w:b/>
          <w:bCs/>
          <w:sz w:val="24"/>
          <w:highlight w:val="none"/>
        </w:rPr>
        <w:t xml:space="preserve">Table </w:t>
      </w:r>
      <w:r>
        <w:rPr>
          <w:rFonts w:hint="eastAsia" w:ascii="Times New Roman" w:hAnsi="Times New Roman" w:cs="Times New Roman"/>
          <w:b/>
          <w:bCs/>
          <w:sz w:val="24"/>
          <w:highlight w:val="none"/>
          <w:lang w:val="en-US" w:eastAsia="zh-CN"/>
        </w:rPr>
        <w:t>S</w:t>
      </w:r>
      <w:r>
        <w:rPr>
          <w:rFonts w:ascii="Times New Roman" w:hAnsi="Times New Roman" w:cs="Times New Roman"/>
          <w:b/>
          <w:bCs/>
          <w:sz w:val="24"/>
          <w:highlight w:val="none"/>
        </w:rPr>
        <w:t>3</w:t>
      </w:r>
      <w:r>
        <w:rPr>
          <w:rFonts w:ascii="Times New Roman" w:hAnsi="Times New Roman" w:cs="Times New Roman"/>
          <w:b/>
          <w:bCs/>
          <w:sz w:val="24"/>
          <w:highlight w:val="none"/>
        </w:rPr>
        <w:t xml:space="preserve">. </w:t>
      </w:r>
      <w:r>
        <w:rPr>
          <w:rFonts w:ascii="Times New Roman" w:hAnsi="Times New Roman" w:eastAsia="宋体" w:cs="Times New Roman"/>
          <w:b/>
          <w:bCs/>
          <w:sz w:val="24"/>
          <w:szCs w:val="24"/>
          <w:highlight w:val="none"/>
        </w:rPr>
        <w:t>Correlation analysis of each cervical lymph node levels [P(rs)]</w:t>
      </w:r>
    </w:p>
    <w:tbl>
      <w:tblPr>
        <w:tblStyle w:val="8"/>
        <w:tblW w:w="15172" w:type="dxa"/>
        <w:tblInd w:w="-998"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97"/>
        <w:gridCol w:w="1227"/>
        <w:gridCol w:w="1172"/>
        <w:gridCol w:w="1172"/>
        <w:gridCol w:w="1172"/>
        <w:gridCol w:w="1173"/>
        <w:gridCol w:w="1173"/>
        <w:gridCol w:w="1173"/>
        <w:gridCol w:w="1173"/>
        <w:gridCol w:w="1135"/>
        <w:gridCol w:w="1135"/>
        <w:gridCol w:w="1135"/>
        <w:gridCol w:w="1135"/>
      </w:tblGrid>
      <w:tr w14:paraId="69DB9AF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 w:hRule="atLeast"/>
        </w:trPr>
        <w:tc>
          <w:tcPr>
            <w:tcW w:w="1197" w:type="dxa"/>
            <w:tcBorders>
              <w:top w:val="single" w:color="auto" w:sz="12" w:space="0"/>
              <w:bottom w:val="single" w:color="auto" w:sz="6" w:space="0"/>
            </w:tcBorders>
            <w:vAlign w:val="center"/>
          </w:tcPr>
          <w:p w14:paraId="644758B0">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Parameter</w:t>
            </w:r>
          </w:p>
        </w:tc>
        <w:tc>
          <w:tcPr>
            <w:tcW w:w="1227" w:type="dxa"/>
            <w:tcBorders>
              <w:top w:val="single" w:color="auto" w:sz="12" w:space="0"/>
              <w:bottom w:val="single" w:color="auto" w:sz="6" w:space="0"/>
            </w:tcBorders>
            <w:vAlign w:val="center"/>
          </w:tcPr>
          <w:p w14:paraId="20224D5A">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Ⅰb</w:t>
            </w:r>
          </w:p>
        </w:tc>
        <w:tc>
          <w:tcPr>
            <w:tcW w:w="1172" w:type="dxa"/>
            <w:tcBorders>
              <w:top w:val="single" w:color="auto" w:sz="12" w:space="0"/>
              <w:bottom w:val="single" w:color="auto" w:sz="6" w:space="0"/>
            </w:tcBorders>
            <w:vAlign w:val="center"/>
          </w:tcPr>
          <w:p w14:paraId="5EFE415F">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Ⅱa</w:t>
            </w:r>
          </w:p>
        </w:tc>
        <w:tc>
          <w:tcPr>
            <w:tcW w:w="1172" w:type="dxa"/>
            <w:tcBorders>
              <w:top w:val="single" w:color="auto" w:sz="12" w:space="0"/>
              <w:bottom w:val="single" w:color="auto" w:sz="6" w:space="0"/>
            </w:tcBorders>
            <w:vAlign w:val="center"/>
          </w:tcPr>
          <w:p w14:paraId="5B1EC4E2">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Ⅱb</w:t>
            </w:r>
          </w:p>
        </w:tc>
        <w:tc>
          <w:tcPr>
            <w:tcW w:w="1172" w:type="dxa"/>
            <w:tcBorders>
              <w:top w:val="single" w:color="auto" w:sz="12" w:space="0"/>
              <w:bottom w:val="single" w:color="auto" w:sz="6" w:space="0"/>
            </w:tcBorders>
            <w:vAlign w:val="center"/>
          </w:tcPr>
          <w:p w14:paraId="4673F71B">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Ⅲ</w:t>
            </w:r>
          </w:p>
        </w:tc>
        <w:tc>
          <w:tcPr>
            <w:tcW w:w="1173" w:type="dxa"/>
            <w:tcBorders>
              <w:top w:val="single" w:color="auto" w:sz="12" w:space="0"/>
              <w:bottom w:val="single" w:color="auto" w:sz="6" w:space="0"/>
            </w:tcBorders>
            <w:vAlign w:val="center"/>
          </w:tcPr>
          <w:p w14:paraId="50D05804">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szCs w:val="21"/>
                <w:highlight w:val="none"/>
              </w:rPr>
              <w:t>Ⅳ</w:t>
            </w:r>
            <w:r>
              <w:rPr>
                <w:rFonts w:hint="eastAsia" w:ascii="Times New Roman" w:hAnsi="Times New Roman" w:cs="Times New Roman"/>
                <w:szCs w:val="21"/>
                <w:highlight w:val="none"/>
              </w:rPr>
              <w:t>a</w:t>
            </w:r>
          </w:p>
        </w:tc>
        <w:tc>
          <w:tcPr>
            <w:tcW w:w="1173" w:type="dxa"/>
            <w:tcBorders>
              <w:top w:val="single" w:color="auto" w:sz="12" w:space="0"/>
              <w:bottom w:val="single" w:color="auto" w:sz="6" w:space="0"/>
            </w:tcBorders>
            <w:vAlign w:val="center"/>
          </w:tcPr>
          <w:p w14:paraId="079F2BB5">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szCs w:val="21"/>
                <w:highlight w:val="none"/>
              </w:rPr>
              <w:t>Ⅳ</w:t>
            </w:r>
            <w:r>
              <w:rPr>
                <w:rFonts w:hint="eastAsia" w:ascii="Times New Roman" w:hAnsi="Times New Roman" w:cs="Times New Roman"/>
                <w:szCs w:val="21"/>
                <w:highlight w:val="none"/>
              </w:rPr>
              <w:t>b</w:t>
            </w:r>
          </w:p>
        </w:tc>
        <w:tc>
          <w:tcPr>
            <w:tcW w:w="1173" w:type="dxa"/>
            <w:tcBorders>
              <w:top w:val="single" w:color="auto" w:sz="12" w:space="0"/>
              <w:bottom w:val="single" w:color="auto" w:sz="6" w:space="0"/>
            </w:tcBorders>
            <w:vAlign w:val="center"/>
          </w:tcPr>
          <w:p w14:paraId="5EC57D6B">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szCs w:val="21"/>
                <w:highlight w:val="none"/>
              </w:rPr>
              <w:t>Ⅴ</w:t>
            </w:r>
            <w:r>
              <w:rPr>
                <w:rFonts w:hint="eastAsia" w:ascii="Times New Roman" w:hAnsi="Times New Roman" w:cs="Times New Roman"/>
                <w:szCs w:val="21"/>
                <w:highlight w:val="none"/>
              </w:rPr>
              <w:t>a</w:t>
            </w:r>
          </w:p>
        </w:tc>
        <w:tc>
          <w:tcPr>
            <w:tcW w:w="1173" w:type="dxa"/>
            <w:tcBorders>
              <w:top w:val="single" w:color="auto" w:sz="12" w:space="0"/>
              <w:bottom w:val="single" w:color="auto" w:sz="6" w:space="0"/>
            </w:tcBorders>
            <w:vAlign w:val="center"/>
          </w:tcPr>
          <w:p w14:paraId="42190BB3">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szCs w:val="21"/>
                <w:highlight w:val="none"/>
              </w:rPr>
              <w:t>Ⅴ</w:t>
            </w:r>
            <w:r>
              <w:rPr>
                <w:rFonts w:hint="eastAsia" w:ascii="Times New Roman" w:hAnsi="Times New Roman" w:cs="Times New Roman"/>
                <w:szCs w:val="21"/>
                <w:highlight w:val="none"/>
              </w:rPr>
              <w:t>b</w:t>
            </w:r>
          </w:p>
        </w:tc>
        <w:tc>
          <w:tcPr>
            <w:tcW w:w="1135" w:type="dxa"/>
            <w:tcBorders>
              <w:top w:val="single" w:color="auto" w:sz="12" w:space="0"/>
              <w:bottom w:val="single" w:color="auto" w:sz="6" w:space="0"/>
            </w:tcBorders>
            <w:vAlign w:val="center"/>
          </w:tcPr>
          <w:p w14:paraId="1BD9761F">
            <w:pPr>
              <w:keepNext w:val="0"/>
              <w:keepLines w:val="0"/>
              <w:suppressLineNumbers w:val="0"/>
              <w:spacing w:before="0" w:beforeAutospacing="0" w:after="0" w:afterAutospacing="0"/>
              <w:ind w:left="0" w:right="0"/>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Ⅴ</w:t>
            </w:r>
            <w:r>
              <w:rPr>
                <w:rFonts w:hint="eastAsia" w:ascii="Times New Roman" w:hAnsi="Times New Roman" w:cs="Times New Roman"/>
                <w:szCs w:val="21"/>
                <w:highlight w:val="none"/>
              </w:rPr>
              <w:t>c</w:t>
            </w:r>
          </w:p>
        </w:tc>
        <w:tc>
          <w:tcPr>
            <w:tcW w:w="1135" w:type="dxa"/>
            <w:tcBorders>
              <w:top w:val="single" w:color="auto" w:sz="12" w:space="0"/>
              <w:bottom w:val="single" w:color="auto" w:sz="6" w:space="0"/>
            </w:tcBorders>
            <w:vAlign w:val="center"/>
          </w:tcPr>
          <w:p w14:paraId="2AA08B04">
            <w:pPr>
              <w:keepNext w:val="0"/>
              <w:keepLines w:val="0"/>
              <w:suppressLineNumbers w:val="0"/>
              <w:spacing w:before="0" w:beforeAutospacing="0" w:after="0" w:afterAutospacing="0"/>
              <w:ind w:left="0" w:right="0"/>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Ⅶ</w:t>
            </w:r>
            <w:r>
              <w:rPr>
                <w:rFonts w:hint="eastAsia" w:ascii="Times New Roman" w:hAnsi="Times New Roman" w:cs="Times New Roman"/>
                <w:szCs w:val="21"/>
                <w:highlight w:val="none"/>
              </w:rPr>
              <w:t>a</w:t>
            </w:r>
          </w:p>
        </w:tc>
        <w:tc>
          <w:tcPr>
            <w:tcW w:w="1135" w:type="dxa"/>
            <w:tcBorders>
              <w:top w:val="single" w:color="auto" w:sz="12" w:space="0"/>
              <w:bottom w:val="single" w:color="auto" w:sz="6" w:space="0"/>
            </w:tcBorders>
            <w:vAlign w:val="center"/>
          </w:tcPr>
          <w:p w14:paraId="3297D901">
            <w:pPr>
              <w:keepNext w:val="0"/>
              <w:keepLines w:val="0"/>
              <w:suppressLineNumbers w:val="0"/>
              <w:spacing w:before="0" w:beforeAutospacing="0" w:after="0" w:afterAutospacing="0"/>
              <w:ind w:left="0" w:right="0"/>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Ⅶ</w:t>
            </w:r>
            <w:r>
              <w:rPr>
                <w:rFonts w:hint="eastAsia" w:ascii="Times New Roman" w:hAnsi="Times New Roman" w:cs="Times New Roman"/>
                <w:szCs w:val="21"/>
                <w:highlight w:val="none"/>
              </w:rPr>
              <w:t>b</w:t>
            </w:r>
          </w:p>
        </w:tc>
        <w:tc>
          <w:tcPr>
            <w:tcW w:w="1135" w:type="dxa"/>
            <w:tcBorders>
              <w:top w:val="single" w:color="auto" w:sz="12" w:space="0"/>
              <w:bottom w:val="single" w:color="auto" w:sz="6" w:space="0"/>
            </w:tcBorders>
            <w:vAlign w:val="center"/>
          </w:tcPr>
          <w:p w14:paraId="0A19829D">
            <w:pPr>
              <w:keepNext w:val="0"/>
              <w:keepLines w:val="0"/>
              <w:suppressLineNumbers w:val="0"/>
              <w:spacing w:before="0" w:beforeAutospacing="0" w:after="0" w:afterAutospacing="0"/>
              <w:ind w:left="0" w:right="0"/>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Ⅷ</w:t>
            </w:r>
          </w:p>
        </w:tc>
      </w:tr>
      <w:tr w14:paraId="28E18CB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1197" w:type="dxa"/>
            <w:tcBorders>
              <w:top w:val="single" w:color="auto" w:sz="6" w:space="0"/>
              <w:bottom w:val="nil"/>
            </w:tcBorders>
            <w:vAlign w:val="center"/>
          </w:tcPr>
          <w:p w14:paraId="28D45BCF">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Ⅰb</w:t>
            </w:r>
          </w:p>
        </w:tc>
        <w:tc>
          <w:tcPr>
            <w:tcW w:w="1227" w:type="dxa"/>
            <w:tcBorders>
              <w:top w:val="single" w:color="auto" w:sz="6" w:space="0"/>
              <w:bottom w:val="nil"/>
            </w:tcBorders>
            <w:vAlign w:val="center"/>
          </w:tcPr>
          <w:p w14:paraId="75D2CD84">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w:t>
            </w:r>
          </w:p>
        </w:tc>
        <w:tc>
          <w:tcPr>
            <w:tcW w:w="1172" w:type="dxa"/>
            <w:tcBorders>
              <w:top w:val="single" w:color="auto" w:sz="6" w:space="0"/>
              <w:bottom w:val="nil"/>
            </w:tcBorders>
            <w:vAlign w:val="center"/>
          </w:tcPr>
          <w:p w14:paraId="0893E1E2">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0.303</w:t>
            </w:r>
          </w:p>
          <w:p w14:paraId="33233F6F">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(0.072)</w:t>
            </w:r>
          </w:p>
        </w:tc>
        <w:tc>
          <w:tcPr>
            <w:tcW w:w="1172" w:type="dxa"/>
            <w:tcBorders>
              <w:top w:val="single" w:color="auto" w:sz="6" w:space="0"/>
              <w:bottom w:val="nil"/>
            </w:tcBorders>
            <w:vAlign w:val="center"/>
          </w:tcPr>
          <w:p w14:paraId="56B3245D">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0.160</w:t>
            </w:r>
          </w:p>
          <w:p w14:paraId="6A45502D">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(-0.098)</w:t>
            </w:r>
          </w:p>
        </w:tc>
        <w:tc>
          <w:tcPr>
            <w:tcW w:w="1172" w:type="dxa"/>
            <w:tcBorders>
              <w:top w:val="single" w:color="auto" w:sz="6" w:space="0"/>
              <w:bottom w:val="nil"/>
            </w:tcBorders>
            <w:vAlign w:val="center"/>
          </w:tcPr>
          <w:p w14:paraId="5D1ABD72">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0.176</w:t>
            </w:r>
          </w:p>
          <w:p w14:paraId="0021B9CD">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(0.094)</w:t>
            </w:r>
          </w:p>
        </w:tc>
        <w:tc>
          <w:tcPr>
            <w:tcW w:w="1173" w:type="dxa"/>
            <w:tcBorders>
              <w:top w:val="single" w:color="auto" w:sz="6" w:space="0"/>
              <w:bottom w:val="nil"/>
            </w:tcBorders>
            <w:vAlign w:val="center"/>
          </w:tcPr>
          <w:p w14:paraId="21B64A2E">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0.069</w:t>
            </w:r>
          </w:p>
          <w:p w14:paraId="59F3356B">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0.126</w:t>
            </w:r>
            <w:r>
              <w:rPr>
                <w:rFonts w:hint="eastAsia" w:ascii="Times New Roman" w:hAnsi="Times New Roman" w:eastAsia="宋体" w:cs="Times New Roman"/>
                <w:bCs/>
                <w:szCs w:val="21"/>
                <w:highlight w:val="none"/>
              </w:rPr>
              <w:t>)</w:t>
            </w:r>
          </w:p>
        </w:tc>
        <w:tc>
          <w:tcPr>
            <w:tcW w:w="1173" w:type="dxa"/>
            <w:tcBorders>
              <w:top w:val="single" w:color="auto" w:sz="6" w:space="0"/>
              <w:bottom w:val="nil"/>
            </w:tcBorders>
            <w:vAlign w:val="center"/>
          </w:tcPr>
          <w:p w14:paraId="4E4D1C2F">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0.782</w:t>
            </w:r>
          </w:p>
          <w:p w14:paraId="77BEFA46">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-0.019</w:t>
            </w:r>
            <w:r>
              <w:rPr>
                <w:rFonts w:hint="eastAsia" w:ascii="Times New Roman" w:hAnsi="Times New Roman" w:eastAsia="宋体" w:cs="Times New Roman"/>
                <w:bCs/>
                <w:szCs w:val="21"/>
                <w:highlight w:val="none"/>
              </w:rPr>
              <w:t>)</w:t>
            </w:r>
          </w:p>
        </w:tc>
        <w:tc>
          <w:tcPr>
            <w:tcW w:w="1173" w:type="dxa"/>
            <w:tcBorders>
              <w:top w:val="single" w:color="auto" w:sz="6" w:space="0"/>
              <w:bottom w:val="nil"/>
            </w:tcBorders>
            <w:vAlign w:val="center"/>
          </w:tcPr>
          <w:p w14:paraId="209961A8">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0.004</w:t>
            </w:r>
          </w:p>
          <w:p w14:paraId="391FA48E">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cs="Times New Roman"/>
                <w:szCs w:val="21"/>
                <w:highlight w:val="none"/>
              </w:rPr>
              <w:t>(0.200</w:t>
            </w:r>
            <w:r>
              <w:rPr>
                <w:rFonts w:hint="eastAsia" w:ascii="Times New Roman" w:hAnsi="Times New Roman" w:eastAsia="宋体" w:cs="Times New Roman"/>
                <w:bCs/>
                <w:szCs w:val="21"/>
                <w:highlight w:val="none"/>
              </w:rPr>
              <w:t>)</w:t>
            </w:r>
          </w:p>
        </w:tc>
        <w:tc>
          <w:tcPr>
            <w:tcW w:w="1173" w:type="dxa"/>
            <w:tcBorders>
              <w:top w:val="single" w:color="auto" w:sz="6" w:space="0"/>
              <w:bottom w:val="nil"/>
            </w:tcBorders>
            <w:vAlign w:val="center"/>
          </w:tcPr>
          <w:p w14:paraId="1AF65EDD">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0.108</w:t>
            </w:r>
          </w:p>
          <w:p w14:paraId="7369BB02">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0.111</w:t>
            </w:r>
            <w:r>
              <w:rPr>
                <w:rFonts w:hint="eastAsia" w:ascii="Times New Roman" w:hAnsi="Times New Roman" w:eastAsia="宋体" w:cs="Times New Roman"/>
                <w:bCs/>
                <w:szCs w:val="21"/>
                <w:highlight w:val="none"/>
              </w:rPr>
              <w:t>)</w:t>
            </w:r>
          </w:p>
        </w:tc>
        <w:tc>
          <w:tcPr>
            <w:tcW w:w="1135" w:type="dxa"/>
            <w:tcBorders>
              <w:top w:val="single" w:color="auto" w:sz="6" w:space="0"/>
              <w:bottom w:val="nil"/>
            </w:tcBorders>
            <w:vAlign w:val="center"/>
          </w:tcPr>
          <w:p w14:paraId="73AF0192">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0.078</w:t>
            </w:r>
          </w:p>
          <w:p w14:paraId="7898345D">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0.122</w:t>
            </w:r>
            <w:r>
              <w:rPr>
                <w:rFonts w:hint="eastAsia" w:ascii="Times New Roman" w:hAnsi="Times New Roman" w:eastAsia="宋体" w:cs="Times New Roman"/>
                <w:bCs/>
                <w:szCs w:val="21"/>
                <w:highlight w:val="none"/>
              </w:rPr>
              <w:t>)</w:t>
            </w:r>
          </w:p>
        </w:tc>
        <w:tc>
          <w:tcPr>
            <w:tcW w:w="1135" w:type="dxa"/>
            <w:tcBorders>
              <w:top w:val="single" w:color="auto" w:sz="6" w:space="0"/>
              <w:bottom w:val="nil"/>
            </w:tcBorders>
            <w:vAlign w:val="center"/>
          </w:tcPr>
          <w:p w14:paraId="21B72053">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0.378</w:t>
            </w:r>
          </w:p>
          <w:p w14:paraId="2023AB28">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0.061</w:t>
            </w:r>
            <w:r>
              <w:rPr>
                <w:rFonts w:hint="eastAsia" w:ascii="Times New Roman" w:hAnsi="Times New Roman" w:eastAsia="宋体" w:cs="Times New Roman"/>
                <w:bCs/>
                <w:szCs w:val="21"/>
                <w:highlight w:val="none"/>
              </w:rPr>
              <w:t>)</w:t>
            </w:r>
          </w:p>
        </w:tc>
        <w:tc>
          <w:tcPr>
            <w:tcW w:w="1135" w:type="dxa"/>
            <w:tcBorders>
              <w:top w:val="single" w:color="auto" w:sz="6" w:space="0"/>
              <w:bottom w:val="nil"/>
            </w:tcBorders>
            <w:vAlign w:val="center"/>
          </w:tcPr>
          <w:p w14:paraId="3D9E9521">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0.782</w:t>
            </w:r>
          </w:p>
          <w:p w14:paraId="1719B621">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-0.019</w:t>
            </w:r>
            <w:r>
              <w:rPr>
                <w:rFonts w:hint="eastAsia" w:ascii="Times New Roman" w:hAnsi="Times New Roman" w:eastAsia="宋体" w:cs="Times New Roman"/>
                <w:bCs/>
                <w:szCs w:val="21"/>
                <w:highlight w:val="none"/>
              </w:rPr>
              <w:t>)</w:t>
            </w:r>
          </w:p>
        </w:tc>
        <w:tc>
          <w:tcPr>
            <w:tcW w:w="1135" w:type="dxa"/>
            <w:tcBorders>
              <w:top w:val="single" w:color="auto" w:sz="6" w:space="0"/>
              <w:bottom w:val="nil"/>
            </w:tcBorders>
            <w:vAlign w:val="center"/>
          </w:tcPr>
          <w:p w14:paraId="102A6408">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0.694</w:t>
            </w:r>
          </w:p>
          <w:p w14:paraId="1825D1F1">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-0.027)</w:t>
            </w:r>
          </w:p>
        </w:tc>
      </w:tr>
      <w:tr w14:paraId="6AF11D1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 w:hRule="atLeast"/>
        </w:trPr>
        <w:tc>
          <w:tcPr>
            <w:tcW w:w="1197" w:type="dxa"/>
            <w:tcBorders>
              <w:top w:val="nil"/>
            </w:tcBorders>
            <w:vAlign w:val="center"/>
          </w:tcPr>
          <w:p w14:paraId="6FE03EDE">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Ⅱa</w:t>
            </w:r>
          </w:p>
        </w:tc>
        <w:tc>
          <w:tcPr>
            <w:tcW w:w="1227" w:type="dxa"/>
            <w:tcBorders>
              <w:top w:val="nil"/>
            </w:tcBorders>
            <w:vAlign w:val="center"/>
          </w:tcPr>
          <w:p w14:paraId="1BE6AE13">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0.303</w:t>
            </w:r>
          </w:p>
          <w:p w14:paraId="08D8B294">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(0.072)</w:t>
            </w:r>
          </w:p>
        </w:tc>
        <w:tc>
          <w:tcPr>
            <w:tcW w:w="1172" w:type="dxa"/>
            <w:tcBorders>
              <w:top w:val="nil"/>
            </w:tcBorders>
            <w:vAlign w:val="center"/>
          </w:tcPr>
          <w:p w14:paraId="7C4788D7">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w:t>
            </w:r>
          </w:p>
        </w:tc>
        <w:tc>
          <w:tcPr>
            <w:tcW w:w="1172" w:type="dxa"/>
            <w:tcBorders>
              <w:top w:val="nil"/>
            </w:tcBorders>
            <w:vAlign w:val="center"/>
          </w:tcPr>
          <w:p w14:paraId="4BE054DB">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0.220</w:t>
            </w:r>
          </w:p>
          <w:p w14:paraId="5F599F55">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(0.085)</w:t>
            </w:r>
          </w:p>
        </w:tc>
        <w:tc>
          <w:tcPr>
            <w:tcW w:w="1172" w:type="dxa"/>
            <w:tcBorders>
              <w:top w:val="nil"/>
            </w:tcBorders>
            <w:vAlign w:val="center"/>
          </w:tcPr>
          <w:p w14:paraId="3D7969D6">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0.000</w:t>
            </w:r>
          </w:p>
          <w:p w14:paraId="0C426A35">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(0.276)</w:t>
            </w:r>
          </w:p>
        </w:tc>
        <w:tc>
          <w:tcPr>
            <w:tcW w:w="1173" w:type="dxa"/>
            <w:tcBorders>
              <w:top w:val="nil"/>
            </w:tcBorders>
            <w:vAlign w:val="center"/>
          </w:tcPr>
          <w:p w14:paraId="130A04E4">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0.011</w:t>
            </w:r>
          </w:p>
          <w:p w14:paraId="7889C04D">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0.175</w:t>
            </w:r>
            <w:r>
              <w:rPr>
                <w:rFonts w:hint="eastAsia" w:ascii="Times New Roman" w:hAnsi="Times New Roman" w:eastAsia="宋体" w:cs="Times New Roman"/>
                <w:bCs/>
                <w:szCs w:val="21"/>
                <w:highlight w:val="none"/>
              </w:rPr>
              <w:t>)</w:t>
            </w:r>
          </w:p>
        </w:tc>
        <w:tc>
          <w:tcPr>
            <w:tcW w:w="1173" w:type="dxa"/>
            <w:tcBorders>
              <w:top w:val="nil"/>
            </w:tcBorders>
            <w:vAlign w:val="center"/>
          </w:tcPr>
          <w:p w14:paraId="10060FC2">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0.571</w:t>
            </w:r>
          </w:p>
          <w:p w14:paraId="7516C424">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0.039</w:t>
            </w:r>
            <w:r>
              <w:rPr>
                <w:rFonts w:hint="eastAsia" w:ascii="Times New Roman" w:hAnsi="Times New Roman" w:eastAsia="宋体" w:cs="Times New Roman"/>
                <w:bCs/>
                <w:szCs w:val="21"/>
                <w:highlight w:val="none"/>
              </w:rPr>
              <w:t>)</w:t>
            </w:r>
          </w:p>
        </w:tc>
        <w:tc>
          <w:tcPr>
            <w:tcW w:w="1173" w:type="dxa"/>
            <w:tcBorders>
              <w:top w:val="nil"/>
            </w:tcBorders>
            <w:vAlign w:val="center"/>
          </w:tcPr>
          <w:p w14:paraId="59686712">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0.062</w:t>
            </w:r>
          </w:p>
          <w:p w14:paraId="186C12BF">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cs="Times New Roman"/>
                <w:szCs w:val="21"/>
                <w:highlight w:val="none"/>
              </w:rPr>
              <w:t>(0.129</w:t>
            </w:r>
            <w:r>
              <w:rPr>
                <w:rFonts w:hint="eastAsia" w:ascii="Times New Roman" w:hAnsi="Times New Roman" w:eastAsia="宋体" w:cs="Times New Roman"/>
                <w:bCs/>
                <w:szCs w:val="21"/>
                <w:highlight w:val="none"/>
              </w:rPr>
              <w:t>)</w:t>
            </w:r>
          </w:p>
        </w:tc>
        <w:tc>
          <w:tcPr>
            <w:tcW w:w="1173" w:type="dxa"/>
            <w:tcBorders>
              <w:top w:val="nil"/>
            </w:tcBorders>
            <w:vAlign w:val="center"/>
          </w:tcPr>
          <w:p w14:paraId="3E5458D2">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0.741</w:t>
            </w:r>
          </w:p>
          <w:p w14:paraId="18BC3E18">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0.023</w:t>
            </w:r>
            <w:r>
              <w:rPr>
                <w:rFonts w:hint="eastAsia" w:ascii="Times New Roman" w:hAnsi="Times New Roman" w:eastAsia="宋体" w:cs="Times New Roman"/>
                <w:bCs/>
                <w:szCs w:val="21"/>
                <w:highlight w:val="none"/>
              </w:rPr>
              <w:t>)</w:t>
            </w:r>
          </w:p>
        </w:tc>
        <w:tc>
          <w:tcPr>
            <w:tcW w:w="1135" w:type="dxa"/>
            <w:tcBorders>
              <w:top w:val="nil"/>
            </w:tcBorders>
            <w:vAlign w:val="center"/>
          </w:tcPr>
          <w:p w14:paraId="0B94C2B5">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0.324</w:t>
            </w:r>
          </w:p>
          <w:p w14:paraId="49D3D6CE">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0.069</w:t>
            </w:r>
            <w:r>
              <w:rPr>
                <w:rFonts w:hint="eastAsia" w:ascii="Times New Roman" w:hAnsi="Times New Roman" w:eastAsia="宋体" w:cs="Times New Roman"/>
                <w:bCs/>
                <w:szCs w:val="21"/>
                <w:highlight w:val="none"/>
              </w:rPr>
              <w:t>)</w:t>
            </w:r>
          </w:p>
        </w:tc>
        <w:tc>
          <w:tcPr>
            <w:tcW w:w="1135" w:type="dxa"/>
            <w:tcBorders>
              <w:top w:val="nil"/>
            </w:tcBorders>
            <w:vAlign w:val="center"/>
          </w:tcPr>
          <w:p w14:paraId="3373C8DC">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0.749</w:t>
            </w:r>
          </w:p>
          <w:p w14:paraId="5E4D4258">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0.022</w:t>
            </w:r>
            <w:r>
              <w:rPr>
                <w:rFonts w:hint="eastAsia" w:ascii="Times New Roman" w:hAnsi="Times New Roman" w:eastAsia="宋体" w:cs="Times New Roman"/>
                <w:bCs/>
                <w:szCs w:val="21"/>
                <w:highlight w:val="none"/>
              </w:rPr>
              <w:t>)</w:t>
            </w:r>
          </w:p>
        </w:tc>
        <w:tc>
          <w:tcPr>
            <w:tcW w:w="1135" w:type="dxa"/>
            <w:tcBorders>
              <w:top w:val="nil"/>
            </w:tcBorders>
            <w:vAlign w:val="center"/>
          </w:tcPr>
          <w:p w14:paraId="71B12D1C">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0.571</w:t>
            </w:r>
          </w:p>
          <w:p w14:paraId="78D6DF5A">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0.039</w:t>
            </w:r>
            <w:r>
              <w:rPr>
                <w:rFonts w:hint="eastAsia" w:ascii="Times New Roman" w:hAnsi="Times New Roman" w:eastAsia="宋体" w:cs="Times New Roman"/>
                <w:bCs/>
                <w:szCs w:val="21"/>
                <w:highlight w:val="none"/>
              </w:rPr>
              <w:t>)</w:t>
            </w:r>
          </w:p>
        </w:tc>
        <w:tc>
          <w:tcPr>
            <w:tcW w:w="1135" w:type="dxa"/>
            <w:tcBorders>
              <w:top w:val="nil"/>
            </w:tcBorders>
            <w:vAlign w:val="center"/>
          </w:tcPr>
          <w:p w14:paraId="66654737">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0.399</w:t>
            </w:r>
          </w:p>
          <w:p w14:paraId="0D697E2F">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-0.059</w:t>
            </w:r>
            <w:r>
              <w:rPr>
                <w:rFonts w:hint="eastAsia" w:ascii="Times New Roman" w:hAnsi="Times New Roman" w:eastAsia="宋体" w:cs="Times New Roman"/>
                <w:bCs/>
                <w:szCs w:val="21"/>
                <w:highlight w:val="none"/>
              </w:rPr>
              <w:t>)</w:t>
            </w:r>
          </w:p>
        </w:tc>
      </w:tr>
      <w:tr w14:paraId="312AC3F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 w:hRule="atLeast"/>
        </w:trPr>
        <w:tc>
          <w:tcPr>
            <w:tcW w:w="1197" w:type="dxa"/>
            <w:vAlign w:val="center"/>
          </w:tcPr>
          <w:p w14:paraId="3EF4D64A">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Ⅱb</w:t>
            </w:r>
          </w:p>
        </w:tc>
        <w:tc>
          <w:tcPr>
            <w:tcW w:w="1227" w:type="dxa"/>
            <w:vAlign w:val="center"/>
          </w:tcPr>
          <w:p w14:paraId="527A9658">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0.160</w:t>
            </w:r>
          </w:p>
          <w:p w14:paraId="51CDA8E0">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(-0.098)</w:t>
            </w:r>
          </w:p>
        </w:tc>
        <w:tc>
          <w:tcPr>
            <w:tcW w:w="1172" w:type="dxa"/>
            <w:vAlign w:val="center"/>
          </w:tcPr>
          <w:p w14:paraId="590CD8BB">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0.220</w:t>
            </w:r>
          </w:p>
          <w:p w14:paraId="59D48AF7">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(0.085)</w:t>
            </w:r>
          </w:p>
        </w:tc>
        <w:tc>
          <w:tcPr>
            <w:tcW w:w="1172" w:type="dxa"/>
            <w:vAlign w:val="center"/>
          </w:tcPr>
          <w:p w14:paraId="49E40DA8">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w:t>
            </w:r>
          </w:p>
        </w:tc>
        <w:tc>
          <w:tcPr>
            <w:tcW w:w="1172" w:type="dxa"/>
            <w:vAlign w:val="center"/>
          </w:tcPr>
          <w:p w14:paraId="0E485691">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0.000</w:t>
            </w:r>
          </w:p>
          <w:p w14:paraId="4CECBD66">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(0.380)</w:t>
            </w:r>
          </w:p>
        </w:tc>
        <w:tc>
          <w:tcPr>
            <w:tcW w:w="1173" w:type="dxa"/>
            <w:vAlign w:val="center"/>
          </w:tcPr>
          <w:p w14:paraId="6C615D44">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0.029</w:t>
            </w:r>
          </w:p>
          <w:p w14:paraId="2E2234F1">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0.151</w:t>
            </w:r>
            <w:r>
              <w:rPr>
                <w:rFonts w:hint="eastAsia" w:ascii="Times New Roman" w:hAnsi="Times New Roman" w:eastAsia="宋体" w:cs="Times New Roman"/>
                <w:bCs/>
                <w:szCs w:val="21"/>
                <w:highlight w:val="none"/>
              </w:rPr>
              <w:t>)</w:t>
            </w:r>
          </w:p>
        </w:tc>
        <w:tc>
          <w:tcPr>
            <w:tcW w:w="1173" w:type="dxa"/>
            <w:vAlign w:val="center"/>
          </w:tcPr>
          <w:p w14:paraId="045FD00F">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0.683</w:t>
            </w:r>
          </w:p>
          <w:p w14:paraId="25B9EC82">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0.028</w:t>
            </w:r>
            <w:r>
              <w:rPr>
                <w:rFonts w:hint="eastAsia" w:ascii="Times New Roman" w:hAnsi="Times New Roman" w:eastAsia="宋体" w:cs="Times New Roman"/>
                <w:bCs/>
                <w:szCs w:val="21"/>
                <w:highlight w:val="none"/>
              </w:rPr>
              <w:t>)</w:t>
            </w:r>
          </w:p>
        </w:tc>
        <w:tc>
          <w:tcPr>
            <w:tcW w:w="1173" w:type="dxa"/>
            <w:vAlign w:val="center"/>
          </w:tcPr>
          <w:p w14:paraId="3F58C88F">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0.020</w:t>
            </w:r>
          </w:p>
          <w:p w14:paraId="03778E4F">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cs="Times New Roman"/>
                <w:szCs w:val="21"/>
                <w:highlight w:val="none"/>
              </w:rPr>
              <w:t>(0.161</w:t>
            </w:r>
            <w:r>
              <w:rPr>
                <w:rFonts w:hint="eastAsia" w:ascii="Times New Roman" w:hAnsi="Times New Roman" w:eastAsia="宋体" w:cs="Times New Roman"/>
                <w:bCs/>
                <w:szCs w:val="21"/>
                <w:highlight w:val="none"/>
              </w:rPr>
              <w:t>)</w:t>
            </w:r>
          </w:p>
        </w:tc>
        <w:tc>
          <w:tcPr>
            <w:tcW w:w="1173" w:type="dxa"/>
            <w:vAlign w:val="center"/>
          </w:tcPr>
          <w:p w14:paraId="7EAF7863">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0.689</w:t>
            </w:r>
          </w:p>
          <w:p w14:paraId="0203038A">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0.028</w:t>
            </w:r>
            <w:r>
              <w:rPr>
                <w:rFonts w:hint="eastAsia" w:ascii="Times New Roman" w:hAnsi="Times New Roman" w:eastAsia="宋体" w:cs="Times New Roman"/>
                <w:bCs/>
                <w:szCs w:val="21"/>
                <w:highlight w:val="none"/>
              </w:rPr>
              <w:t>)</w:t>
            </w:r>
          </w:p>
        </w:tc>
        <w:tc>
          <w:tcPr>
            <w:tcW w:w="1135" w:type="dxa"/>
            <w:vAlign w:val="center"/>
          </w:tcPr>
          <w:p w14:paraId="011C182E">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0.477</w:t>
            </w:r>
          </w:p>
          <w:p w14:paraId="7CEEDBED">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0.049</w:t>
            </w:r>
            <w:r>
              <w:rPr>
                <w:rFonts w:hint="eastAsia" w:ascii="Times New Roman" w:hAnsi="Times New Roman" w:eastAsia="宋体" w:cs="Times New Roman"/>
                <w:bCs/>
                <w:szCs w:val="21"/>
                <w:highlight w:val="none"/>
              </w:rPr>
              <w:t>)</w:t>
            </w:r>
          </w:p>
        </w:tc>
        <w:tc>
          <w:tcPr>
            <w:tcW w:w="1135" w:type="dxa"/>
            <w:vAlign w:val="center"/>
          </w:tcPr>
          <w:p w14:paraId="17E8E965">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0.937</w:t>
            </w:r>
          </w:p>
          <w:p w14:paraId="260BCED6">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-0.006</w:t>
            </w:r>
            <w:r>
              <w:rPr>
                <w:rFonts w:hint="eastAsia" w:ascii="Times New Roman" w:hAnsi="Times New Roman" w:eastAsia="宋体" w:cs="Times New Roman"/>
                <w:bCs/>
                <w:szCs w:val="21"/>
                <w:highlight w:val="none"/>
              </w:rPr>
              <w:t>)</w:t>
            </w:r>
          </w:p>
        </w:tc>
        <w:tc>
          <w:tcPr>
            <w:tcW w:w="1135" w:type="dxa"/>
            <w:vAlign w:val="center"/>
          </w:tcPr>
          <w:p w14:paraId="0CFE3076">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0.683</w:t>
            </w:r>
          </w:p>
          <w:p w14:paraId="4321B3D2">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0.028</w:t>
            </w:r>
            <w:r>
              <w:rPr>
                <w:rFonts w:hint="eastAsia" w:ascii="Times New Roman" w:hAnsi="Times New Roman" w:eastAsia="宋体" w:cs="Times New Roman"/>
                <w:bCs/>
                <w:szCs w:val="21"/>
                <w:highlight w:val="none"/>
              </w:rPr>
              <w:t>)</w:t>
            </w:r>
          </w:p>
        </w:tc>
        <w:tc>
          <w:tcPr>
            <w:tcW w:w="1135" w:type="dxa"/>
            <w:vAlign w:val="center"/>
          </w:tcPr>
          <w:p w14:paraId="1CB65BC5">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0.563</w:t>
            </w:r>
          </w:p>
          <w:p w14:paraId="4A2B349A">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0.040</w:t>
            </w:r>
            <w:r>
              <w:rPr>
                <w:rFonts w:hint="eastAsia" w:ascii="Times New Roman" w:hAnsi="Times New Roman" w:eastAsia="宋体" w:cs="Times New Roman"/>
                <w:bCs/>
                <w:szCs w:val="21"/>
                <w:highlight w:val="none"/>
              </w:rPr>
              <w:t>)</w:t>
            </w:r>
          </w:p>
        </w:tc>
      </w:tr>
      <w:tr w14:paraId="0E99450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 w:hRule="atLeast"/>
        </w:trPr>
        <w:tc>
          <w:tcPr>
            <w:tcW w:w="1197" w:type="dxa"/>
            <w:vAlign w:val="center"/>
          </w:tcPr>
          <w:p w14:paraId="50AC2F92">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Ⅲ</w:t>
            </w:r>
          </w:p>
        </w:tc>
        <w:tc>
          <w:tcPr>
            <w:tcW w:w="1227" w:type="dxa"/>
            <w:vAlign w:val="center"/>
          </w:tcPr>
          <w:p w14:paraId="05315EF0">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0.176</w:t>
            </w:r>
          </w:p>
          <w:p w14:paraId="78A9DC43">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(0.094)</w:t>
            </w:r>
          </w:p>
        </w:tc>
        <w:tc>
          <w:tcPr>
            <w:tcW w:w="1172" w:type="dxa"/>
            <w:vAlign w:val="center"/>
          </w:tcPr>
          <w:p w14:paraId="7DE4F20F">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0.000</w:t>
            </w:r>
          </w:p>
          <w:p w14:paraId="2773E995">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(0.276)</w:t>
            </w:r>
          </w:p>
        </w:tc>
        <w:tc>
          <w:tcPr>
            <w:tcW w:w="1172" w:type="dxa"/>
            <w:vAlign w:val="center"/>
          </w:tcPr>
          <w:p w14:paraId="74664BE1">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0.000</w:t>
            </w:r>
          </w:p>
          <w:p w14:paraId="24D4BAB1">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(0.380）</w:t>
            </w:r>
          </w:p>
        </w:tc>
        <w:tc>
          <w:tcPr>
            <w:tcW w:w="1172" w:type="dxa"/>
            <w:vAlign w:val="center"/>
          </w:tcPr>
          <w:p w14:paraId="100AEFAC">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w:t>
            </w:r>
          </w:p>
        </w:tc>
        <w:tc>
          <w:tcPr>
            <w:tcW w:w="1173" w:type="dxa"/>
            <w:vAlign w:val="center"/>
          </w:tcPr>
          <w:p w14:paraId="0B456514">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0.000</w:t>
            </w:r>
          </w:p>
          <w:p w14:paraId="031F5BEA">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0.370</w:t>
            </w:r>
            <w:r>
              <w:rPr>
                <w:rFonts w:hint="eastAsia" w:ascii="Times New Roman" w:hAnsi="Times New Roman" w:eastAsia="宋体" w:cs="Times New Roman"/>
                <w:bCs/>
                <w:szCs w:val="21"/>
                <w:highlight w:val="none"/>
              </w:rPr>
              <w:t>)</w:t>
            </w:r>
          </w:p>
        </w:tc>
        <w:tc>
          <w:tcPr>
            <w:tcW w:w="1173" w:type="dxa"/>
            <w:vAlign w:val="center"/>
          </w:tcPr>
          <w:p w14:paraId="7C33356F">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0.316</w:t>
            </w:r>
          </w:p>
          <w:p w14:paraId="35DC8ACB">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0.070</w:t>
            </w:r>
            <w:r>
              <w:rPr>
                <w:rFonts w:hint="eastAsia" w:ascii="Times New Roman" w:hAnsi="Times New Roman" w:eastAsia="宋体" w:cs="Times New Roman"/>
                <w:bCs/>
                <w:szCs w:val="21"/>
                <w:highlight w:val="none"/>
              </w:rPr>
              <w:t>)</w:t>
            </w:r>
          </w:p>
        </w:tc>
        <w:tc>
          <w:tcPr>
            <w:tcW w:w="1173" w:type="dxa"/>
            <w:vAlign w:val="center"/>
          </w:tcPr>
          <w:p w14:paraId="0FE8925A">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0.000</w:t>
            </w:r>
          </w:p>
          <w:p w14:paraId="0692CB7F">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cs="Times New Roman"/>
                <w:szCs w:val="21"/>
                <w:highlight w:val="none"/>
              </w:rPr>
              <w:t>(0.429</w:t>
            </w:r>
            <w:r>
              <w:rPr>
                <w:rFonts w:hint="eastAsia" w:ascii="Times New Roman" w:hAnsi="Times New Roman" w:eastAsia="宋体" w:cs="Times New Roman"/>
                <w:bCs/>
                <w:szCs w:val="21"/>
                <w:highlight w:val="none"/>
              </w:rPr>
              <w:t>)</w:t>
            </w:r>
          </w:p>
        </w:tc>
        <w:tc>
          <w:tcPr>
            <w:tcW w:w="1173" w:type="dxa"/>
            <w:vAlign w:val="center"/>
          </w:tcPr>
          <w:p w14:paraId="2D712C19">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0.000</w:t>
            </w:r>
          </w:p>
          <w:p w14:paraId="7580E75E">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0.332</w:t>
            </w:r>
            <w:r>
              <w:rPr>
                <w:rFonts w:hint="eastAsia" w:ascii="Times New Roman" w:hAnsi="Times New Roman" w:eastAsia="宋体" w:cs="Times New Roman"/>
                <w:bCs/>
                <w:szCs w:val="21"/>
                <w:highlight w:val="none"/>
              </w:rPr>
              <w:t>)</w:t>
            </w:r>
          </w:p>
        </w:tc>
        <w:tc>
          <w:tcPr>
            <w:tcW w:w="1135" w:type="dxa"/>
            <w:vAlign w:val="center"/>
          </w:tcPr>
          <w:p w14:paraId="4750FE3E">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0.080</w:t>
            </w:r>
          </w:p>
          <w:p w14:paraId="02025450">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0.121</w:t>
            </w:r>
            <w:r>
              <w:rPr>
                <w:rFonts w:hint="eastAsia" w:ascii="Times New Roman" w:hAnsi="Times New Roman" w:eastAsia="宋体" w:cs="Times New Roman"/>
                <w:bCs/>
                <w:szCs w:val="21"/>
                <w:highlight w:val="none"/>
              </w:rPr>
              <w:t>)</w:t>
            </w:r>
          </w:p>
        </w:tc>
        <w:tc>
          <w:tcPr>
            <w:tcW w:w="1135" w:type="dxa"/>
            <w:vAlign w:val="center"/>
          </w:tcPr>
          <w:p w14:paraId="67F129DC">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0.170</w:t>
            </w:r>
          </w:p>
          <w:p w14:paraId="6922374E">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0.095</w:t>
            </w:r>
            <w:r>
              <w:rPr>
                <w:rFonts w:hint="eastAsia" w:ascii="Times New Roman" w:hAnsi="Times New Roman" w:eastAsia="宋体" w:cs="Times New Roman"/>
                <w:bCs/>
                <w:szCs w:val="21"/>
                <w:highlight w:val="none"/>
              </w:rPr>
              <w:t>)</w:t>
            </w:r>
          </w:p>
        </w:tc>
        <w:tc>
          <w:tcPr>
            <w:tcW w:w="1135" w:type="dxa"/>
            <w:vAlign w:val="center"/>
          </w:tcPr>
          <w:p w14:paraId="69FBEB59">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0.321</w:t>
            </w:r>
          </w:p>
          <w:p w14:paraId="329DB108">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-0.069)</w:t>
            </w:r>
          </w:p>
        </w:tc>
        <w:tc>
          <w:tcPr>
            <w:tcW w:w="1135" w:type="dxa"/>
            <w:vAlign w:val="center"/>
          </w:tcPr>
          <w:p w14:paraId="085BDAC4">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0.995</w:t>
            </w:r>
          </w:p>
          <w:p w14:paraId="3BDDC4DD">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0.000</w:t>
            </w:r>
            <w:r>
              <w:rPr>
                <w:rFonts w:hint="eastAsia" w:ascii="Times New Roman" w:hAnsi="Times New Roman" w:eastAsia="宋体" w:cs="Times New Roman"/>
                <w:bCs/>
                <w:szCs w:val="21"/>
                <w:highlight w:val="none"/>
              </w:rPr>
              <w:t>)</w:t>
            </w:r>
          </w:p>
        </w:tc>
      </w:tr>
      <w:tr w14:paraId="348CBBC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 w:hRule="atLeast"/>
        </w:trPr>
        <w:tc>
          <w:tcPr>
            <w:tcW w:w="1197" w:type="dxa"/>
            <w:vAlign w:val="center"/>
          </w:tcPr>
          <w:p w14:paraId="28F998C0">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Ⅳa</w:t>
            </w:r>
          </w:p>
        </w:tc>
        <w:tc>
          <w:tcPr>
            <w:tcW w:w="1227" w:type="dxa"/>
            <w:vAlign w:val="center"/>
          </w:tcPr>
          <w:p w14:paraId="3D6FF2D9">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0.069</w:t>
            </w:r>
          </w:p>
          <w:p w14:paraId="0A65BF9E">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(0.126)</w:t>
            </w:r>
          </w:p>
        </w:tc>
        <w:tc>
          <w:tcPr>
            <w:tcW w:w="1172" w:type="dxa"/>
            <w:vAlign w:val="center"/>
          </w:tcPr>
          <w:p w14:paraId="4AAA27B6">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0.011</w:t>
            </w:r>
          </w:p>
          <w:p w14:paraId="7C74B6E9">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(0.175)</w:t>
            </w:r>
          </w:p>
        </w:tc>
        <w:tc>
          <w:tcPr>
            <w:tcW w:w="1172" w:type="dxa"/>
            <w:vAlign w:val="center"/>
          </w:tcPr>
          <w:p w14:paraId="68A4E09B">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0.029</w:t>
            </w:r>
          </w:p>
          <w:p w14:paraId="2499F06C">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(0.151）</w:t>
            </w:r>
          </w:p>
        </w:tc>
        <w:tc>
          <w:tcPr>
            <w:tcW w:w="1172" w:type="dxa"/>
            <w:vAlign w:val="center"/>
          </w:tcPr>
          <w:p w14:paraId="6C537EED">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0.000</w:t>
            </w:r>
          </w:p>
          <w:p w14:paraId="40A928BD">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(0.370)</w:t>
            </w:r>
          </w:p>
        </w:tc>
        <w:tc>
          <w:tcPr>
            <w:tcW w:w="1173" w:type="dxa"/>
            <w:vAlign w:val="center"/>
          </w:tcPr>
          <w:p w14:paraId="0F70A3F8">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cs="Times New Roman"/>
                <w:szCs w:val="21"/>
                <w:highlight w:val="none"/>
              </w:rPr>
              <w:t>-</w:t>
            </w:r>
          </w:p>
        </w:tc>
        <w:tc>
          <w:tcPr>
            <w:tcW w:w="1173" w:type="dxa"/>
            <w:vAlign w:val="center"/>
          </w:tcPr>
          <w:p w14:paraId="7A964B71">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0.006</w:t>
            </w:r>
          </w:p>
          <w:p w14:paraId="756376D9">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0.188</w:t>
            </w:r>
            <w:r>
              <w:rPr>
                <w:rFonts w:hint="eastAsia" w:ascii="Times New Roman" w:hAnsi="Times New Roman" w:eastAsia="宋体" w:cs="Times New Roman"/>
                <w:bCs/>
                <w:szCs w:val="21"/>
                <w:highlight w:val="none"/>
              </w:rPr>
              <w:t>)</w:t>
            </w:r>
          </w:p>
        </w:tc>
        <w:tc>
          <w:tcPr>
            <w:tcW w:w="1173" w:type="dxa"/>
            <w:vAlign w:val="center"/>
          </w:tcPr>
          <w:p w14:paraId="663C2A09">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0.093</w:t>
            </w:r>
          </w:p>
          <w:p w14:paraId="2ADDFB94">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cs="Times New Roman"/>
                <w:szCs w:val="21"/>
                <w:highlight w:val="none"/>
              </w:rPr>
              <w:t>(0.117</w:t>
            </w:r>
            <w:r>
              <w:rPr>
                <w:rFonts w:hint="eastAsia" w:ascii="Times New Roman" w:hAnsi="Times New Roman" w:eastAsia="宋体" w:cs="Times New Roman"/>
                <w:bCs/>
                <w:szCs w:val="21"/>
                <w:highlight w:val="none"/>
              </w:rPr>
              <w:t>)</w:t>
            </w:r>
          </w:p>
        </w:tc>
        <w:tc>
          <w:tcPr>
            <w:tcW w:w="1173" w:type="dxa"/>
            <w:vAlign w:val="center"/>
          </w:tcPr>
          <w:p w14:paraId="26A9D922">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0.006</w:t>
            </w:r>
          </w:p>
          <w:p w14:paraId="3FA223AF">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0.190</w:t>
            </w:r>
            <w:r>
              <w:rPr>
                <w:rFonts w:hint="eastAsia" w:ascii="Times New Roman" w:hAnsi="Times New Roman" w:eastAsia="宋体" w:cs="Times New Roman"/>
                <w:bCs/>
                <w:szCs w:val="21"/>
                <w:highlight w:val="none"/>
              </w:rPr>
              <w:t>)</w:t>
            </w:r>
          </w:p>
        </w:tc>
        <w:tc>
          <w:tcPr>
            <w:tcW w:w="1135" w:type="dxa"/>
            <w:vAlign w:val="center"/>
          </w:tcPr>
          <w:p w14:paraId="6016A816">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0.003</w:t>
            </w:r>
          </w:p>
          <w:p w14:paraId="13CF724B">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0.203</w:t>
            </w:r>
            <w:r>
              <w:rPr>
                <w:rFonts w:hint="eastAsia" w:ascii="Times New Roman" w:hAnsi="Times New Roman" w:eastAsia="宋体" w:cs="Times New Roman"/>
                <w:bCs/>
                <w:szCs w:val="21"/>
                <w:highlight w:val="none"/>
              </w:rPr>
              <w:t>)</w:t>
            </w:r>
          </w:p>
        </w:tc>
        <w:tc>
          <w:tcPr>
            <w:tcW w:w="1135" w:type="dxa"/>
            <w:vAlign w:val="center"/>
          </w:tcPr>
          <w:p w14:paraId="6F9D7B5A">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0.019</w:t>
            </w:r>
          </w:p>
          <w:p w14:paraId="7267392F">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0.162</w:t>
            </w:r>
            <w:r>
              <w:rPr>
                <w:rFonts w:hint="eastAsia" w:ascii="Times New Roman" w:hAnsi="Times New Roman" w:eastAsia="宋体" w:cs="Times New Roman"/>
                <w:bCs/>
                <w:szCs w:val="21"/>
                <w:highlight w:val="none"/>
              </w:rPr>
              <w:t>)</w:t>
            </w:r>
          </w:p>
        </w:tc>
        <w:tc>
          <w:tcPr>
            <w:tcW w:w="1135" w:type="dxa"/>
            <w:vAlign w:val="center"/>
          </w:tcPr>
          <w:p w14:paraId="4156AFB9">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0.713</w:t>
            </w:r>
          </w:p>
          <w:p w14:paraId="3B891D14">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-0.026)</w:t>
            </w:r>
          </w:p>
        </w:tc>
        <w:tc>
          <w:tcPr>
            <w:tcW w:w="1135" w:type="dxa"/>
            <w:vAlign w:val="center"/>
          </w:tcPr>
          <w:p w14:paraId="5AF3E9B1">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0.097</w:t>
            </w:r>
          </w:p>
          <w:p w14:paraId="40C44333">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0.115</w:t>
            </w:r>
            <w:r>
              <w:rPr>
                <w:rFonts w:hint="eastAsia" w:ascii="Times New Roman" w:hAnsi="Times New Roman" w:eastAsia="宋体" w:cs="Times New Roman"/>
                <w:bCs/>
                <w:szCs w:val="21"/>
                <w:highlight w:val="none"/>
              </w:rPr>
              <w:t>)</w:t>
            </w:r>
          </w:p>
        </w:tc>
      </w:tr>
      <w:tr w14:paraId="77DBE19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 w:hRule="atLeast"/>
        </w:trPr>
        <w:tc>
          <w:tcPr>
            <w:tcW w:w="1197" w:type="dxa"/>
            <w:vAlign w:val="center"/>
          </w:tcPr>
          <w:p w14:paraId="160C37A1">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Ⅳb</w:t>
            </w:r>
          </w:p>
        </w:tc>
        <w:tc>
          <w:tcPr>
            <w:tcW w:w="1227" w:type="dxa"/>
            <w:vAlign w:val="center"/>
          </w:tcPr>
          <w:p w14:paraId="28293A3F">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0.782</w:t>
            </w:r>
          </w:p>
          <w:p w14:paraId="6DBEE4C4">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(-0.019)</w:t>
            </w:r>
          </w:p>
        </w:tc>
        <w:tc>
          <w:tcPr>
            <w:tcW w:w="1172" w:type="dxa"/>
            <w:vAlign w:val="center"/>
          </w:tcPr>
          <w:p w14:paraId="06AD4F28">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0.571</w:t>
            </w:r>
          </w:p>
          <w:p w14:paraId="4F5B25C5">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(0.039)</w:t>
            </w:r>
          </w:p>
        </w:tc>
        <w:tc>
          <w:tcPr>
            <w:tcW w:w="1172" w:type="dxa"/>
            <w:vAlign w:val="center"/>
          </w:tcPr>
          <w:p w14:paraId="3707C224">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0.683</w:t>
            </w:r>
          </w:p>
          <w:p w14:paraId="76C4C610">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(0.028）</w:t>
            </w:r>
          </w:p>
        </w:tc>
        <w:tc>
          <w:tcPr>
            <w:tcW w:w="1172" w:type="dxa"/>
            <w:vAlign w:val="center"/>
          </w:tcPr>
          <w:p w14:paraId="36381542">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0.316</w:t>
            </w:r>
          </w:p>
          <w:p w14:paraId="75EF494C">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(0.070)</w:t>
            </w:r>
          </w:p>
        </w:tc>
        <w:tc>
          <w:tcPr>
            <w:tcW w:w="1173" w:type="dxa"/>
            <w:vAlign w:val="center"/>
          </w:tcPr>
          <w:p w14:paraId="6C9C5C40">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0.006</w:t>
            </w:r>
          </w:p>
          <w:p w14:paraId="4833D271">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0.188</w:t>
            </w:r>
            <w:r>
              <w:rPr>
                <w:rFonts w:hint="eastAsia" w:ascii="Times New Roman" w:hAnsi="Times New Roman" w:eastAsia="宋体" w:cs="Times New Roman"/>
                <w:bCs/>
                <w:szCs w:val="21"/>
                <w:highlight w:val="none"/>
              </w:rPr>
              <w:t>)</w:t>
            </w:r>
          </w:p>
        </w:tc>
        <w:tc>
          <w:tcPr>
            <w:tcW w:w="1173" w:type="dxa"/>
            <w:vAlign w:val="center"/>
          </w:tcPr>
          <w:p w14:paraId="5B8EAFDA">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cs="Times New Roman"/>
                <w:szCs w:val="21"/>
                <w:highlight w:val="none"/>
              </w:rPr>
              <w:t>-</w:t>
            </w:r>
          </w:p>
        </w:tc>
        <w:tc>
          <w:tcPr>
            <w:tcW w:w="1173" w:type="dxa"/>
            <w:vAlign w:val="center"/>
          </w:tcPr>
          <w:p w14:paraId="38A3B926">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0.037</w:t>
            </w:r>
          </w:p>
          <w:p w14:paraId="762AF063">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cs="Times New Roman"/>
                <w:szCs w:val="21"/>
                <w:highlight w:val="none"/>
              </w:rPr>
              <w:t>(0.145</w:t>
            </w:r>
            <w:r>
              <w:rPr>
                <w:rFonts w:hint="eastAsia" w:ascii="Times New Roman" w:hAnsi="Times New Roman" w:eastAsia="宋体" w:cs="Times New Roman"/>
                <w:bCs/>
                <w:szCs w:val="21"/>
                <w:highlight w:val="none"/>
              </w:rPr>
              <w:t>)</w:t>
            </w:r>
          </w:p>
        </w:tc>
        <w:tc>
          <w:tcPr>
            <w:tcW w:w="1173" w:type="dxa"/>
            <w:vAlign w:val="center"/>
          </w:tcPr>
          <w:p w14:paraId="429FAB07">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0.000</w:t>
            </w:r>
          </w:p>
          <w:p w14:paraId="0AB2A84A">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0.309</w:t>
            </w:r>
            <w:r>
              <w:rPr>
                <w:rFonts w:hint="eastAsia" w:ascii="Times New Roman" w:hAnsi="Times New Roman" w:eastAsia="宋体" w:cs="Times New Roman"/>
                <w:bCs/>
                <w:szCs w:val="21"/>
                <w:highlight w:val="none"/>
              </w:rPr>
              <w:t>)</w:t>
            </w:r>
          </w:p>
        </w:tc>
        <w:tc>
          <w:tcPr>
            <w:tcW w:w="1135" w:type="dxa"/>
            <w:vAlign w:val="center"/>
          </w:tcPr>
          <w:p w14:paraId="5392DB67">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0.904</w:t>
            </w:r>
          </w:p>
          <w:p w14:paraId="471473E2">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-0.008</w:t>
            </w:r>
            <w:r>
              <w:rPr>
                <w:rFonts w:hint="eastAsia" w:ascii="Times New Roman" w:hAnsi="Times New Roman" w:eastAsia="宋体" w:cs="Times New Roman"/>
                <w:bCs/>
                <w:szCs w:val="21"/>
                <w:highlight w:val="none"/>
              </w:rPr>
              <w:t>)</w:t>
            </w:r>
          </w:p>
        </w:tc>
        <w:tc>
          <w:tcPr>
            <w:tcW w:w="1135" w:type="dxa"/>
            <w:vAlign w:val="center"/>
          </w:tcPr>
          <w:p w14:paraId="701E3F99">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0.442</w:t>
            </w:r>
          </w:p>
          <w:p w14:paraId="79927C01">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0.054</w:t>
            </w:r>
            <w:r>
              <w:rPr>
                <w:rFonts w:hint="eastAsia" w:ascii="Times New Roman" w:hAnsi="Times New Roman" w:eastAsia="宋体" w:cs="Times New Roman"/>
                <w:bCs/>
                <w:szCs w:val="21"/>
                <w:highlight w:val="none"/>
              </w:rPr>
              <w:t>)</w:t>
            </w:r>
          </w:p>
        </w:tc>
        <w:tc>
          <w:tcPr>
            <w:tcW w:w="1135" w:type="dxa"/>
            <w:vAlign w:val="center"/>
          </w:tcPr>
          <w:p w14:paraId="3B3DED77">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0.945</w:t>
            </w:r>
          </w:p>
          <w:p w14:paraId="66BA703C">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-0.005</w:t>
            </w:r>
            <w:r>
              <w:rPr>
                <w:rFonts w:hint="eastAsia" w:ascii="Times New Roman" w:hAnsi="Times New Roman" w:eastAsia="宋体" w:cs="Times New Roman"/>
                <w:bCs/>
                <w:szCs w:val="21"/>
                <w:highlight w:val="none"/>
              </w:rPr>
              <w:t>)</w:t>
            </w:r>
          </w:p>
        </w:tc>
        <w:tc>
          <w:tcPr>
            <w:tcW w:w="1135" w:type="dxa"/>
            <w:vAlign w:val="center"/>
          </w:tcPr>
          <w:p w14:paraId="56D3B276">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0.922</w:t>
            </w:r>
          </w:p>
          <w:p w14:paraId="379F9688">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-0.007)</w:t>
            </w:r>
          </w:p>
        </w:tc>
      </w:tr>
      <w:tr w14:paraId="68C4D00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1197" w:type="dxa"/>
            <w:vAlign w:val="center"/>
          </w:tcPr>
          <w:p w14:paraId="496B51B9">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Ⅴa</w:t>
            </w:r>
          </w:p>
        </w:tc>
        <w:tc>
          <w:tcPr>
            <w:tcW w:w="1227" w:type="dxa"/>
            <w:vAlign w:val="center"/>
          </w:tcPr>
          <w:p w14:paraId="60E6D678">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0.004</w:t>
            </w:r>
          </w:p>
          <w:p w14:paraId="352B12A1">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(0.200)</w:t>
            </w:r>
          </w:p>
        </w:tc>
        <w:tc>
          <w:tcPr>
            <w:tcW w:w="1172" w:type="dxa"/>
            <w:vAlign w:val="center"/>
          </w:tcPr>
          <w:p w14:paraId="6E0ECAEF">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0.062</w:t>
            </w:r>
          </w:p>
          <w:p w14:paraId="50767DF5">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(0.129)</w:t>
            </w:r>
          </w:p>
        </w:tc>
        <w:tc>
          <w:tcPr>
            <w:tcW w:w="1172" w:type="dxa"/>
            <w:vAlign w:val="center"/>
          </w:tcPr>
          <w:p w14:paraId="7BDF7392">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0.020</w:t>
            </w:r>
          </w:p>
          <w:p w14:paraId="6CCB072E">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(0.161）</w:t>
            </w:r>
          </w:p>
        </w:tc>
        <w:tc>
          <w:tcPr>
            <w:tcW w:w="1172" w:type="dxa"/>
            <w:vAlign w:val="center"/>
          </w:tcPr>
          <w:p w14:paraId="0181C626">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0.000</w:t>
            </w:r>
          </w:p>
          <w:p w14:paraId="43DF4E1F">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(0.309)</w:t>
            </w:r>
          </w:p>
        </w:tc>
        <w:tc>
          <w:tcPr>
            <w:tcW w:w="1173" w:type="dxa"/>
            <w:vAlign w:val="center"/>
          </w:tcPr>
          <w:p w14:paraId="0F7F0C91">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0.000</w:t>
            </w:r>
          </w:p>
          <w:p w14:paraId="03F9E905">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0.429</w:t>
            </w:r>
            <w:r>
              <w:rPr>
                <w:rFonts w:hint="eastAsia" w:ascii="Times New Roman" w:hAnsi="Times New Roman" w:eastAsia="宋体" w:cs="Times New Roman"/>
                <w:bCs/>
                <w:szCs w:val="21"/>
                <w:highlight w:val="none"/>
              </w:rPr>
              <w:t>)</w:t>
            </w:r>
          </w:p>
        </w:tc>
        <w:tc>
          <w:tcPr>
            <w:tcW w:w="1173" w:type="dxa"/>
            <w:vAlign w:val="center"/>
          </w:tcPr>
          <w:p w14:paraId="390B8EB1">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0.037</w:t>
            </w:r>
          </w:p>
          <w:p w14:paraId="0844FACC">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0.145</w:t>
            </w:r>
            <w:r>
              <w:rPr>
                <w:rFonts w:hint="eastAsia" w:ascii="Times New Roman" w:hAnsi="Times New Roman" w:eastAsia="宋体" w:cs="Times New Roman"/>
                <w:bCs/>
                <w:szCs w:val="21"/>
                <w:highlight w:val="none"/>
              </w:rPr>
              <w:t>)</w:t>
            </w:r>
          </w:p>
        </w:tc>
        <w:tc>
          <w:tcPr>
            <w:tcW w:w="1173" w:type="dxa"/>
            <w:vAlign w:val="center"/>
          </w:tcPr>
          <w:p w14:paraId="203C5868">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cs="Times New Roman"/>
                <w:szCs w:val="21"/>
                <w:highlight w:val="none"/>
              </w:rPr>
              <w:t>-</w:t>
            </w:r>
          </w:p>
        </w:tc>
        <w:tc>
          <w:tcPr>
            <w:tcW w:w="1173" w:type="dxa"/>
            <w:vAlign w:val="center"/>
          </w:tcPr>
          <w:p w14:paraId="45224E36">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0.000</w:t>
            </w:r>
          </w:p>
          <w:p w14:paraId="1F312349">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0.410</w:t>
            </w:r>
            <w:r>
              <w:rPr>
                <w:rFonts w:hint="eastAsia" w:ascii="Times New Roman" w:hAnsi="Times New Roman" w:eastAsia="宋体" w:cs="Times New Roman"/>
                <w:bCs/>
                <w:szCs w:val="21"/>
                <w:highlight w:val="none"/>
              </w:rPr>
              <w:t>)</w:t>
            </w:r>
          </w:p>
        </w:tc>
        <w:tc>
          <w:tcPr>
            <w:tcW w:w="1135" w:type="dxa"/>
            <w:vAlign w:val="center"/>
          </w:tcPr>
          <w:p w14:paraId="249CCB11">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0.032</w:t>
            </w:r>
          </w:p>
          <w:p w14:paraId="1EE9D97E">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0.149</w:t>
            </w:r>
            <w:r>
              <w:rPr>
                <w:rFonts w:hint="eastAsia" w:ascii="Times New Roman" w:hAnsi="Times New Roman" w:eastAsia="宋体" w:cs="Times New Roman"/>
                <w:bCs/>
                <w:szCs w:val="21"/>
                <w:highlight w:val="none"/>
              </w:rPr>
              <w:t>)</w:t>
            </w:r>
          </w:p>
        </w:tc>
        <w:tc>
          <w:tcPr>
            <w:tcW w:w="1135" w:type="dxa"/>
            <w:vAlign w:val="center"/>
          </w:tcPr>
          <w:p w14:paraId="664498F3">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0.000</w:t>
            </w:r>
          </w:p>
          <w:p w14:paraId="7D7C14AE">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0.268</w:t>
            </w:r>
            <w:r>
              <w:rPr>
                <w:rFonts w:hint="eastAsia" w:ascii="Times New Roman" w:hAnsi="Times New Roman" w:eastAsia="宋体" w:cs="Times New Roman"/>
                <w:bCs/>
                <w:szCs w:val="21"/>
                <w:highlight w:val="none"/>
              </w:rPr>
              <w:t>)</w:t>
            </w:r>
          </w:p>
        </w:tc>
        <w:tc>
          <w:tcPr>
            <w:tcW w:w="1135" w:type="dxa"/>
            <w:vAlign w:val="center"/>
          </w:tcPr>
          <w:p w14:paraId="6CD37304">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0.037</w:t>
            </w:r>
          </w:p>
          <w:p w14:paraId="12A7C97C">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0.145</w:t>
            </w:r>
            <w:r>
              <w:rPr>
                <w:rFonts w:hint="eastAsia" w:ascii="Times New Roman" w:hAnsi="Times New Roman" w:eastAsia="宋体" w:cs="Times New Roman"/>
                <w:bCs/>
                <w:szCs w:val="21"/>
                <w:highlight w:val="none"/>
              </w:rPr>
              <w:t>)</w:t>
            </w:r>
          </w:p>
        </w:tc>
        <w:tc>
          <w:tcPr>
            <w:tcW w:w="1135" w:type="dxa"/>
            <w:vAlign w:val="center"/>
          </w:tcPr>
          <w:p w14:paraId="476DB81B">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0.003</w:t>
            </w:r>
          </w:p>
          <w:p w14:paraId="495DA0F1">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0.205</w:t>
            </w:r>
            <w:r>
              <w:rPr>
                <w:rFonts w:hint="eastAsia" w:ascii="Times New Roman" w:hAnsi="Times New Roman" w:eastAsia="宋体" w:cs="Times New Roman"/>
                <w:bCs/>
                <w:szCs w:val="21"/>
                <w:highlight w:val="none"/>
              </w:rPr>
              <w:t>)</w:t>
            </w:r>
          </w:p>
        </w:tc>
      </w:tr>
      <w:tr w14:paraId="112FED4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 w:hRule="atLeast"/>
        </w:trPr>
        <w:tc>
          <w:tcPr>
            <w:tcW w:w="1197" w:type="dxa"/>
            <w:vAlign w:val="center"/>
          </w:tcPr>
          <w:p w14:paraId="616CA0E9">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Ⅴb</w:t>
            </w:r>
          </w:p>
        </w:tc>
        <w:tc>
          <w:tcPr>
            <w:tcW w:w="1227" w:type="dxa"/>
            <w:vAlign w:val="center"/>
          </w:tcPr>
          <w:p w14:paraId="0FA45D87">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0.108</w:t>
            </w:r>
          </w:p>
          <w:p w14:paraId="1F65EFBA">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(0.111)</w:t>
            </w:r>
          </w:p>
        </w:tc>
        <w:tc>
          <w:tcPr>
            <w:tcW w:w="1172" w:type="dxa"/>
            <w:vAlign w:val="center"/>
          </w:tcPr>
          <w:p w14:paraId="5E314699">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0.741</w:t>
            </w:r>
          </w:p>
          <w:p w14:paraId="24AA6752">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(0.023)</w:t>
            </w:r>
          </w:p>
        </w:tc>
        <w:tc>
          <w:tcPr>
            <w:tcW w:w="1172" w:type="dxa"/>
            <w:vAlign w:val="center"/>
          </w:tcPr>
          <w:p w14:paraId="1A8205FD">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0.689</w:t>
            </w:r>
          </w:p>
          <w:p w14:paraId="384A89D5">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(0.028）</w:t>
            </w:r>
          </w:p>
        </w:tc>
        <w:tc>
          <w:tcPr>
            <w:tcW w:w="1172" w:type="dxa"/>
            <w:vAlign w:val="center"/>
          </w:tcPr>
          <w:p w14:paraId="7A1CC1F7">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0.050</w:t>
            </w:r>
          </w:p>
          <w:p w14:paraId="1E969070">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(0.136)</w:t>
            </w:r>
          </w:p>
        </w:tc>
        <w:tc>
          <w:tcPr>
            <w:tcW w:w="1173" w:type="dxa"/>
            <w:vAlign w:val="center"/>
          </w:tcPr>
          <w:p w14:paraId="13C97497">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0.000</w:t>
            </w:r>
          </w:p>
          <w:p w14:paraId="62642848">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0.332</w:t>
            </w:r>
            <w:r>
              <w:rPr>
                <w:rFonts w:hint="eastAsia" w:ascii="Times New Roman" w:hAnsi="Times New Roman" w:eastAsia="宋体" w:cs="Times New Roman"/>
                <w:bCs/>
                <w:szCs w:val="21"/>
                <w:highlight w:val="none"/>
              </w:rPr>
              <w:t>)</w:t>
            </w:r>
          </w:p>
        </w:tc>
        <w:tc>
          <w:tcPr>
            <w:tcW w:w="1173" w:type="dxa"/>
            <w:vAlign w:val="center"/>
          </w:tcPr>
          <w:p w14:paraId="0269B127">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0.000</w:t>
            </w:r>
          </w:p>
          <w:p w14:paraId="5818788D">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0.309</w:t>
            </w:r>
            <w:r>
              <w:rPr>
                <w:rFonts w:hint="eastAsia" w:ascii="Times New Roman" w:hAnsi="Times New Roman" w:eastAsia="宋体" w:cs="Times New Roman"/>
                <w:bCs/>
                <w:szCs w:val="21"/>
                <w:highlight w:val="none"/>
              </w:rPr>
              <w:t>)</w:t>
            </w:r>
          </w:p>
        </w:tc>
        <w:tc>
          <w:tcPr>
            <w:tcW w:w="1173" w:type="dxa"/>
            <w:vAlign w:val="center"/>
          </w:tcPr>
          <w:p w14:paraId="5AA7FBC4">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0.000</w:t>
            </w:r>
          </w:p>
          <w:p w14:paraId="30B3B74A">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cs="Times New Roman"/>
                <w:szCs w:val="21"/>
                <w:highlight w:val="none"/>
              </w:rPr>
              <w:t>(0.410</w:t>
            </w:r>
            <w:r>
              <w:rPr>
                <w:rFonts w:hint="eastAsia" w:ascii="Times New Roman" w:hAnsi="Times New Roman" w:eastAsia="宋体" w:cs="Times New Roman"/>
                <w:bCs/>
                <w:szCs w:val="21"/>
                <w:highlight w:val="none"/>
              </w:rPr>
              <w:t>)</w:t>
            </w:r>
          </w:p>
        </w:tc>
        <w:tc>
          <w:tcPr>
            <w:tcW w:w="1173" w:type="dxa"/>
            <w:vAlign w:val="center"/>
          </w:tcPr>
          <w:p w14:paraId="592FB13D">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cs="Times New Roman"/>
                <w:szCs w:val="21"/>
                <w:highlight w:val="none"/>
              </w:rPr>
              <w:t>-</w:t>
            </w:r>
          </w:p>
        </w:tc>
        <w:tc>
          <w:tcPr>
            <w:tcW w:w="1135" w:type="dxa"/>
            <w:vAlign w:val="center"/>
          </w:tcPr>
          <w:p w14:paraId="5DB22952">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0.000</w:t>
            </w:r>
          </w:p>
          <w:p w14:paraId="7A91877C">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0.350</w:t>
            </w:r>
            <w:r>
              <w:rPr>
                <w:rFonts w:hint="eastAsia" w:ascii="Times New Roman" w:hAnsi="Times New Roman" w:eastAsia="宋体" w:cs="Times New Roman"/>
                <w:bCs/>
                <w:szCs w:val="21"/>
                <w:highlight w:val="none"/>
              </w:rPr>
              <w:t>)</w:t>
            </w:r>
          </w:p>
        </w:tc>
        <w:tc>
          <w:tcPr>
            <w:tcW w:w="1135" w:type="dxa"/>
            <w:vAlign w:val="center"/>
          </w:tcPr>
          <w:p w14:paraId="35DC60EB">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0.068</w:t>
            </w:r>
          </w:p>
          <w:p w14:paraId="54139AE0">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0.127</w:t>
            </w:r>
            <w:r>
              <w:rPr>
                <w:rFonts w:hint="eastAsia" w:ascii="Times New Roman" w:hAnsi="Times New Roman" w:eastAsia="宋体" w:cs="Times New Roman"/>
                <w:bCs/>
                <w:szCs w:val="21"/>
                <w:highlight w:val="none"/>
              </w:rPr>
              <w:t>)</w:t>
            </w:r>
          </w:p>
        </w:tc>
        <w:tc>
          <w:tcPr>
            <w:tcW w:w="1135" w:type="dxa"/>
            <w:vAlign w:val="center"/>
          </w:tcPr>
          <w:p w14:paraId="6D9C3376">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0.823</w:t>
            </w:r>
          </w:p>
          <w:p w14:paraId="19243EC4">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-0.016)</w:t>
            </w:r>
          </w:p>
        </w:tc>
        <w:tc>
          <w:tcPr>
            <w:tcW w:w="1135" w:type="dxa"/>
            <w:vAlign w:val="center"/>
          </w:tcPr>
          <w:p w14:paraId="1BC539B7">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0.751</w:t>
            </w:r>
          </w:p>
          <w:p w14:paraId="5C48DF55">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-0.022)</w:t>
            </w:r>
          </w:p>
        </w:tc>
      </w:tr>
      <w:tr w14:paraId="3E57EC9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 w:hRule="atLeast"/>
        </w:trPr>
        <w:tc>
          <w:tcPr>
            <w:tcW w:w="1197" w:type="dxa"/>
            <w:vAlign w:val="center"/>
          </w:tcPr>
          <w:p w14:paraId="76AEBFC4">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Ⅴc</w:t>
            </w:r>
          </w:p>
        </w:tc>
        <w:tc>
          <w:tcPr>
            <w:tcW w:w="1227" w:type="dxa"/>
            <w:vAlign w:val="center"/>
          </w:tcPr>
          <w:p w14:paraId="328E6734">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0.078</w:t>
            </w:r>
          </w:p>
          <w:p w14:paraId="28FFAF86">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(0.122)</w:t>
            </w:r>
          </w:p>
        </w:tc>
        <w:tc>
          <w:tcPr>
            <w:tcW w:w="1172" w:type="dxa"/>
            <w:vAlign w:val="center"/>
          </w:tcPr>
          <w:p w14:paraId="63D0725F">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0.324</w:t>
            </w:r>
          </w:p>
          <w:p w14:paraId="73FD821E">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(0.069)</w:t>
            </w:r>
          </w:p>
        </w:tc>
        <w:tc>
          <w:tcPr>
            <w:tcW w:w="1172" w:type="dxa"/>
            <w:vAlign w:val="center"/>
          </w:tcPr>
          <w:p w14:paraId="5137530F">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0.477</w:t>
            </w:r>
          </w:p>
          <w:p w14:paraId="5F759BF4">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(0.049）</w:t>
            </w:r>
          </w:p>
        </w:tc>
        <w:tc>
          <w:tcPr>
            <w:tcW w:w="1172" w:type="dxa"/>
            <w:vAlign w:val="center"/>
          </w:tcPr>
          <w:p w14:paraId="6319808E">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0.080</w:t>
            </w:r>
          </w:p>
          <w:p w14:paraId="3DECBE93">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(0.121)</w:t>
            </w:r>
          </w:p>
        </w:tc>
        <w:tc>
          <w:tcPr>
            <w:tcW w:w="1173" w:type="dxa"/>
            <w:vAlign w:val="center"/>
          </w:tcPr>
          <w:p w14:paraId="0481D1EE">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0.003</w:t>
            </w:r>
          </w:p>
          <w:p w14:paraId="033178C1">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0.203</w:t>
            </w:r>
            <w:r>
              <w:rPr>
                <w:rFonts w:hint="eastAsia" w:ascii="Times New Roman" w:hAnsi="Times New Roman" w:eastAsia="宋体" w:cs="Times New Roman"/>
                <w:bCs/>
                <w:szCs w:val="21"/>
                <w:highlight w:val="none"/>
              </w:rPr>
              <w:t>)</w:t>
            </w:r>
          </w:p>
        </w:tc>
        <w:tc>
          <w:tcPr>
            <w:tcW w:w="1173" w:type="dxa"/>
            <w:vAlign w:val="center"/>
          </w:tcPr>
          <w:p w14:paraId="0C3B4533">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0.904</w:t>
            </w:r>
          </w:p>
          <w:p w14:paraId="449A4871">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cs="Times New Roman"/>
                <w:szCs w:val="21"/>
                <w:highlight w:val="none"/>
              </w:rPr>
              <w:t>(-0.008</w:t>
            </w:r>
            <w:r>
              <w:rPr>
                <w:rFonts w:hint="eastAsia" w:ascii="Times New Roman" w:hAnsi="Times New Roman" w:eastAsia="宋体" w:cs="Times New Roman"/>
                <w:bCs/>
                <w:szCs w:val="21"/>
                <w:highlight w:val="none"/>
              </w:rPr>
              <w:t>)</w:t>
            </w:r>
          </w:p>
        </w:tc>
        <w:tc>
          <w:tcPr>
            <w:tcW w:w="1173" w:type="dxa"/>
            <w:vAlign w:val="center"/>
          </w:tcPr>
          <w:p w14:paraId="354B72C9">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0.032</w:t>
            </w:r>
          </w:p>
          <w:p w14:paraId="72DBDEF5">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cs="Times New Roman"/>
                <w:szCs w:val="21"/>
                <w:highlight w:val="none"/>
              </w:rPr>
              <w:t>(0.149</w:t>
            </w:r>
            <w:r>
              <w:rPr>
                <w:rFonts w:hint="eastAsia" w:ascii="Times New Roman" w:hAnsi="Times New Roman" w:eastAsia="宋体" w:cs="Times New Roman"/>
                <w:bCs/>
                <w:szCs w:val="21"/>
                <w:highlight w:val="none"/>
              </w:rPr>
              <w:t>)</w:t>
            </w:r>
          </w:p>
        </w:tc>
        <w:tc>
          <w:tcPr>
            <w:tcW w:w="1173" w:type="dxa"/>
            <w:vAlign w:val="center"/>
          </w:tcPr>
          <w:p w14:paraId="1ADD4C60">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0.000</w:t>
            </w:r>
          </w:p>
          <w:p w14:paraId="0180E94E">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0.350</w:t>
            </w:r>
            <w:r>
              <w:rPr>
                <w:rFonts w:hint="eastAsia" w:ascii="Times New Roman" w:hAnsi="Times New Roman" w:eastAsia="宋体" w:cs="Times New Roman"/>
                <w:bCs/>
                <w:szCs w:val="21"/>
                <w:highlight w:val="none"/>
              </w:rPr>
              <w:t>)</w:t>
            </w:r>
          </w:p>
        </w:tc>
        <w:tc>
          <w:tcPr>
            <w:tcW w:w="1135" w:type="dxa"/>
            <w:vAlign w:val="center"/>
          </w:tcPr>
          <w:p w14:paraId="090C267D">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w:t>
            </w:r>
          </w:p>
        </w:tc>
        <w:tc>
          <w:tcPr>
            <w:tcW w:w="1135" w:type="dxa"/>
            <w:vAlign w:val="center"/>
          </w:tcPr>
          <w:p w14:paraId="4057835E">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0.180</w:t>
            </w:r>
          </w:p>
          <w:p w14:paraId="419EF081">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0.093</w:t>
            </w:r>
            <w:r>
              <w:rPr>
                <w:rFonts w:hint="eastAsia" w:ascii="Times New Roman" w:hAnsi="Times New Roman" w:eastAsia="宋体" w:cs="Times New Roman"/>
                <w:bCs/>
                <w:szCs w:val="21"/>
                <w:highlight w:val="none"/>
              </w:rPr>
              <w:t>)</w:t>
            </w:r>
          </w:p>
        </w:tc>
        <w:tc>
          <w:tcPr>
            <w:tcW w:w="1135" w:type="dxa"/>
            <w:vAlign w:val="center"/>
          </w:tcPr>
          <w:p w14:paraId="50CD5A77">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0.904</w:t>
            </w:r>
          </w:p>
          <w:p w14:paraId="78DD6250">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-0.008)</w:t>
            </w:r>
          </w:p>
        </w:tc>
        <w:tc>
          <w:tcPr>
            <w:tcW w:w="1135" w:type="dxa"/>
            <w:vAlign w:val="center"/>
          </w:tcPr>
          <w:p w14:paraId="2B67EDC0">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0.865</w:t>
            </w:r>
          </w:p>
          <w:p w14:paraId="61E58146">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-0.012)</w:t>
            </w:r>
          </w:p>
        </w:tc>
      </w:tr>
      <w:tr w14:paraId="5DFB846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1197" w:type="dxa"/>
            <w:vAlign w:val="center"/>
          </w:tcPr>
          <w:p w14:paraId="4E1B1E03">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Ⅶa</w:t>
            </w:r>
          </w:p>
        </w:tc>
        <w:tc>
          <w:tcPr>
            <w:tcW w:w="1227" w:type="dxa"/>
            <w:vAlign w:val="center"/>
          </w:tcPr>
          <w:p w14:paraId="3F4CCB75">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0.378</w:t>
            </w:r>
          </w:p>
          <w:p w14:paraId="015B40CB">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(0.061)</w:t>
            </w:r>
          </w:p>
        </w:tc>
        <w:tc>
          <w:tcPr>
            <w:tcW w:w="1172" w:type="dxa"/>
            <w:vAlign w:val="center"/>
          </w:tcPr>
          <w:p w14:paraId="156AC6A8">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0.749</w:t>
            </w:r>
          </w:p>
          <w:p w14:paraId="24D16E36">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(0.022)</w:t>
            </w:r>
          </w:p>
        </w:tc>
        <w:tc>
          <w:tcPr>
            <w:tcW w:w="1172" w:type="dxa"/>
            <w:vAlign w:val="center"/>
          </w:tcPr>
          <w:p w14:paraId="26489DF5">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0.937</w:t>
            </w:r>
          </w:p>
          <w:p w14:paraId="117DC585">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(-0.006）</w:t>
            </w:r>
          </w:p>
        </w:tc>
        <w:tc>
          <w:tcPr>
            <w:tcW w:w="1172" w:type="dxa"/>
            <w:vAlign w:val="center"/>
          </w:tcPr>
          <w:p w14:paraId="434B5B2A">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0.170</w:t>
            </w:r>
          </w:p>
          <w:p w14:paraId="210F2B44">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(0.095)</w:t>
            </w:r>
          </w:p>
        </w:tc>
        <w:tc>
          <w:tcPr>
            <w:tcW w:w="1173" w:type="dxa"/>
            <w:vAlign w:val="center"/>
          </w:tcPr>
          <w:p w14:paraId="1BAF07C2">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0.019</w:t>
            </w:r>
          </w:p>
          <w:p w14:paraId="381D1894">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0.162</w:t>
            </w:r>
            <w:r>
              <w:rPr>
                <w:rFonts w:hint="eastAsia" w:ascii="Times New Roman" w:hAnsi="Times New Roman" w:eastAsia="宋体" w:cs="Times New Roman"/>
                <w:bCs/>
                <w:szCs w:val="21"/>
                <w:highlight w:val="none"/>
              </w:rPr>
              <w:t>)</w:t>
            </w:r>
          </w:p>
        </w:tc>
        <w:tc>
          <w:tcPr>
            <w:tcW w:w="1173" w:type="dxa"/>
            <w:vAlign w:val="center"/>
          </w:tcPr>
          <w:p w14:paraId="62498775">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0.442</w:t>
            </w:r>
          </w:p>
          <w:p w14:paraId="5E797B4C">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0.054</w:t>
            </w:r>
            <w:r>
              <w:rPr>
                <w:rFonts w:hint="eastAsia" w:ascii="Times New Roman" w:hAnsi="Times New Roman" w:eastAsia="宋体" w:cs="Times New Roman"/>
                <w:bCs/>
                <w:szCs w:val="21"/>
                <w:highlight w:val="none"/>
              </w:rPr>
              <w:t>)</w:t>
            </w:r>
          </w:p>
        </w:tc>
        <w:tc>
          <w:tcPr>
            <w:tcW w:w="1173" w:type="dxa"/>
            <w:vAlign w:val="center"/>
          </w:tcPr>
          <w:p w14:paraId="13E85E5B">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0.000</w:t>
            </w:r>
          </w:p>
          <w:p w14:paraId="7DF5AD1B">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cs="Times New Roman"/>
                <w:szCs w:val="21"/>
                <w:highlight w:val="none"/>
              </w:rPr>
              <w:t>(0.268</w:t>
            </w:r>
            <w:r>
              <w:rPr>
                <w:rFonts w:hint="eastAsia" w:ascii="Times New Roman" w:hAnsi="Times New Roman" w:eastAsia="宋体" w:cs="Times New Roman"/>
                <w:bCs/>
                <w:szCs w:val="21"/>
                <w:highlight w:val="none"/>
              </w:rPr>
              <w:t>)</w:t>
            </w:r>
          </w:p>
        </w:tc>
        <w:tc>
          <w:tcPr>
            <w:tcW w:w="1173" w:type="dxa"/>
            <w:vAlign w:val="center"/>
          </w:tcPr>
          <w:p w14:paraId="123AE5C0">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0.068</w:t>
            </w:r>
          </w:p>
          <w:p w14:paraId="422F8E29">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0.127</w:t>
            </w:r>
            <w:r>
              <w:rPr>
                <w:rFonts w:hint="eastAsia" w:ascii="Times New Roman" w:hAnsi="Times New Roman" w:eastAsia="宋体" w:cs="Times New Roman"/>
                <w:bCs/>
                <w:szCs w:val="21"/>
                <w:highlight w:val="none"/>
              </w:rPr>
              <w:t>)</w:t>
            </w:r>
          </w:p>
        </w:tc>
        <w:tc>
          <w:tcPr>
            <w:tcW w:w="1135" w:type="dxa"/>
            <w:vAlign w:val="center"/>
          </w:tcPr>
          <w:p w14:paraId="76439DD4">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0.180</w:t>
            </w:r>
          </w:p>
          <w:p w14:paraId="0A945883">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0.093</w:t>
            </w:r>
            <w:r>
              <w:rPr>
                <w:rFonts w:hint="eastAsia" w:ascii="Times New Roman" w:hAnsi="Times New Roman" w:eastAsia="宋体" w:cs="Times New Roman"/>
                <w:bCs/>
                <w:szCs w:val="21"/>
                <w:highlight w:val="none"/>
              </w:rPr>
              <w:t>)</w:t>
            </w:r>
          </w:p>
        </w:tc>
        <w:tc>
          <w:tcPr>
            <w:tcW w:w="1135" w:type="dxa"/>
            <w:vAlign w:val="center"/>
          </w:tcPr>
          <w:p w14:paraId="2AEBC273">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w:t>
            </w:r>
          </w:p>
        </w:tc>
        <w:tc>
          <w:tcPr>
            <w:tcW w:w="1135" w:type="dxa"/>
            <w:vAlign w:val="center"/>
          </w:tcPr>
          <w:p w14:paraId="4B5C1793">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0.442</w:t>
            </w:r>
          </w:p>
          <w:p w14:paraId="1B04FE8F">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0.054</w:t>
            </w:r>
            <w:r>
              <w:rPr>
                <w:rFonts w:hint="eastAsia" w:ascii="Times New Roman" w:hAnsi="Times New Roman" w:eastAsia="宋体" w:cs="Times New Roman"/>
                <w:bCs/>
                <w:szCs w:val="21"/>
                <w:highlight w:val="none"/>
              </w:rPr>
              <w:t>)</w:t>
            </w:r>
          </w:p>
        </w:tc>
        <w:tc>
          <w:tcPr>
            <w:tcW w:w="1135" w:type="dxa"/>
            <w:vAlign w:val="center"/>
          </w:tcPr>
          <w:p w14:paraId="4DA27CA5">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0.275</w:t>
            </w:r>
          </w:p>
          <w:p w14:paraId="786EEFC4">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-0.019)</w:t>
            </w:r>
          </w:p>
        </w:tc>
      </w:tr>
      <w:tr w14:paraId="7505060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 w:hRule="atLeast"/>
        </w:trPr>
        <w:tc>
          <w:tcPr>
            <w:tcW w:w="1197" w:type="dxa"/>
            <w:vAlign w:val="center"/>
          </w:tcPr>
          <w:p w14:paraId="1513BB40">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Ⅶb</w:t>
            </w:r>
          </w:p>
        </w:tc>
        <w:tc>
          <w:tcPr>
            <w:tcW w:w="1227" w:type="dxa"/>
            <w:vAlign w:val="center"/>
          </w:tcPr>
          <w:p w14:paraId="2115A59C">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0.782</w:t>
            </w:r>
          </w:p>
          <w:p w14:paraId="3103553A">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(-0.019)</w:t>
            </w:r>
          </w:p>
        </w:tc>
        <w:tc>
          <w:tcPr>
            <w:tcW w:w="1172" w:type="dxa"/>
            <w:vAlign w:val="center"/>
          </w:tcPr>
          <w:p w14:paraId="02474A4F">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0.571</w:t>
            </w:r>
          </w:p>
          <w:p w14:paraId="67E956C7">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(0.039)</w:t>
            </w:r>
          </w:p>
        </w:tc>
        <w:tc>
          <w:tcPr>
            <w:tcW w:w="1172" w:type="dxa"/>
            <w:vAlign w:val="center"/>
          </w:tcPr>
          <w:p w14:paraId="2453045A">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0.683</w:t>
            </w:r>
          </w:p>
          <w:p w14:paraId="7DB2FFC8">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(0.028）</w:t>
            </w:r>
          </w:p>
        </w:tc>
        <w:tc>
          <w:tcPr>
            <w:tcW w:w="1172" w:type="dxa"/>
            <w:vAlign w:val="center"/>
          </w:tcPr>
          <w:p w14:paraId="28EB92C2">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0.321</w:t>
            </w:r>
          </w:p>
          <w:p w14:paraId="570BA6A6">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(-0.069)</w:t>
            </w:r>
          </w:p>
        </w:tc>
        <w:tc>
          <w:tcPr>
            <w:tcW w:w="1173" w:type="dxa"/>
            <w:vAlign w:val="center"/>
          </w:tcPr>
          <w:p w14:paraId="621F2868">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0.713</w:t>
            </w:r>
          </w:p>
          <w:p w14:paraId="1C8882B2">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cs="Times New Roman"/>
                <w:szCs w:val="21"/>
                <w:highlight w:val="none"/>
              </w:rPr>
              <w:t>(-0.026</w:t>
            </w:r>
            <w:r>
              <w:rPr>
                <w:rFonts w:hint="eastAsia" w:ascii="Times New Roman" w:hAnsi="Times New Roman" w:eastAsia="宋体" w:cs="Times New Roman"/>
                <w:bCs/>
                <w:szCs w:val="21"/>
                <w:highlight w:val="none"/>
              </w:rPr>
              <w:t>)</w:t>
            </w:r>
          </w:p>
        </w:tc>
        <w:tc>
          <w:tcPr>
            <w:tcW w:w="1173" w:type="dxa"/>
            <w:vAlign w:val="center"/>
          </w:tcPr>
          <w:p w14:paraId="040386C1">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0.945</w:t>
            </w:r>
          </w:p>
          <w:p w14:paraId="32359AE5">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cs="Times New Roman"/>
                <w:szCs w:val="21"/>
                <w:highlight w:val="none"/>
              </w:rPr>
              <w:t>(-0.005</w:t>
            </w:r>
            <w:r>
              <w:rPr>
                <w:rFonts w:hint="eastAsia" w:ascii="Times New Roman" w:hAnsi="Times New Roman" w:eastAsia="宋体" w:cs="Times New Roman"/>
                <w:bCs/>
                <w:szCs w:val="21"/>
                <w:highlight w:val="none"/>
              </w:rPr>
              <w:t>)</w:t>
            </w:r>
          </w:p>
        </w:tc>
        <w:tc>
          <w:tcPr>
            <w:tcW w:w="1173" w:type="dxa"/>
            <w:vAlign w:val="center"/>
          </w:tcPr>
          <w:p w14:paraId="5487DDEF">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0.037</w:t>
            </w:r>
          </w:p>
          <w:p w14:paraId="4FC18B90">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cs="Times New Roman"/>
                <w:szCs w:val="21"/>
                <w:highlight w:val="none"/>
              </w:rPr>
              <w:t>(0.145</w:t>
            </w:r>
            <w:r>
              <w:rPr>
                <w:rFonts w:hint="eastAsia" w:ascii="Times New Roman" w:hAnsi="Times New Roman" w:eastAsia="宋体" w:cs="Times New Roman"/>
                <w:bCs/>
                <w:szCs w:val="21"/>
                <w:highlight w:val="none"/>
              </w:rPr>
              <w:t>)</w:t>
            </w:r>
          </w:p>
        </w:tc>
        <w:tc>
          <w:tcPr>
            <w:tcW w:w="1173" w:type="dxa"/>
            <w:vAlign w:val="center"/>
          </w:tcPr>
          <w:p w14:paraId="099BD200">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0.823</w:t>
            </w:r>
          </w:p>
          <w:p w14:paraId="463515E3">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cs="Times New Roman"/>
                <w:szCs w:val="21"/>
                <w:highlight w:val="none"/>
              </w:rPr>
              <w:t>(-0.016)</w:t>
            </w:r>
          </w:p>
        </w:tc>
        <w:tc>
          <w:tcPr>
            <w:tcW w:w="1135" w:type="dxa"/>
            <w:vAlign w:val="center"/>
          </w:tcPr>
          <w:p w14:paraId="486BE984">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0.904</w:t>
            </w:r>
          </w:p>
          <w:p w14:paraId="412790F5">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-0.008</w:t>
            </w:r>
            <w:r>
              <w:rPr>
                <w:rFonts w:hint="eastAsia" w:ascii="Times New Roman" w:hAnsi="Times New Roman" w:eastAsia="宋体" w:cs="Times New Roman"/>
                <w:bCs/>
                <w:szCs w:val="21"/>
                <w:highlight w:val="none"/>
              </w:rPr>
              <w:t>)</w:t>
            </w:r>
          </w:p>
        </w:tc>
        <w:tc>
          <w:tcPr>
            <w:tcW w:w="1135" w:type="dxa"/>
            <w:vAlign w:val="center"/>
          </w:tcPr>
          <w:p w14:paraId="66F7EA35">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0.442</w:t>
            </w:r>
          </w:p>
          <w:p w14:paraId="6AA81C07">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0.054)</w:t>
            </w:r>
          </w:p>
        </w:tc>
        <w:tc>
          <w:tcPr>
            <w:tcW w:w="1135" w:type="dxa"/>
            <w:vAlign w:val="center"/>
          </w:tcPr>
          <w:p w14:paraId="73B485E8">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w:t>
            </w:r>
          </w:p>
        </w:tc>
        <w:tc>
          <w:tcPr>
            <w:tcW w:w="1135" w:type="dxa"/>
            <w:vAlign w:val="center"/>
          </w:tcPr>
          <w:p w14:paraId="5C8231B7">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0.922</w:t>
            </w:r>
          </w:p>
          <w:p w14:paraId="09BA5672">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-0.007)</w:t>
            </w:r>
          </w:p>
        </w:tc>
      </w:tr>
      <w:tr w14:paraId="7E248E4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 w:hRule="atLeast"/>
        </w:trPr>
        <w:tc>
          <w:tcPr>
            <w:tcW w:w="1197" w:type="dxa"/>
            <w:vAlign w:val="center"/>
          </w:tcPr>
          <w:p w14:paraId="5CC5C8BC">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Ⅷ</w:t>
            </w:r>
          </w:p>
        </w:tc>
        <w:tc>
          <w:tcPr>
            <w:tcW w:w="1227" w:type="dxa"/>
            <w:vAlign w:val="center"/>
          </w:tcPr>
          <w:p w14:paraId="4DE03FD0">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0.694</w:t>
            </w:r>
          </w:p>
          <w:p w14:paraId="2AB2AE23">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(-0.027)</w:t>
            </w:r>
          </w:p>
        </w:tc>
        <w:tc>
          <w:tcPr>
            <w:tcW w:w="1172" w:type="dxa"/>
            <w:vAlign w:val="center"/>
          </w:tcPr>
          <w:p w14:paraId="0F8E8482">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0.399</w:t>
            </w:r>
          </w:p>
          <w:p w14:paraId="23CF4664">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(-0.059)</w:t>
            </w:r>
          </w:p>
        </w:tc>
        <w:tc>
          <w:tcPr>
            <w:tcW w:w="1172" w:type="dxa"/>
            <w:vAlign w:val="center"/>
          </w:tcPr>
          <w:p w14:paraId="3F9D29DF">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0.563</w:t>
            </w:r>
          </w:p>
          <w:p w14:paraId="61CC1D5A">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(0.040）</w:t>
            </w:r>
          </w:p>
        </w:tc>
        <w:tc>
          <w:tcPr>
            <w:tcW w:w="1172" w:type="dxa"/>
            <w:vAlign w:val="center"/>
          </w:tcPr>
          <w:p w14:paraId="43DF98F5">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0.995</w:t>
            </w:r>
          </w:p>
          <w:p w14:paraId="6E8EFA48">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(0.000)</w:t>
            </w:r>
          </w:p>
        </w:tc>
        <w:tc>
          <w:tcPr>
            <w:tcW w:w="1173" w:type="dxa"/>
            <w:vAlign w:val="center"/>
          </w:tcPr>
          <w:p w14:paraId="184DD6D8">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0.097</w:t>
            </w:r>
          </w:p>
          <w:p w14:paraId="0248D4E5">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0.115</w:t>
            </w:r>
            <w:r>
              <w:rPr>
                <w:rFonts w:hint="eastAsia" w:ascii="Times New Roman" w:hAnsi="Times New Roman" w:eastAsia="宋体" w:cs="Times New Roman"/>
                <w:bCs/>
                <w:szCs w:val="21"/>
                <w:highlight w:val="none"/>
              </w:rPr>
              <w:t>)</w:t>
            </w:r>
          </w:p>
        </w:tc>
        <w:tc>
          <w:tcPr>
            <w:tcW w:w="1173" w:type="dxa"/>
            <w:vAlign w:val="center"/>
          </w:tcPr>
          <w:p w14:paraId="2A0DCDFC">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0.922</w:t>
            </w:r>
          </w:p>
          <w:p w14:paraId="5C723A95">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cs="Times New Roman"/>
                <w:szCs w:val="21"/>
                <w:highlight w:val="none"/>
              </w:rPr>
              <w:t>(-0.007</w:t>
            </w:r>
            <w:r>
              <w:rPr>
                <w:rFonts w:hint="eastAsia" w:ascii="Times New Roman" w:hAnsi="Times New Roman" w:eastAsia="宋体" w:cs="Times New Roman"/>
                <w:bCs/>
                <w:szCs w:val="21"/>
                <w:highlight w:val="none"/>
              </w:rPr>
              <w:t>)</w:t>
            </w:r>
          </w:p>
        </w:tc>
        <w:tc>
          <w:tcPr>
            <w:tcW w:w="1173" w:type="dxa"/>
            <w:vAlign w:val="center"/>
          </w:tcPr>
          <w:p w14:paraId="3DAC63B0">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0.003</w:t>
            </w:r>
          </w:p>
          <w:p w14:paraId="4BBCD47C">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cs="Times New Roman"/>
                <w:szCs w:val="21"/>
                <w:highlight w:val="none"/>
              </w:rPr>
              <w:t>(0.205</w:t>
            </w:r>
            <w:r>
              <w:rPr>
                <w:rFonts w:hint="eastAsia" w:ascii="Times New Roman" w:hAnsi="Times New Roman" w:eastAsia="宋体" w:cs="Times New Roman"/>
                <w:bCs/>
                <w:szCs w:val="21"/>
                <w:highlight w:val="none"/>
              </w:rPr>
              <w:t>)</w:t>
            </w:r>
          </w:p>
        </w:tc>
        <w:tc>
          <w:tcPr>
            <w:tcW w:w="1173" w:type="dxa"/>
            <w:vAlign w:val="center"/>
          </w:tcPr>
          <w:p w14:paraId="707BBF92">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0.751</w:t>
            </w:r>
          </w:p>
          <w:p w14:paraId="688FC40B">
            <w:pPr>
              <w:keepNext w:val="0"/>
              <w:keepLines w:val="0"/>
              <w:suppressLineNumbers w:val="0"/>
              <w:spacing w:before="0" w:beforeAutospacing="0" w:after="0" w:afterAutospacing="0"/>
              <w:ind w:left="0" w:right="0"/>
              <w:jc w:val="center"/>
              <w:rPr>
                <w:rFonts w:hint="eastAsia" w:ascii="Times New Roman" w:hAnsi="Times New Roman" w:eastAsia="宋体" w:cs="Times New Roman"/>
                <w:bCs/>
                <w:szCs w:val="21"/>
                <w:highlight w:val="none"/>
              </w:rPr>
            </w:pPr>
            <w:r>
              <w:rPr>
                <w:rFonts w:hint="eastAsia" w:ascii="Times New Roman" w:hAnsi="Times New Roman" w:cs="Times New Roman"/>
                <w:szCs w:val="21"/>
                <w:highlight w:val="none"/>
              </w:rPr>
              <w:t>(-0.022)</w:t>
            </w:r>
          </w:p>
        </w:tc>
        <w:tc>
          <w:tcPr>
            <w:tcW w:w="1135" w:type="dxa"/>
            <w:vAlign w:val="center"/>
          </w:tcPr>
          <w:p w14:paraId="5CD85FCE">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0.865</w:t>
            </w:r>
          </w:p>
          <w:p w14:paraId="2225B037">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-0.012</w:t>
            </w:r>
            <w:r>
              <w:rPr>
                <w:rFonts w:hint="eastAsia" w:ascii="Times New Roman" w:hAnsi="Times New Roman" w:eastAsia="宋体" w:cs="Times New Roman"/>
                <w:bCs/>
                <w:szCs w:val="21"/>
                <w:highlight w:val="none"/>
              </w:rPr>
              <w:t>)</w:t>
            </w:r>
          </w:p>
        </w:tc>
        <w:tc>
          <w:tcPr>
            <w:tcW w:w="1135" w:type="dxa"/>
            <w:vAlign w:val="center"/>
          </w:tcPr>
          <w:p w14:paraId="2AB7DA48">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0.275</w:t>
            </w:r>
          </w:p>
          <w:p w14:paraId="3F745A13">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0.076</w:t>
            </w:r>
            <w:r>
              <w:rPr>
                <w:rFonts w:hint="eastAsia" w:ascii="Times New Roman" w:hAnsi="Times New Roman" w:eastAsia="宋体" w:cs="Times New Roman"/>
                <w:bCs/>
                <w:szCs w:val="21"/>
                <w:highlight w:val="none"/>
              </w:rPr>
              <w:t>)</w:t>
            </w:r>
          </w:p>
        </w:tc>
        <w:tc>
          <w:tcPr>
            <w:tcW w:w="1135" w:type="dxa"/>
            <w:vAlign w:val="center"/>
          </w:tcPr>
          <w:p w14:paraId="34421831">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0.922</w:t>
            </w:r>
          </w:p>
          <w:p w14:paraId="6D50DE47">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eastAsia="宋体" w:cs="Times New Roman"/>
                <w:bCs/>
                <w:szCs w:val="21"/>
                <w:highlight w:val="none"/>
              </w:rPr>
              <w:t>(</w:t>
            </w:r>
            <w:r>
              <w:rPr>
                <w:rFonts w:hint="eastAsia" w:ascii="Times New Roman" w:hAnsi="Times New Roman" w:cs="Times New Roman"/>
                <w:szCs w:val="21"/>
                <w:highlight w:val="none"/>
              </w:rPr>
              <w:t>-0.007</w:t>
            </w:r>
            <w:r>
              <w:rPr>
                <w:rFonts w:hint="eastAsia" w:ascii="Times New Roman" w:hAnsi="Times New Roman" w:eastAsia="宋体" w:cs="Times New Roman"/>
                <w:bCs/>
                <w:szCs w:val="21"/>
                <w:highlight w:val="none"/>
              </w:rPr>
              <w:t>)</w:t>
            </w:r>
          </w:p>
        </w:tc>
        <w:tc>
          <w:tcPr>
            <w:tcW w:w="1135" w:type="dxa"/>
            <w:vAlign w:val="center"/>
          </w:tcPr>
          <w:p w14:paraId="40EEF9D1">
            <w:pPr>
              <w:keepNext w:val="0"/>
              <w:keepLines w:val="0"/>
              <w:suppressLineNumbers w:val="0"/>
              <w:spacing w:before="0" w:beforeAutospacing="0" w:after="0" w:afterAutospacing="0"/>
              <w:ind w:left="0" w:right="0"/>
              <w:jc w:val="center"/>
              <w:rPr>
                <w:rFonts w:hint="eastAsia" w:ascii="Times New Roman" w:hAnsi="Times New Roman" w:cs="Times New Roman"/>
                <w:szCs w:val="21"/>
                <w:highlight w:val="none"/>
              </w:rPr>
            </w:pPr>
            <w:r>
              <w:rPr>
                <w:rFonts w:hint="eastAsia" w:ascii="Times New Roman" w:hAnsi="Times New Roman" w:cs="Times New Roman"/>
                <w:szCs w:val="21"/>
                <w:highlight w:val="none"/>
              </w:rPr>
              <w:t>-</w:t>
            </w:r>
          </w:p>
        </w:tc>
      </w:tr>
    </w:tbl>
    <w:p w14:paraId="78221CE5">
      <w:pPr>
        <w:widowControl/>
        <w:spacing w:line="360" w:lineRule="auto"/>
        <w:jc w:val="left"/>
        <w:rPr>
          <w:rFonts w:ascii="Times New Roman" w:hAnsi="Times New Roman" w:cs="Times New Roman"/>
          <w:highlight w:val="none"/>
        </w:rPr>
      </w:pPr>
      <w:r>
        <w:rPr>
          <w:rFonts w:ascii="Times New Roman" w:hAnsi="Times New Roman" w:cs="Times New Roman"/>
          <w:highlight w:val="none"/>
        </w:rPr>
        <w:t>Table Note: rs is the correlation coefficient, and the range of rs by Spearman correlation analysis is: [-1,1], the larger the absolute value, the stronger the correlation. When rs was positive, a positive correlation was considered. When rs is negative, a negative correlation is considered.</w:t>
      </w:r>
      <w:r>
        <w:rPr>
          <w:rFonts w:ascii="Times New Roman" w:hAnsi="Times New Roman" w:cs="Times New Roman"/>
          <w:highlight w:val="none"/>
        </w:rPr>
        <w:br w:type="page"/>
      </w:r>
    </w:p>
    <w:p w14:paraId="349E030E">
      <w:pPr>
        <w:widowControl/>
        <w:spacing w:before="156" w:beforeLines="50" w:after="156" w:afterLines="50" w:line="360" w:lineRule="auto"/>
        <w:rPr>
          <w:rFonts w:ascii="Times New Roman" w:hAnsi="Times New Roman" w:eastAsia="宋体" w:cs="Times New Roman"/>
          <w:sz w:val="24"/>
          <w:szCs w:val="24"/>
          <w:highlight w:val="none"/>
        </w:rPr>
        <w:sectPr>
          <w:pgSz w:w="16838" w:h="11906" w:orient="landscape"/>
          <w:pgMar w:top="1797" w:right="1440" w:bottom="1797" w:left="1440" w:header="851" w:footer="992" w:gutter="0"/>
          <w:lnNumType w:countBy="0" w:restart="continuous"/>
          <w:cols w:space="425" w:num="1"/>
          <w:docGrid w:type="lines" w:linePitch="312" w:charSpace="0"/>
        </w:sectPr>
      </w:pPr>
    </w:p>
    <w:tbl>
      <w:tblPr>
        <w:tblStyle w:val="8"/>
        <w:tblW w:w="8306" w:type="dxa"/>
        <w:tblInd w:w="0" w:type="dxa"/>
        <w:tblLayout w:type="autofit"/>
        <w:tblCellMar>
          <w:top w:w="0" w:type="dxa"/>
          <w:left w:w="108" w:type="dxa"/>
          <w:bottom w:w="0" w:type="dxa"/>
          <w:right w:w="108" w:type="dxa"/>
        </w:tblCellMar>
      </w:tblPr>
      <w:tblGrid>
        <w:gridCol w:w="1985"/>
        <w:gridCol w:w="2334"/>
        <w:gridCol w:w="2485"/>
        <w:gridCol w:w="1502"/>
      </w:tblGrid>
      <w:tr w14:paraId="65452EC4">
        <w:tblPrEx>
          <w:tblCellMar>
            <w:top w:w="0" w:type="dxa"/>
            <w:left w:w="108" w:type="dxa"/>
            <w:bottom w:w="0" w:type="dxa"/>
            <w:right w:w="108" w:type="dxa"/>
          </w:tblCellMar>
        </w:tblPrEx>
        <w:tc>
          <w:tcPr>
            <w:tcW w:w="8306" w:type="dxa"/>
            <w:gridSpan w:val="4"/>
            <w:tcBorders>
              <w:bottom w:val="single" w:color="auto" w:sz="12" w:space="0"/>
            </w:tcBorders>
          </w:tcPr>
          <w:p w14:paraId="4FBB735A">
            <w:pPr>
              <w:keepNext w:val="0"/>
              <w:keepLines w:val="0"/>
              <w:widowControl/>
              <w:suppressLineNumbers w:val="0"/>
              <w:spacing w:before="156" w:beforeLines="50" w:beforeAutospacing="0" w:after="156" w:afterLines="50" w:afterAutospacing="0" w:line="360" w:lineRule="auto"/>
              <w:ind w:left="0" w:right="0"/>
              <w:rPr>
                <w:rFonts w:hint="eastAsia" w:ascii="Times New Roman" w:hAnsi="Times New Roman" w:eastAsia="宋体" w:cs="Times New Roman"/>
                <w:sz w:val="28"/>
                <w:szCs w:val="28"/>
                <w:highlight w:val="none"/>
              </w:rPr>
            </w:pPr>
            <w:r>
              <w:rPr>
                <w:rFonts w:hint="eastAsia" w:ascii="Times New Roman" w:hAnsi="Times New Roman" w:eastAsia="宋体" w:cs="Times New Roman"/>
                <w:sz w:val="24"/>
                <w:szCs w:val="24"/>
                <w:highlight w:val="none"/>
              </w:rPr>
              <w:t xml:space="preserve">Table </w:t>
            </w:r>
            <w:r>
              <w:rPr>
                <w:rFonts w:hint="eastAsia" w:ascii="Times New Roman" w:hAnsi="Times New Roman" w:eastAsia="宋体" w:cs="Times New Roman"/>
                <w:sz w:val="24"/>
                <w:szCs w:val="24"/>
                <w:highlight w:val="none"/>
                <w:lang w:val="en-US" w:eastAsia="zh-CN"/>
              </w:rPr>
              <w:t>S</w:t>
            </w:r>
            <w:r>
              <w:rPr>
                <w:rFonts w:hint="eastAsia" w:ascii="Times New Roman" w:hAnsi="Times New Roman" w:eastAsia="宋体" w:cs="Times New Roman"/>
                <w:sz w:val="24"/>
                <w:szCs w:val="24"/>
                <w:highlight w:val="none"/>
              </w:rPr>
              <w:t>4</w:t>
            </w:r>
            <w:r>
              <w:rPr>
                <w:rFonts w:hint="eastAsia" w:ascii="Times New Roman" w:hAnsi="Times New Roman" w:eastAsia="宋体" w:cs="Times New Roman"/>
                <w:sz w:val="24"/>
                <w:szCs w:val="24"/>
                <w:highlight w:val="none"/>
              </w:rPr>
              <w:t>. Dosimetric comparison of tumor targets between conventional radiotherapy group and reduced CTV2 radiotherapy group.</w:t>
            </w:r>
          </w:p>
        </w:tc>
      </w:tr>
      <w:tr w14:paraId="48070551">
        <w:tblPrEx>
          <w:tblCellMar>
            <w:top w:w="0" w:type="dxa"/>
            <w:left w:w="108" w:type="dxa"/>
            <w:bottom w:w="0" w:type="dxa"/>
            <w:right w:w="108" w:type="dxa"/>
          </w:tblCellMar>
        </w:tblPrEx>
        <w:tc>
          <w:tcPr>
            <w:tcW w:w="1985" w:type="dxa"/>
            <w:tcBorders>
              <w:top w:val="single" w:color="auto" w:sz="12" w:space="0"/>
              <w:bottom w:val="single" w:color="auto" w:sz="4" w:space="0"/>
            </w:tcBorders>
            <w:vAlign w:val="center"/>
          </w:tcPr>
          <w:p w14:paraId="2A2004B3">
            <w:pPr>
              <w:keepNext w:val="0"/>
              <w:keepLines w:val="0"/>
              <w:suppressLineNumbers w:val="0"/>
              <w:adjustRightInd w:val="0"/>
              <w:snapToGrid w:val="0"/>
              <w:spacing w:before="0" w:beforeAutospacing="0" w:after="0" w:afterAutospacing="0" w:line="360" w:lineRule="auto"/>
              <w:ind w:left="0" w:right="0"/>
              <w:jc w:val="left"/>
              <w:rPr>
                <w:rFonts w:hint="eastAsia" w:ascii="Times New Roman" w:hAnsi="Times New Roman" w:cs="Times New Roman"/>
                <w:sz w:val="24"/>
                <w:highlight w:val="none"/>
              </w:rPr>
            </w:pPr>
            <w:r>
              <w:rPr>
                <w:rFonts w:hint="eastAsia" w:ascii="Times New Roman" w:hAnsi="Times New Roman" w:eastAsia="宋体" w:cs="Times New Roman"/>
                <w:sz w:val="24"/>
                <w:szCs w:val="24"/>
                <w:highlight w:val="none"/>
              </w:rPr>
              <w:t>Parameter</w:t>
            </w:r>
          </w:p>
        </w:tc>
        <w:tc>
          <w:tcPr>
            <w:tcW w:w="2334" w:type="dxa"/>
            <w:tcBorders>
              <w:top w:val="single" w:color="auto" w:sz="12" w:space="0"/>
              <w:bottom w:val="single" w:color="auto" w:sz="4" w:space="0"/>
            </w:tcBorders>
            <w:vAlign w:val="center"/>
          </w:tcPr>
          <w:p w14:paraId="2961054B">
            <w:pPr>
              <w:keepNext w:val="0"/>
              <w:keepLines w:val="0"/>
              <w:suppressLineNumbers w:val="0"/>
              <w:adjustRightInd w:val="0"/>
              <w:snapToGrid w:val="0"/>
              <w:spacing w:before="0" w:beforeAutospacing="0" w:after="0" w:afterAutospacing="0" w:line="360" w:lineRule="auto"/>
              <w:ind w:left="0" w:right="0"/>
              <w:jc w:val="left"/>
              <w:rPr>
                <w:rFonts w:hint="eastAsia" w:ascii="Times New Roman" w:hAnsi="Times New Roman" w:cs="Times New Roman"/>
                <w:sz w:val="24"/>
                <w:highlight w:val="none"/>
              </w:rPr>
            </w:pPr>
            <w:r>
              <w:rPr>
                <w:rFonts w:hint="eastAsia" w:ascii="Times New Roman" w:hAnsi="Times New Roman" w:eastAsia="宋体" w:cs="Times New Roman"/>
                <w:sz w:val="24"/>
                <w:szCs w:val="24"/>
                <w:highlight w:val="none"/>
              </w:rPr>
              <w:t>conventional radiotherapy group</w:t>
            </w:r>
          </w:p>
        </w:tc>
        <w:tc>
          <w:tcPr>
            <w:tcW w:w="2485" w:type="dxa"/>
            <w:tcBorders>
              <w:top w:val="single" w:color="auto" w:sz="12" w:space="0"/>
              <w:bottom w:val="single" w:color="auto" w:sz="4" w:space="0"/>
            </w:tcBorders>
            <w:vAlign w:val="center"/>
          </w:tcPr>
          <w:p w14:paraId="0A14E5EA">
            <w:pPr>
              <w:keepNext w:val="0"/>
              <w:keepLines w:val="0"/>
              <w:suppressLineNumbers w:val="0"/>
              <w:adjustRightInd w:val="0"/>
              <w:snapToGrid w:val="0"/>
              <w:spacing w:before="0" w:beforeAutospacing="0" w:after="0" w:afterAutospacing="0" w:line="360" w:lineRule="auto"/>
              <w:ind w:left="0" w:right="0"/>
              <w:jc w:val="left"/>
              <w:rPr>
                <w:rFonts w:hint="eastAsia" w:ascii="Times New Roman" w:hAnsi="Times New Roman" w:cs="Times New Roman"/>
                <w:sz w:val="24"/>
                <w:highlight w:val="none"/>
              </w:rPr>
            </w:pPr>
            <w:r>
              <w:rPr>
                <w:rFonts w:hint="eastAsia" w:ascii="Times New Roman" w:hAnsi="Times New Roman" w:eastAsia="宋体" w:cs="Times New Roman"/>
                <w:sz w:val="24"/>
                <w:szCs w:val="24"/>
                <w:highlight w:val="none"/>
              </w:rPr>
              <w:t>reduced CTV2 radiotherapy group</w:t>
            </w:r>
          </w:p>
        </w:tc>
        <w:tc>
          <w:tcPr>
            <w:tcW w:w="1502" w:type="dxa"/>
            <w:tcBorders>
              <w:top w:val="single" w:color="auto" w:sz="12" w:space="0"/>
              <w:bottom w:val="single" w:color="auto" w:sz="4" w:space="0"/>
            </w:tcBorders>
            <w:vAlign w:val="center"/>
          </w:tcPr>
          <w:p w14:paraId="5EC5096A">
            <w:pPr>
              <w:keepNext w:val="0"/>
              <w:keepLines w:val="0"/>
              <w:suppressLineNumbers w:val="0"/>
              <w:adjustRightInd w:val="0"/>
              <w:snapToGrid w:val="0"/>
              <w:spacing w:before="0" w:beforeAutospacing="0" w:after="0" w:afterAutospacing="0" w:line="360" w:lineRule="auto"/>
              <w:ind w:left="0" w:right="0"/>
              <w:jc w:val="left"/>
              <w:rPr>
                <w:rFonts w:hint="eastAsia" w:ascii="Times New Roman" w:hAnsi="Times New Roman" w:cs="Times New Roman"/>
                <w:sz w:val="24"/>
                <w:highlight w:val="none"/>
              </w:rPr>
            </w:pPr>
            <w:r>
              <w:rPr>
                <w:rFonts w:hint="eastAsia" w:ascii="Times New Roman" w:hAnsi="Times New Roman" w:cs="Times New Roman"/>
                <w:i/>
                <w:sz w:val="24"/>
                <w:highlight w:val="none"/>
              </w:rPr>
              <w:t>P value</w:t>
            </w:r>
          </w:p>
        </w:tc>
      </w:tr>
      <w:tr w14:paraId="224E3CF6">
        <w:tblPrEx>
          <w:tblCellMar>
            <w:top w:w="0" w:type="dxa"/>
            <w:left w:w="108" w:type="dxa"/>
            <w:bottom w:w="0" w:type="dxa"/>
            <w:right w:w="108" w:type="dxa"/>
          </w:tblCellMar>
        </w:tblPrEx>
        <w:tc>
          <w:tcPr>
            <w:tcW w:w="8306" w:type="dxa"/>
            <w:gridSpan w:val="4"/>
          </w:tcPr>
          <w:p w14:paraId="5063DE26">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GTVnx</w:t>
            </w:r>
          </w:p>
        </w:tc>
      </w:tr>
      <w:tr w14:paraId="63AC8DA1">
        <w:tblPrEx>
          <w:tblCellMar>
            <w:top w:w="0" w:type="dxa"/>
            <w:left w:w="108" w:type="dxa"/>
            <w:bottom w:w="0" w:type="dxa"/>
            <w:right w:w="108" w:type="dxa"/>
          </w:tblCellMar>
        </w:tblPrEx>
        <w:tc>
          <w:tcPr>
            <w:tcW w:w="1985" w:type="dxa"/>
          </w:tcPr>
          <w:p w14:paraId="2E856516">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V93%（%）</w:t>
            </w:r>
          </w:p>
        </w:tc>
        <w:tc>
          <w:tcPr>
            <w:tcW w:w="2334" w:type="dxa"/>
          </w:tcPr>
          <w:p w14:paraId="4E83CDEA">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0.13 (0.01，0.63)</w:t>
            </w:r>
          </w:p>
        </w:tc>
        <w:tc>
          <w:tcPr>
            <w:tcW w:w="2485" w:type="dxa"/>
          </w:tcPr>
          <w:p w14:paraId="317F6A71">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0.09 (0.01，1.02)</w:t>
            </w:r>
          </w:p>
        </w:tc>
        <w:tc>
          <w:tcPr>
            <w:tcW w:w="1502" w:type="dxa"/>
          </w:tcPr>
          <w:p w14:paraId="00234221">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0.170</w:t>
            </w:r>
          </w:p>
        </w:tc>
      </w:tr>
      <w:tr w14:paraId="1B995744">
        <w:tblPrEx>
          <w:tblCellMar>
            <w:top w:w="0" w:type="dxa"/>
            <w:left w:w="108" w:type="dxa"/>
            <w:bottom w:w="0" w:type="dxa"/>
            <w:right w:w="108" w:type="dxa"/>
          </w:tblCellMar>
        </w:tblPrEx>
        <w:tc>
          <w:tcPr>
            <w:tcW w:w="1985" w:type="dxa"/>
          </w:tcPr>
          <w:p w14:paraId="6DC248AE">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V100%（%）</w:t>
            </w:r>
          </w:p>
        </w:tc>
        <w:tc>
          <w:tcPr>
            <w:tcW w:w="2334" w:type="dxa"/>
          </w:tcPr>
          <w:p w14:paraId="516B38B7">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4.02±1.16</w:t>
            </w:r>
          </w:p>
        </w:tc>
        <w:tc>
          <w:tcPr>
            <w:tcW w:w="2485" w:type="dxa"/>
          </w:tcPr>
          <w:p w14:paraId="196BA7EA">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4.07±1.31</w:t>
            </w:r>
          </w:p>
        </w:tc>
        <w:tc>
          <w:tcPr>
            <w:tcW w:w="1502" w:type="dxa"/>
          </w:tcPr>
          <w:p w14:paraId="521570E8">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0.586</w:t>
            </w:r>
          </w:p>
        </w:tc>
      </w:tr>
      <w:tr w14:paraId="7875EE49">
        <w:tblPrEx>
          <w:tblCellMar>
            <w:top w:w="0" w:type="dxa"/>
            <w:left w:w="108" w:type="dxa"/>
            <w:bottom w:w="0" w:type="dxa"/>
            <w:right w:w="108" w:type="dxa"/>
          </w:tblCellMar>
        </w:tblPrEx>
        <w:tc>
          <w:tcPr>
            <w:tcW w:w="1985" w:type="dxa"/>
          </w:tcPr>
          <w:p w14:paraId="64B57D27">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V110%（%）</w:t>
            </w:r>
          </w:p>
        </w:tc>
        <w:tc>
          <w:tcPr>
            <w:tcW w:w="2334" w:type="dxa"/>
          </w:tcPr>
          <w:p w14:paraId="218F3CE0">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0.01 (0.00，0.21）</w:t>
            </w:r>
          </w:p>
        </w:tc>
        <w:tc>
          <w:tcPr>
            <w:tcW w:w="2485" w:type="dxa"/>
          </w:tcPr>
          <w:p w14:paraId="0F1F32F2">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0.01 (0.00，0.36)</w:t>
            </w:r>
          </w:p>
        </w:tc>
        <w:tc>
          <w:tcPr>
            <w:tcW w:w="1502" w:type="dxa"/>
          </w:tcPr>
          <w:p w14:paraId="3AF23206">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0.900</w:t>
            </w:r>
          </w:p>
        </w:tc>
      </w:tr>
      <w:tr w14:paraId="70D87D80">
        <w:tblPrEx>
          <w:tblCellMar>
            <w:top w:w="0" w:type="dxa"/>
            <w:left w:w="108" w:type="dxa"/>
            <w:bottom w:w="0" w:type="dxa"/>
            <w:right w:w="108" w:type="dxa"/>
          </w:tblCellMar>
        </w:tblPrEx>
        <w:tc>
          <w:tcPr>
            <w:tcW w:w="1985" w:type="dxa"/>
          </w:tcPr>
          <w:p w14:paraId="5F436C1D">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V115%（%）</w:t>
            </w:r>
          </w:p>
        </w:tc>
        <w:tc>
          <w:tcPr>
            <w:tcW w:w="2334" w:type="dxa"/>
          </w:tcPr>
          <w:p w14:paraId="38978FA5">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w:t>
            </w:r>
          </w:p>
        </w:tc>
        <w:tc>
          <w:tcPr>
            <w:tcW w:w="2485" w:type="dxa"/>
          </w:tcPr>
          <w:p w14:paraId="296E7121">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w:t>
            </w:r>
          </w:p>
        </w:tc>
        <w:tc>
          <w:tcPr>
            <w:tcW w:w="1502" w:type="dxa"/>
          </w:tcPr>
          <w:p w14:paraId="0CF6BDB5">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0.317</w:t>
            </w:r>
          </w:p>
        </w:tc>
      </w:tr>
      <w:tr w14:paraId="0E38CCFC">
        <w:tblPrEx>
          <w:tblCellMar>
            <w:top w:w="0" w:type="dxa"/>
            <w:left w:w="108" w:type="dxa"/>
            <w:bottom w:w="0" w:type="dxa"/>
            <w:right w:w="108" w:type="dxa"/>
          </w:tblCellMar>
        </w:tblPrEx>
        <w:tc>
          <w:tcPr>
            <w:tcW w:w="1985" w:type="dxa"/>
          </w:tcPr>
          <w:p w14:paraId="3C5392E8">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D95（Gy）</w:t>
            </w:r>
          </w:p>
        </w:tc>
        <w:tc>
          <w:tcPr>
            <w:tcW w:w="2334" w:type="dxa"/>
          </w:tcPr>
          <w:p w14:paraId="6D37AE69">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70.06±0.38</w:t>
            </w:r>
          </w:p>
        </w:tc>
        <w:tc>
          <w:tcPr>
            <w:tcW w:w="2485" w:type="dxa"/>
          </w:tcPr>
          <w:p w14:paraId="0C2AF413">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70.13±0.55</w:t>
            </w:r>
          </w:p>
        </w:tc>
        <w:tc>
          <w:tcPr>
            <w:tcW w:w="1502" w:type="dxa"/>
          </w:tcPr>
          <w:p w14:paraId="66E22F2D">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0.601</w:t>
            </w:r>
          </w:p>
        </w:tc>
      </w:tr>
      <w:tr w14:paraId="3C518F3F">
        <w:tblPrEx>
          <w:tblCellMar>
            <w:top w:w="0" w:type="dxa"/>
            <w:left w:w="108" w:type="dxa"/>
            <w:bottom w:w="0" w:type="dxa"/>
            <w:right w:w="108" w:type="dxa"/>
          </w:tblCellMar>
        </w:tblPrEx>
        <w:tc>
          <w:tcPr>
            <w:tcW w:w="1985" w:type="dxa"/>
          </w:tcPr>
          <w:p w14:paraId="341C87C9">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V（cm3）</w:t>
            </w:r>
          </w:p>
        </w:tc>
        <w:tc>
          <w:tcPr>
            <w:tcW w:w="2334" w:type="dxa"/>
          </w:tcPr>
          <w:p w14:paraId="4591F240">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83.21±47.19</w:t>
            </w:r>
          </w:p>
        </w:tc>
        <w:tc>
          <w:tcPr>
            <w:tcW w:w="2485" w:type="dxa"/>
          </w:tcPr>
          <w:p w14:paraId="0B075EFD">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84.36±47.06</w:t>
            </w:r>
          </w:p>
        </w:tc>
        <w:tc>
          <w:tcPr>
            <w:tcW w:w="1502" w:type="dxa"/>
          </w:tcPr>
          <w:p w14:paraId="34D3CC4E">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0.289</w:t>
            </w:r>
          </w:p>
        </w:tc>
      </w:tr>
      <w:tr w14:paraId="0055DF60">
        <w:tblPrEx>
          <w:tblCellMar>
            <w:top w:w="0" w:type="dxa"/>
            <w:left w:w="108" w:type="dxa"/>
            <w:bottom w:w="0" w:type="dxa"/>
            <w:right w:w="108" w:type="dxa"/>
          </w:tblCellMar>
        </w:tblPrEx>
        <w:tc>
          <w:tcPr>
            <w:tcW w:w="1985" w:type="dxa"/>
          </w:tcPr>
          <w:p w14:paraId="1FF14598">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Dmin（Gy）</w:t>
            </w:r>
          </w:p>
        </w:tc>
        <w:tc>
          <w:tcPr>
            <w:tcW w:w="2334" w:type="dxa"/>
          </w:tcPr>
          <w:p w14:paraId="0607ACAB">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58.52±7.65</w:t>
            </w:r>
          </w:p>
        </w:tc>
        <w:tc>
          <w:tcPr>
            <w:tcW w:w="2485" w:type="dxa"/>
          </w:tcPr>
          <w:p w14:paraId="6F77C46E">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58.71±8.86</w:t>
            </w:r>
          </w:p>
        </w:tc>
        <w:tc>
          <w:tcPr>
            <w:tcW w:w="1502" w:type="dxa"/>
          </w:tcPr>
          <w:p w14:paraId="60B7A586">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0.940</w:t>
            </w:r>
          </w:p>
        </w:tc>
      </w:tr>
      <w:tr w14:paraId="00B3BE18">
        <w:tblPrEx>
          <w:tblCellMar>
            <w:top w:w="0" w:type="dxa"/>
            <w:left w:w="108" w:type="dxa"/>
            <w:bottom w:w="0" w:type="dxa"/>
            <w:right w:w="108" w:type="dxa"/>
          </w:tblCellMar>
        </w:tblPrEx>
        <w:tc>
          <w:tcPr>
            <w:tcW w:w="1985" w:type="dxa"/>
          </w:tcPr>
          <w:p w14:paraId="7967033E">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Dmax（Gy）</w:t>
            </w:r>
          </w:p>
        </w:tc>
        <w:tc>
          <w:tcPr>
            <w:tcW w:w="2334" w:type="dxa"/>
          </w:tcPr>
          <w:p w14:paraId="7FF46984">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77.04 (76.02，78.31）</w:t>
            </w:r>
          </w:p>
        </w:tc>
        <w:tc>
          <w:tcPr>
            <w:tcW w:w="2485" w:type="dxa"/>
          </w:tcPr>
          <w:p w14:paraId="5E80EF40">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76.77 (75.17，79.13)</w:t>
            </w:r>
          </w:p>
        </w:tc>
        <w:tc>
          <w:tcPr>
            <w:tcW w:w="1502" w:type="dxa"/>
          </w:tcPr>
          <w:p w14:paraId="136765A9">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0.940</w:t>
            </w:r>
          </w:p>
        </w:tc>
      </w:tr>
      <w:tr w14:paraId="2FB891D8">
        <w:tblPrEx>
          <w:tblCellMar>
            <w:top w:w="0" w:type="dxa"/>
            <w:left w:w="108" w:type="dxa"/>
            <w:bottom w:w="0" w:type="dxa"/>
            <w:right w:w="108" w:type="dxa"/>
          </w:tblCellMar>
        </w:tblPrEx>
        <w:tc>
          <w:tcPr>
            <w:tcW w:w="1985" w:type="dxa"/>
          </w:tcPr>
          <w:p w14:paraId="0A904CF4">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Dmean（Gy）</w:t>
            </w:r>
          </w:p>
        </w:tc>
        <w:tc>
          <w:tcPr>
            <w:tcW w:w="2334" w:type="dxa"/>
          </w:tcPr>
          <w:p w14:paraId="5CE4E2E3">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72.40±1.09</w:t>
            </w:r>
          </w:p>
        </w:tc>
        <w:tc>
          <w:tcPr>
            <w:tcW w:w="2485" w:type="dxa"/>
          </w:tcPr>
          <w:p w14:paraId="53E11749">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72.32±0.86</w:t>
            </w:r>
          </w:p>
        </w:tc>
        <w:tc>
          <w:tcPr>
            <w:tcW w:w="1502" w:type="dxa"/>
          </w:tcPr>
          <w:p w14:paraId="7D473491">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0.823</w:t>
            </w:r>
          </w:p>
        </w:tc>
      </w:tr>
      <w:tr w14:paraId="0F01A4F5">
        <w:tblPrEx>
          <w:tblCellMar>
            <w:top w:w="0" w:type="dxa"/>
            <w:left w:w="108" w:type="dxa"/>
            <w:bottom w:w="0" w:type="dxa"/>
            <w:right w:w="108" w:type="dxa"/>
          </w:tblCellMar>
        </w:tblPrEx>
        <w:tc>
          <w:tcPr>
            <w:tcW w:w="1985" w:type="dxa"/>
          </w:tcPr>
          <w:p w14:paraId="56BFC5FD">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HI</w:t>
            </w:r>
          </w:p>
        </w:tc>
        <w:tc>
          <w:tcPr>
            <w:tcW w:w="2334" w:type="dxa"/>
          </w:tcPr>
          <w:p w14:paraId="161B4F6F">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1.06±0.02</w:t>
            </w:r>
          </w:p>
        </w:tc>
        <w:tc>
          <w:tcPr>
            <w:tcW w:w="2485" w:type="dxa"/>
          </w:tcPr>
          <w:p w14:paraId="30C3049B">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1.06±0.02</w:t>
            </w:r>
          </w:p>
        </w:tc>
        <w:tc>
          <w:tcPr>
            <w:tcW w:w="1502" w:type="dxa"/>
          </w:tcPr>
          <w:p w14:paraId="44947963">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0.765</w:t>
            </w:r>
          </w:p>
        </w:tc>
      </w:tr>
      <w:tr w14:paraId="59B9559A">
        <w:tblPrEx>
          <w:tblCellMar>
            <w:top w:w="0" w:type="dxa"/>
            <w:left w:w="108" w:type="dxa"/>
            <w:bottom w:w="0" w:type="dxa"/>
            <w:right w:w="108" w:type="dxa"/>
          </w:tblCellMar>
        </w:tblPrEx>
        <w:tc>
          <w:tcPr>
            <w:tcW w:w="1985" w:type="dxa"/>
          </w:tcPr>
          <w:p w14:paraId="4D220440">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CI</w:t>
            </w:r>
          </w:p>
        </w:tc>
        <w:tc>
          <w:tcPr>
            <w:tcW w:w="2334" w:type="dxa"/>
          </w:tcPr>
          <w:p w14:paraId="2D09DC66">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0.55±0.14</w:t>
            </w:r>
          </w:p>
        </w:tc>
        <w:tc>
          <w:tcPr>
            <w:tcW w:w="2485" w:type="dxa"/>
          </w:tcPr>
          <w:p w14:paraId="6E590407">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0.64±0.22</w:t>
            </w:r>
          </w:p>
        </w:tc>
        <w:tc>
          <w:tcPr>
            <w:tcW w:w="1502" w:type="dxa"/>
          </w:tcPr>
          <w:p w14:paraId="67FC6B9D">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0.191</w:t>
            </w:r>
          </w:p>
        </w:tc>
      </w:tr>
      <w:tr w14:paraId="0054080C">
        <w:tblPrEx>
          <w:tblCellMar>
            <w:top w:w="0" w:type="dxa"/>
            <w:left w:w="108" w:type="dxa"/>
            <w:bottom w:w="0" w:type="dxa"/>
            <w:right w:w="108" w:type="dxa"/>
          </w:tblCellMar>
        </w:tblPrEx>
        <w:tc>
          <w:tcPr>
            <w:tcW w:w="8306" w:type="dxa"/>
            <w:gridSpan w:val="4"/>
          </w:tcPr>
          <w:p w14:paraId="3615E08B">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GTVnd</w:t>
            </w:r>
          </w:p>
        </w:tc>
      </w:tr>
      <w:tr w14:paraId="6D69D97C">
        <w:tblPrEx>
          <w:tblCellMar>
            <w:top w:w="0" w:type="dxa"/>
            <w:left w:w="108" w:type="dxa"/>
            <w:bottom w:w="0" w:type="dxa"/>
            <w:right w:w="108" w:type="dxa"/>
          </w:tblCellMar>
        </w:tblPrEx>
        <w:tc>
          <w:tcPr>
            <w:tcW w:w="1985" w:type="dxa"/>
          </w:tcPr>
          <w:p w14:paraId="32C555C7">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D95（Gy）</w:t>
            </w:r>
          </w:p>
        </w:tc>
        <w:tc>
          <w:tcPr>
            <w:tcW w:w="2334" w:type="dxa"/>
          </w:tcPr>
          <w:p w14:paraId="57788D95">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67.68±2.42</w:t>
            </w:r>
          </w:p>
        </w:tc>
        <w:tc>
          <w:tcPr>
            <w:tcW w:w="2485" w:type="dxa"/>
          </w:tcPr>
          <w:p w14:paraId="46DC70A2">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66.65±1.53</w:t>
            </w:r>
          </w:p>
        </w:tc>
        <w:tc>
          <w:tcPr>
            <w:tcW w:w="1502" w:type="dxa"/>
          </w:tcPr>
          <w:p w14:paraId="11D9D916">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0.165</w:t>
            </w:r>
          </w:p>
        </w:tc>
      </w:tr>
      <w:tr w14:paraId="37FD9B09">
        <w:tblPrEx>
          <w:tblCellMar>
            <w:top w:w="0" w:type="dxa"/>
            <w:left w:w="108" w:type="dxa"/>
            <w:bottom w:w="0" w:type="dxa"/>
            <w:right w:w="108" w:type="dxa"/>
          </w:tblCellMar>
        </w:tblPrEx>
        <w:tc>
          <w:tcPr>
            <w:tcW w:w="1985" w:type="dxa"/>
          </w:tcPr>
          <w:p w14:paraId="10C9689B">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V（cm3）</w:t>
            </w:r>
          </w:p>
        </w:tc>
        <w:tc>
          <w:tcPr>
            <w:tcW w:w="2334" w:type="dxa"/>
          </w:tcPr>
          <w:p w14:paraId="19BEADD8">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64.96±51.13</w:t>
            </w:r>
          </w:p>
        </w:tc>
        <w:tc>
          <w:tcPr>
            <w:tcW w:w="2485" w:type="dxa"/>
          </w:tcPr>
          <w:p w14:paraId="431FFF66">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59.06±40.91</w:t>
            </w:r>
          </w:p>
        </w:tc>
        <w:tc>
          <w:tcPr>
            <w:tcW w:w="1502" w:type="dxa"/>
          </w:tcPr>
          <w:p w14:paraId="3D95D448">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0.501</w:t>
            </w:r>
          </w:p>
        </w:tc>
      </w:tr>
      <w:tr w14:paraId="7BC68943">
        <w:tblPrEx>
          <w:tblCellMar>
            <w:top w:w="0" w:type="dxa"/>
            <w:left w:w="108" w:type="dxa"/>
            <w:bottom w:w="0" w:type="dxa"/>
            <w:right w:w="108" w:type="dxa"/>
          </w:tblCellMar>
        </w:tblPrEx>
        <w:tc>
          <w:tcPr>
            <w:tcW w:w="1985" w:type="dxa"/>
          </w:tcPr>
          <w:p w14:paraId="173169AF">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Dmin（Gy）</w:t>
            </w:r>
          </w:p>
        </w:tc>
        <w:tc>
          <w:tcPr>
            <w:tcW w:w="2334" w:type="dxa"/>
          </w:tcPr>
          <w:p w14:paraId="5DB02801">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59.74±6.52</w:t>
            </w:r>
          </w:p>
        </w:tc>
        <w:tc>
          <w:tcPr>
            <w:tcW w:w="2485" w:type="dxa"/>
          </w:tcPr>
          <w:p w14:paraId="49FB8880">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58.11±7.52</w:t>
            </w:r>
          </w:p>
        </w:tc>
        <w:tc>
          <w:tcPr>
            <w:tcW w:w="1502" w:type="dxa"/>
          </w:tcPr>
          <w:p w14:paraId="51B0840B">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0.154</w:t>
            </w:r>
          </w:p>
        </w:tc>
      </w:tr>
      <w:tr w14:paraId="24D91971">
        <w:tblPrEx>
          <w:tblCellMar>
            <w:top w:w="0" w:type="dxa"/>
            <w:left w:w="108" w:type="dxa"/>
            <w:bottom w:w="0" w:type="dxa"/>
            <w:right w:w="108" w:type="dxa"/>
          </w:tblCellMar>
        </w:tblPrEx>
        <w:tc>
          <w:tcPr>
            <w:tcW w:w="1985" w:type="dxa"/>
          </w:tcPr>
          <w:p w14:paraId="0A8CC56E">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Dmax（Gy）</w:t>
            </w:r>
          </w:p>
        </w:tc>
        <w:tc>
          <w:tcPr>
            <w:tcW w:w="2334" w:type="dxa"/>
          </w:tcPr>
          <w:p w14:paraId="557ECAA0">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75.54±3.01</w:t>
            </w:r>
          </w:p>
        </w:tc>
        <w:tc>
          <w:tcPr>
            <w:tcW w:w="2485" w:type="dxa"/>
          </w:tcPr>
          <w:p w14:paraId="7C3048C5">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72.46±7.70</w:t>
            </w:r>
          </w:p>
        </w:tc>
        <w:tc>
          <w:tcPr>
            <w:tcW w:w="1502" w:type="dxa"/>
          </w:tcPr>
          <w:p w14:paraId="636495F1">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0.115</w:t>
            </w:r>
          </w:p>
        </w:tc>
      </w:tr>
      <w:tr w14:paraId="55D0A246">
        <w:tblPrEx>
          <w:tblCellMar>
            <w:top w:w="0" w:type="dxa"/>
            <w:left w:w="108" w:type="dxa"/>
            <w:bottom w:w="0" w:type="dxa"/>
            <w:right w:w="108" w:type="dxa"/>
          </w:tblCellMar>
        </w:tblPrEx>
        <w:tc>
          <w:tcPr>
            <w:tcW w:w="1985" w:type="dxa"/>
          </w:tcPr>
          <w:p w14:paraId="37B1C431">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Dmean（Gy）</w:t>
            </w:r>
          </w:p>
        </w:tc>
        <w:tc>
          <w:tcPr>
            <w:tcW w:w="2334" w:type="dxa"/>
          </w:tcPr>
          <w:p w14:paraId="39C051DC">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69.99±2.21</w:t>
            </w:r>
          </w:p>
        </w:tc>
        <w:tc>
          <w:tcPr>
            <w:tcW w:w="2485" w:type="dxa"/>
          </w:tcPr>
          <w:p w14:paraId="22113865">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68.84±1.93</w:t>
            </w:r>
          </w:p>
        </w:tc>
        <w:tc>
          <w:tcPr>
            <w:tcW w:w="1502" w:type="dxa"/>
          </w:tcPr>
          <w:p w14:paraId="09AD3B82">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0.137</w:t>
            </w:r>
          </w:p>
        </w:tc>
      </w:tr>
      <w:tr w14:paraId="280415F1">
        <w:tblPrEx>
          <w:tblCellMar>
            <w:top w:w="0" w:type="dxa"/>
            <w:left w:w="108" w:type="dxa"/>
            <w:bottom w:w="0" w:type="dxa"/>
            <w:right w:w="108" w:type="dxa"/>
          </w:tblCellMar>
        </w:tblPrEx>
        <w:tc>
          <w:tcPr>
            <w:tcW w:w="1985" w:type="dxa"/>
          </w:tcPr>
          <w:p w14:paraId="3FEE2C2D">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HI</w:t>
            </w:r>
          </w:p>
        </w:tc>
        <w:tc>
          <w:tcPr>
            <w:tcW w:w="2334" w:type="dxa"/>
          </w:tcPr>
          <w:p w14:paraId="2F217E89">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1.07±0.03</w:t>
            </w:r>
          </w:p>
        </w:tc>
        <w:tc>
          <w:tcPr>
            <w:tcW w:w="2485" w:type="dxa"/>
          </w:tcPr>
          <w:p w14:paraId="33000C7C">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1.06±0.03</w:t>
            </w:r>
          </w:p>
        </w:tc>
        <w:tc>
          <w:tcPr>
            <w:tcW w:w="1502" w:type="dxa"/>
          </w:tcPr>
          <w:p w14:paraId="23EBCC29">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0.709</w:t>
            </w:r>
          </w:p>
        </w:tc>
      </w:tr>
      <w:tr w14:paraId="3B020B0A">
        <w:tblPrEx>
          <w:tblCellMar>
            <w:top w:w="0" w:type="dxa"/>
            <w:left w:w="108" w:type="dxa"/>
            <w:bottom w:w="0" w:type="dxa"/>
            <w:right w:w="108" w:type="dxa"/>
          </w:tblCellMar>
        </w:tblPrEx>
        <w:tc>
          <w:tcPr>
            <w:tcW w:w="1985" w:type="dxa"/>
          </w:tcPr>
          <w:p w14:paraId="3FCA783F">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CI</w:t>
            </w:r>
          </w:p>
        </w:tc>
        <w:tc>
          <w:tcPr>
            <w:tcW w:w="2334" w:type="dxa"/>
          </w:tcPr>
          <w:p w14:paraId="5573DD7B">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0.15±0.09</w:t>
            </w:r>
          </w:p>
        </w:tc>
        <w:tc>
          <w:tcPr>
            <w:tcW w:w="2485" w:type="dxa"/>
          </w:tcPr>
          <w:p w14:paraId="5904944B">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0.18±0.12</w:t>
            </w:r>
          </w:p>
        </w:tc>
        <w:tc>
          <w:tcPr>
            <w:tcW w:w="1502" w:type="dxa"/>
          </w:tcPr>
          <w:p w14:paraId="1FB9EE92">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0.174</w:t>
            </w:r>
          </w:p>
        </w:tc>
      </w:tr>
      <w:tr w14:paraId="1C9B27C0">
        <w:tblPrEx>
          <w:tblCellMar>
            <w:top w:w="0" w:type="dxa"/>
            <w:left w:w="108" w:type="dxa"/>
            <w:bottom w:w="0" w:type="dxa"/>
            <w:right w:w="108" w:type="dxa"/>
          </w:tblCellMar>
        </w:tblPrEx>
        <w:tc>
          <w:tcPr>
            <w:tcW w:w="8306" w:type="dxa"/>
            <w:gridSpan w:val="4"/>
          </w:tcPr>
          <w:p w14:paraId="586E5AB8">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CTV1</w:t>
            </w:r>
          </w:p>
        </w:tc>
      </w:tr>
      <w:tr w14:paraId="45C780B2">
        <w:tblPrEx>
          <w:tblCellMar>
            <w:top w:w="0" w:type="dxa"/>
            <w:left w:w="108" w:type="dxa"/>
            <w:bottom w:w="0" w:type="dxa"/>
            <w:right w:w="108" w:type="dxa"/>
          </w:tblCellMar>
        </w:tblPrEx>
        <w:tc>
          <w:tcPr>
            <w:tcW w:w="1985" w:type="dxa"/>
          </w:tcPr>
          <w:p w14:paraId="0750C19A">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V95%（%）</w:t>
            </w:r>
          </w:p>
        </w:tc>
        <w:tc>
          <w:tcPr>
            <w:tcW w:w="2334" w:type="dxa"/>
          </w:tcPr>
          <w:p w14:paraId="401FE40C">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3.10±1.68</w:t>
            </w:r>
          </w:p>
        </w:tc>
        <w:tc>
          <w:tcPr>
            <w:tcW w:w="2485" w:type="dxa"/>
          </w:tcPr>
          <w:p w14:paraId="227C758E">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3.26±1.76</w:t>
            </w:r>
          </w:p>
        </w:tc>
        <w:tc>
          <w:tcPr>
            <w:tcW w:w="1502" w:type="dxa"/>
          </w:tcPr>
          <w:p w14:paraId="1BB69038">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0.654</w:t>
            </w:r>
          </w:p>
        </w:tc>
      </w:tr>
      <w:tr w14:paraId="2E900F5C">
        <w:tblPrEx>
          <w:tblCellMar>
            <w:top w:w="0" w:type="dxa"/>
            <w:left w:w="108" w:type="dxa"/>
            <w:bottom w:w="0" w:type="dxa"/>
            <w:right w:w="108" w:type="dxa"/>
          </w:tblCellMar>
        </w:tblPrEx>
        <w:tc>
          <w:tcPr>
            <w:tcW w:w="1985" w:type="dxa"/>
          </w:tcPr>
          <w:p w14:paraId="11A10A07">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D95（Gy）</w:t>
            </w:r>
          </w:p>
        </w:tc>
        <w:tc>
          <w:tcPr>
            <w:tcW w:w="2334" w:type="dxa"/>
          </w:tcPr>
          <w:p w14:paraId="6A0A6E74">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61.32±1.31</w:t>
            </w:r>
          </w:p>
        </w:tc>
        <w:tc>
          <w:tcPr>
            <w:tcW w:w="2485" w:type="dxa"/>
          </w:tcPr>
          <w:p w14:paraId="2D3C5606">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60.98±1.19</w:t>
            </w:r>
          </w:p>
        </w:tc>
        <w:tc>
          <w:tcPr>
            <w:tcW w:w="1502" w:type="dxa"/>
          </w:tcPr>
          <w:p w14:paraId="7EBCDDA5">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0.218</w:t>
            </w:r>
          </w:p>
        </w:tc>
      </w:tr>
      <w:tr w14:paraId="6985329D">
        <w:tblPrEx>
          <w:tblCellMar>
            <w:top w:w="0" w:type="dxa"/>
            <w:left w:w="108" w:type="dxa"/>
            <w:bottom w:w="0" w:type="dxa"/>
            <w:right w:w="108" w:type="dxa"/>
          </w:tblCellMar>
        </w:tblPrEx>
        <w:tc>
          <w:tcPr>
            <w:tcW w:w="1985" w:type="dxa"/>
          </w:tcPr>
          <w:p w14:paraId="67A9FF2E">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V（cm3）</w:t>
            </w:r>
          </w:p>
        </w:tc>
        <w:tc>
          <w:tcPr>
            <w:tcW w:w="2334" w:type="dxa"/>
          </w:tcPr>
          <w:p w14:paraId="7FAF81D7">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411.00±209.22</w:t>
            </w:r>
          </w:p>
        </w:tc>
        <w:tc>
          <w:tcPr>
            <w:tcW w:w="2485" w:type="dxa"/>
          </w:tcPr>
          <w:p w14:paraId="0B151829">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427.32±222.44</w:t>
            </w:r>
          </w:p>
        </w:tc>
        <w:tc>
          <w:tcPr>
            <w:tcW w:w="1502" w:type="dxa"/>
          </w:tcPr>
          <w:p w14:paraId="434C8488">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0.904</w:t>
            </w:r>
          </w:p>
        </w:tc>
      </w:tr>
      <w:tr w14:paraId="3226B91F">
        <w:tblPrEx>
          <w:tblCellMar>
            <w:top w:w="0" w:type="dxa"/>
            <w:left w:w="108" w:type="dxa"/>
            <w:bottom w:w="0" w:type="dxa"/>
            <w:right w:w="108" w:type="dxa"/>
          </w:tblCellMar>
        </w:tblPrEx>
        <w:tc>
          <w:tcPr>
            <w:tcW w:w="1985" w:type="dxa"/>
          </w:tcPr>
          <w:p w14:paraId="35F3AFBD">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Dmin（Gy）</w:t>
            </w:r>
          </w:p>
        </w:tc>
        <w:tc>
          <w:tcPr>
            <w:tcW w:w="2334" w:type="dxa"/>
          </w:tcPr>
          <w:p w14:paraId="60A9C56B">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41.68 (29.59，48.27)</w:t>
            </w:r>
          </w:p>
        </w:tc>
        <w:tc>
          <w:tcPr>
            <w:tcW w:w="2485" w:type="dxa"/>
          </w:tcPr>
          <w:p w14:paraId="6C0778F4">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44.04 (37.84，47.35)</w:t>
            </w:r>
          </w:p>
        </w:tc>
        <w:tc>
          <w:tcPr>
            <w:tcW w:w="1502" w:type="dxa"/>
          </w:tcPr>
          <w:p w14:paraId="75B815BC">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0.145</w:t>
            </w:r>
          </w:p>
        </w:tc>
      </w:tr>
      <w:tr w14:paraId="112BF553">
        <w:tblPrEx>
          <w:tblCellMar>
            <w:top w:w="0" w:type="dxa"/>
            <w:left w:w="108" w:type="dxa"/>
            <w:bottom w:w="0" w:type="dxa"/>
            <w:right w:w="108" w:type="dxa"/>
          </w:tblCellMar>
        </w:tblPrEx>
        <w:tc>
          <w:tcPr>
            <w:tcW w:w="1985" w:type="dxa"/>
          </w:tcPr>
          <w:p w14:paraId="12989C6D">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Dmax（Gy）</w:t>
            </w:r>
          </w:p>
        </w:tc>
        <w:tc>
          <w:tcPr>
            <w:tcW w:w="2334" w:type="dxa"/>
          </w:tcPr>
          <w:p w14:paraId="03B5C3FD">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76.70±2.36</w:t>
            </w:r>
          </w:p>
        </w:tc>
        <w:tc>
          <w:tcPr>
            <w:tcW w:w="2485" w:type="dxa"/>
          </w:tcPr>
          <w:p w14:paraId="6F2C71D6">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77.87±2.47</w:t>
            </w:r>
          </w:p>
        </w:tc>
        <w:tc>
          <w:tcPr>
            <w:tcW w:w="1502" w:type="dxa"/>
          </w:tcPr>
          <w:p w14:paraId="17181009">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0.093</w:t>
            </w:r>
          </w:p>
        </w:tc>
      </w:tr>
      <w:tr w14:paraId="44EB4F24">
        <w:tblPrEx>
          <w:tblCellMar>
            <w:top w:w="0" w:type="dxa"/>
            <w:left w:w="108" w:type="dxa"/>
            <w:bottom w:w="0" w:type="dxa"/>
            <w:right w:w="108" w:type="dxa"/>
          </w:tblCellMar>
        </w:tblPrEx>
        <w:tc>
          <w:tcPr>
            <w:tcW w:w="1985" w:type="dxa"/>
          </w:tcPr>
          <w:p w14:paraId="5E6F32A3">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Dmean（Gy）</w:t>
            </w:r>
          </w:p>
        </w:tc>
        <w:tc>
          <w:tcPr>
            <w:tcW w:w="2334" w:type="dxa"/>
          </w:tcPr>
          <w:p w14:paraId="6AF68DF9">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67.14±1.69</w:t>
            </w:r>
          </w:p>
        </w:tc>
        <w:tc>
          <w:tcPr>
            <w:tcW w:w="2485" w:type="dxa"/>
          </w:tcPr>
          <w:p w14:paraId="0FB185D7">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67.66±1.64</w:t>
            </w:r>
          </w:p>
        </w:tc>
        <w:tc>
          <w:tcPr>
            <w:tcW w:w="1502" w:type="dxa"/>
          </w:tcPr>
          <w:p w14:paraId="286850AA">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0.140</w:t>
            </w:r>
          </w:p>
        </w:tc>
      </w:tr>
      <w:tr w14:paraId="5B184E8D">
        <w:tblPrEx>
          <w:tblCellMar>
            <w:top w:w="0" w:type="dxa"/>
            <w:left w:w="108" w:type="dxa"/>
            <w:bottom w:w="0" w:type="dxa"/>
            <w:right w:w="108" w:type="dxa"/>
          </w:tblCellMar>
        </w:tblPrEx>
        <w:tc>
          <w:tcPr>
            <w:tcW w:w="1985" w:type="dxa"/>
          </w:tcPr>
          <w:p w14:paraId="35E0BF3B">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HI</w:t>
            </w:r>
          </w:p>
        </w:tc>
        <w:tc>
          <w:tcPr>
            <w:tcW w:w="2334" w:type="dxa"/>
          </w:tcPr>
          <w:p w14:paraId="0A15194C">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1.20±0.02</w:t>
            </w:r>
          </w:p>
        </w:tc>
        <w:tc>
          <w:tcPr>
            <w:tcW w:w="2485" w:type="dxa"/>
          </w:tcPr>
          <w:p w14:paraId="66782A6F">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1.20±0.04</w:t>
            </w:r>
          </w:p>
        </w:tc>
        <w:tc>
          <w:tcPr>
            <w:tcW w:w="1502" w:type="dxa"/>
          </w:tcPr>
          <w:p w14:paraId="2B00DC83">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0.765</w:t>
            </w:r>
          </w:p>
        </w:tc>
      </w:tr>
      <w:tr w14:paraId="45786A56">
        <w:tblPrEx>
          <w:tblCellMar>
            <w:top w:w="0" w:type="dxa"/>
            <w:left w:w="108" w:type="dxa"/>
            <w:bottom w:w="0" w:type="dxa"/>
            <w:right w:w="108" w:type="dxa"/>
          </w:tblCellMar>
        </w:tblPrEx>
        <w:tc>
          <w:tcPr>
            <w:tcW w:w="1985" w:type="dxa"/>
          </w:tcPr>
          <w:p w14:paraId="5422973F">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CI</w:t>
            </w:r>
          </w:p>
        </w:tc>
        <w:tc>
          <w:tcPr>
            <w:tcW w:w="2334" w:type="dxa"/>
          </w:tcPr>
          <w:p w14:paraId="4E113E27">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0.92±1.03</w:t>
            </w:r>
          </w:p>
        </w:tc>
        <w:tc>
          <w:tcPr>
            <w:tcW w:w="2485" w:type="dxa"/>
          </w:tcPr>
          <w:p w14:paraId="068A3816">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0.65±.01</w:t>
            </w:r>
          </w:p>
        </w:tc>
        <w:tc>
          <w:tcPr>
            <w:tcW w:w="1502" w:type="dxa"/>
          </w:tcPr>
          <w:p w14:paraId="7F965644">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0.057</w:t>
            </w:r>
          </w:p>
        </w:tc>
      </w:tr>
      <w:tr w14:paraId="337BA5DE">
        <w:tblPrEx>
          <w:tblCellMar>
            <w:top w:w="0" w:type="dxa"/>
            <w:left w:w="108" w:type="dxa"/>
            <w:bottom w:w="0" w:type="dxa"/>
            <w:right w:w="108" w:type="dxa"/>
          </w:tblCellMar>
        </w:tblPrEx>
        <w:tc>
          <w:tcPr>
            <w:tcW w:w="1985" w:type="dxa"/>
          </w:tcPr>
          <w:p w14:paraId="2BAABF7C">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CTV2</w:t>
            </w:r>
          </w:p>
        </w:tc>
        <w:tc>
          <w:tcPr>
            <w:tcW w:w="2334" w:type="dxa"/>
          </w:tcPr>
          <w:p w14:paraId="5080C945">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p>
        </w:tc>
        <w:tc>
          <w:tcPr>
            <w:tcW w:w="2485" w:type="dxa"/>
          </w:tcPr>
          <w:p w14:paraId="77B63202">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p>
        </w:tc>
        <w:tc>
          <w:tcPr>
            <w:tcW w:w="1502" w:type="dxa"/>
          </w:tcPr>
          <w:p w14:paraId="23A95DAE">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p>
        </w:tc>
      </w:tr>
      <w:tr w14:paraId="5A856D29">
        <w:tblPrEx>
          <w:tblCellMar>
            <w:top w:w="0" w:type="dxa"/>
            <w:left w:w="108" w:type="dxa"/>
            <w:bottom w:w="0" w:type="dxa"/>
            <w:right w:w="108" w:type="dxa"/>
          </w:tblCellMar>
        </w:tblPrEx>
        <w:tc>
          <w:tcPr>
            <w:tcW w:w="1985" w:type="dxa"/>
          </w:tcPr>
          <w:p w14:paraId="5F99E37A">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V95%（%）</w:t>
            </w:r>
          </w:p>
        </w:tc>
        <w:tc>
          <w:tcPr>
            <w:tcW w:w="2334" w:type="dxa"/>
          </w:tcPr>
          <w:p w14:paraId="2DB89D82">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2.97±1.70</w:t>
            </w:r>
          </w:p>
        </w:tc>
        <w:tc>
          <w:tcPr>
            <w:tcW w:w="2485" w:type="dxa"/>
          </w:tcPr>
          <w:p w14:paraId="1E7F4411">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2.52±1.73</w:t>
            </w:r>
          </w:p>
        </w:tc>
        <w:tc>
          <w:tcPr>
            <w:tcW w:w="1502" w:type="dxa"/>
          </w:tcPr>
          <w:p w14:paraId="136310BA">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0.490</w:t>
            </w:r>
          </w:p>
        </w:tc>
      </w:tr>
      <w:tr w14:paraId="66D412BF">
        <w:tblPrEx>
          <w:tblCellMar>
            <w:top w:w="0" w:type="dxa"/>
            <w:left w:w="108" w:type="dxa"/>
            <w:bottom w:w="0" w:type="dxa"/>
            <w:right w:w="108" w:type="dxa"/>
          </w:tblCellMar>
        </w:tblPrEx>
        <w:tc>
          <w:tcPr>
            <w:tcW w:w="1985" w:type="dxa"/>
          </w:tcPr>
          <w:p w14:paraId="51448F4B">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D95（Gy）</w:t>
            </w:r>
          </w:p>
        </w:tc>
        <w:tc>
          <w:tcPr>
            <w:tcW w:w="2334" w:type="dxa"/>
          </w:tcPr>
          <w:p w14:paraId="4E3A1D91">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54.92±1.40</w:t>
            </w:r>
          </w:p>
        </w:tc>
        <w:tc>
          <w:tcPr>
            <w:tcW w:w="2485" w:type="dxa"/>
          </w:tcPr>
          <w:p w14:paraId="268D1E0B">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55.84±2.72</w:t>
            </w:r>
          </w:p>
        </w:tc>
        <w:tc>
          <w:tcPr>
            <w:tcW w:w="1502" w:type="dxa"/>
          </w:tcPr>
          <w:p w14:paraId="0EC641B9">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0.478</w:t>
            </w:r>
          </w:p>
        </w:tc>
      </w:tr>
      <w:tr w14:paraId="7811A28C">
        <w:tblPrEx>
          <w:tblCellMar>
            <w:top w:w="0" w:type="dxa"/>
            <w:left w:w="108" w:type="dxa"/>
            <w:bottom w:w="0" w:type="dxa"/>
            <w:right w:w="108" w:type="dxa"/>
          </w:tblCellMar>
        </w:tblPrEx>
        <w:tc>
          <w:tcPr>
            <w:tcW w:w="1985" w:type="dxa"/>
          </w:tcPr>
          <w:p w14:paraId="4F3EE801">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V（cm3）</w:t>
            </w:r>
          </w:p>
        </w:tc>
        <w:tc>
          <w:tcPr>
            <w:tcW w:w="2334" w:type="dxa"/>
          </w:tcPr>
          <w:p w14:paraId="3B573B9D">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273.20±255.90</w:t>
            </w:r>
          </w:p>
        </w:tc>
        <w:tc>
          <w:tcPr>
            <w:tcW w:w="2485" w:type="dxa"/>
          </w:tcPr>
          <w:p w14:paraId="1C96DA4B">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272.82±241.70</w:t>
            </w:r>
          </w:p>
        </w:tc>
        <w:tc>
          <w:tcPr>
            <w:tcW w:w="1502" w:type="dxa"/>
          </w:tcPr>
          <w:p w14:paraId="62412412">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0.502</w:t>
            </w:r>
          </w:p>
        </w:tc>
      </w:tr>
      <w:tr w14:paraId="719BDF8A">
        <w:tblPrEx>
          <w:tblCellMar>
            <w:top w:w="0" w:type="dxa"/>
            <w:left w:w="108" w:type="dxa"/>
            <w:bottom w:w="0" w:type="dxa"/>
            <w:right w:w="108" w:type="dxa"/>
          </w:tblCellMar>
        </w:tblPrEx>
        <w:tc>
          <w:tcPr>
            <w:tcW w:w="1985" w:type="dxa"/>
          </w:tcPr>
          <w:p w14:paraId="1D05F37E">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Dmin（Gy）</w:t>
            </w:r>
          </w:p>
        </w:tc>
        <w:tc>
          <w:tcPr>
            <w:tcW w:w="2334" w:type="dxa"/>
          </w:tcPr>
          <w:p w14:paraId="085ADEBA">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47.44 (33.29，49.33)</w:t>
            </w:r>
          </w:p>
        </w:tc>
        <w:tc>
          <w:tcPr>
            <w:tcW w:w="2485" w:type="dxa"/>
          </w:tcPr>
          <w:p w14:paraId="211F30A8">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46.23 (39.70，49.43)</w:t>
            </w:r>
          </w:p>
        </w:tc>
        <w:tc>
          <w:tcPr>
            <w:tcW w:w="1502" w:type="dxa"/>
          </w:tcPr>
          <w:p w14:paraId="449A6184">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0.737</w:t>
            </w:r>
          </w:p>
        </w:tc>
      </w:tr>
      <w:tr w14:paraId="257FE606">
        <w:tblPrEx>
          <w:tblCellMar>
            <w:top w:w="0" w:type="dxa"/>
            <w:left w:w="108" w:type="dxa"/>
            <w:bottom w:w="0" w:type="dxa"/>
            <w:right w:w="108" w:type="dxa"/>
          </w:tblCellMar>
        </w:tblPrEx>
        <w:tc>
          <w:tcPr>
            <w:tcW w:w="1985" w:type="dxa"/>
          </w:tcPr>
          <w:p w14:paraId="66F49328">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Dmax（Gy）</w:t>
            </w:r>
          </w:p>
        </w:tc>
        <w:tc>
          <w:tcPr>
            <w:tcW w:w="2334" w:type="dxa"/>
          </w:tcPr>
          <w:p w14:paraId="4FBE5EFD">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69.41 (65.99，76.51)</w:t>
            </w:r>
          </w:p>
        </w:tc>
        <w:tc>
          <w:tcPr>
            <w:tcW w:w="2485" w:type="dxa"/>
          </w:tcPr>
          <w:p w14:paraId="554EFA9B">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71.96 (64.93，76.44)</w:t>
            </w:r>
          </w:p>
        </w:tc>
        <w:tc>
          <w:tcPr>
            <w:tcW w:w="1502" w:type="dxa"/>
          </w:tcPr>
          <w:p w14:paraId="51F0FF53">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0.601</w:t>
            </w:r>
          </w:p>
        </w:tc>
      </w:tr>
      <w:tr w14:paraId="10ED7DF5">
        <w:tblPrEx>
          <w:tblCellMar>
            <w:top w:w="0" w:type="dxa"/>
            <w:left w:w="108" w:type="dxa"/>
            <w:bottom w:w="0" w:type="dxa"/>
            <w:right w:w="108" w:type="dxa"/>
          </w:tblCellMar>
        </w:tblPrEx>
        <w:tc>
          <w:tcPr>
            <w:tcW w:w="1985" w:type="dxa"/>
          </w:tcPr>
          <w:p w14:paraId="6716A61E">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Dmean（Gy）</w:t>
            </w:r>
          </w:p>
        </w:tc>
        <w:tc>
          <w:tcPr>
            <w:tcW w:w="2334" w:type="dxa"/>
          </w:tcPr>
          <w:p w14:paraId="6AEFC1A2">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59.05±3.07</w:t>
            </w:r>
          </w:p>
        </w:tc>
        <w:tc>
          <w:tcPr>
            <w:tcW w:w="2485" w:type="dxa"/>
          </w:tcPr>
          <w:p w14:paraId="0AE463E8">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59.42±5.31</w:t>
            </w:r>
          </w:p>
        </w:tc>
        <w:tc>
          <w:tcPr>
            <w:tcW w:w="1502" w:type="dxa"/>
          </w:tcPr>
          <w:p w14:paraId="76D97F17">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0.654</w:t>
            </w:r>
          </w:p>
        </w:tc>
      </w:tr>
      <w:tr w14:paraId="2DA76DE8">
        <w:tblPrEx>
          <w:tblCellMar>
            <w:top w:w="0" w:type="dxa"/>
            <w:left w:w="108" w:type="dxa"/>
            <w:bottom w:w="0" w:type="dxa"/>
            <w:right w:w="108" w:type="dxa"/>
          </w:tblCellMar>
        </w:tblPrEx>
        <w:tc>
          <w:tcPr>
            <w:tcW w:w="1985" w:type="dxa"/>
          </w:tcPr>
          <w:p w14:paraId="2493292A">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HI</w:t>
            </w:r>
          </w:p>
        </w:tc>
        <w:tc>
          <w:tcPr>
            <w:tcW w:w="2334" w:type="dxa"/>
          </w:tcPr>
          <w:p w14:paraId="3C9EEF6C">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1.18±0.10</w:t>
            </w:r>
          </w:p>
        </w:tc>
        <w:tc>
          <w:tcPr>
            <w:tcW w:w="2485" w:type="dxa"/>
          </w:tcPr>
          <w:p w14:paraId="3853E0CB">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1.19±0.11</w:t>
            </w:r>
          </w:p>
        </w:tc>
        <w:tc>
          <w:tcPr>
            <w:tcW w:w="1502" w:type="dxa"/>
          </w:tcPr>
          <w:p w14:paraId="04E3AE6E">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0.526</w:t>
            </w:r>
          </w:p>
        </w:tc>
      </w:tr>
      <w:tr w14:paraId="7E5C29FC">
        <w:tblPrEx>
          <w:tblCellMar>
            <w:top w:w="0" w:type="dxa"/>
            <w:left w:w="108" w:type="dxa"/>
            <w:bottom w:w="0" w:type="dxa"/>
            <w:right w:w="108" w:type="dxa"/>
          </w:tblCellMar>
        </w:tblPrEx>
        <w:tc>
          <w:tcPr>
            <w:tcW w:w="1985" w:type="dxa"/>
            <w:tcBorders>
              <w:bottom w:val="single" w:color="auto" w:sz="12" w:space="0"/>
            </w:tcBorders>
          </w:tcPr>
          <w:p w14:paraId="059EF262">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CI</w:t>
            </w:r>
          </w:p>
        </w:tc>
        <w:tc>
          <w:tcPr>
            <w:tcW w:w="2334" w:type="dxa"/>
            <w:tcBorders>
              <w:bottom w:val="single" w:color="auto" w:sz="12" w:space="0"/>
            </w:tcBorders>
          </w:tcPr>
          <w:p w14:paraId="3DC557CB">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0.29±0.28</w:t>
            </w:r>
          </w:p>
        </w:tc>
        <w:tc>
          <w:tcPr>
            <w:tcW w:w="2485" w:type="dxa"/>
            <w:tcBorders>
              <w:bottom w:val="single" w:color="auto" w:sz="12" w:space="0"/>
            </w:tcBorders>
          </w:tcPr>
          <w:p w14:paraId="56C5D771">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0.38±0.41</w:t>
            </w:r>
          </w:p>
        </w:tc>
        <w:tc>
          <w:tcPr>
            <w:tcW w:w="1502" w:type="dxa"/>
            <w:tcBorders>
              <w:bottom w:val="single" w:color="auto" w:sz="12" w:space="0"/>
            </w:tcBorders>
          </w:tcPr>
          <w:p w14:paraId="7EE6FBF0">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0.279</w:t>
            </w:r>
          </w:p>
        </w:tc>
      </w:tr>
    </w:tbl>
    <w:p w14:paraId="74C8055E">
      <w:pPr>
        <w:widowControl/>
        <w:spacing w:before="156" w:beforeLines="50" w:after="156" w:afterLines="50" w:line="360" w:lineRule="auto"/>
        <w:rPr>
          <w:rFonts w:ascii="Times New Roman" w:hAnsi="Times New Roman" w:eastAsia="宋体" w:cs="Times New Roman"/>
          <w:szCs w:val="21"/>
          <w:highlight w:val="none"/>
        </w:rPr>
      </w:pPr>
      <w:r>
        <w:rPr>
          <w:rFonts w:ascii="Times New Roman" w:hAnsi="Times New Roman" w:eastAsia="宋体" w:cs="Times New Roman"/>
          <w:szCs w:val="21"/>
          <w:highlight w:val="none"/>
        </w:rPr>
        <w:t>Note: GTVnx, gross tumor volumes of the nasopharynx. GTVnd, gross tumor volumes of the lymph nodes. CTV, clinical target volume.</w:t>
      </w:r>
      <w:r>
        <w:rPr>
          <w:rFonts w:ascii="Times New Roman" w:hAnsi="Times New Roman" w:cs="Times New Roman"/>
          <w:szCs w:val="21"/>
          <w:highlight w:val="none"/>
        </w:rPr>
        <w:t xml:space="preserve"> </w:t>
      </w:r>
      <w:r>
        <w:rPr>
          <w:rFonts w:ascii="Times New Roman" w:hAnsi="Times New Roman" w:eastAsia="宋体" w:cs="Times New Roman"/>
          <w:szCs w:val="21"/>
          <w:highlight w:val="none"/>
        </w:rPr>
        <w:t>The measurement data follows a normal distribution with the mean and standard deviation (</w:t>
      </w:r>
      <w:r>
        <w:rPr>
          <w:rFonts w:ascii="Cambria Math" w:hAnsi="Cambria Math" w:eastAsia="宋体" w:cs="Cambria Math"/>
          <w:szCs w:val="21"/>
          <w:highlight w:val="none"/>
        </w:rPr>
        <w:t>𝑥</w:t>
      </w:r>
      <w:r>
        <w:rPr>
          <w:rFonts w:ascii="Times New Roman" w:hAnsi="Times New Roman" w:eastAsia="宋体" w:cs="Times New Roman"/>
          <w:szCs w:val="21"/>
          <w:highlight w:val="none"/>
        </w:rPr>
        <w:t xml:space="preserve"> ̅ + s).</w:t>
      </w:r>
      <w:r>
        <w:rPr>
          <w:rFonts w:ascii="Times New Roman" w:hAnsi="Times New Roman" w:cs="Times New Roman"/>
          <w:szCs w:val="21"/>
          <w:highlight w:val="none"/>
        </w:rPr>
        <w:t xml:space="preserve"> </w:t>
      </w:r>
      <w:r>
        <w:rPr>
          <w:rFonts w:ascii="Times New Roman" w:hAnsi="Times New Roman" w:eastAsia="宋体" w:cs="Times New Roman"/>
          <w:szCs w:val="21"/>
          <w:highlight w:val="none"/>
        </w:rPr>
        <w:t xml:space="preserve">The measurement data that deviated from the normal distribution were represented by their median and interquartile range [M (QL, QU)]. </w:t>
      </w:r>
      <w:r>
        <w:rPr>
          <w:rFonts w:ascii="Times New Roman" w:hAnsi="Times New Roman" w:cs="Times New Roman"/>
          <w:kern w:val="0"/>
          <w:szCs w:val="21"/>
          <w:highlight w:val="none"/>
        </w:rPr>
        <w:t>Percentage values are rounded.</w:t>
      </w:r>
      <w:r>
        <w:rPr>
          <w:rFonts w:ascii="Times New Roman" w:hAnsi="Times New Roman" w:cs="Times New Roman"/>
          <w:highlight w:val="none"/>
        </w:rPr>
        <w:t xml:space="preserve"> </w:t>
      </w:r>
      <w:r>
        <w:rPr>
          <w:rFonts w:ascii="Times New Roman" w:hAnsi="Times New Roman" w:cs="Times New Roman"/>
          <w:kern w:val="0"/>
          <w:szCs w:val="21"/>
          <w:highlight w:val="none"/>
        </w:rPr>
        <w:t>V93, V100, V110 and V115 mean percentage of volume receiving &gt; 93, 100, 110 and 115 Gy radiation. D95 means the radiation dose received by 95% of the irradiated volume. D</w:t>
      </w:r>
      <w:r>
        <w:rPr>
          <w:rFonts w:ascii="Times New Roman" w:hAnsi="Times New Roman" w:eastAsia="宋体" w:cs="Times New Roman"/>
          <w:szCs w:val="21"/>
          <w:highlight w:val="none"/>
        </w:rPr>
        <w:t>max, Dmean and Dmin mean maximum, minimum and mean dose to the targets, respectively. Conformity Index</w:t>
      </w:r>
      <w:r>
        <w:rPr>
          <w:rFonts w:ascii="Times New Roman" w:hAnsi="Times New Roman" w:eastAsia="宋体" w:cs="Times New Roman"/>
          <w:szCs w:val="21"/>
          <w:highlight w:val="none"/>
        </w:rPr>
        <w:fldChar w:fldCharType="begin"/>
      </w:r>
      <w:r>
        <w:rPr>
          <w:rFonts w:ascii="Times New Roman" w:hAnsi="Times New Roman" w:eastAsia="宋体" w:cs="Times New Roman"/>
          <w:szCs w:val="21"/>
          <w:highlight w:val="none"/>
        </w:rPr>
        <w:instrText xml:space="preserve"> ADDIN EN.CITE &lt;EndNote&gt;&lt;Cite&gt;&lt;Author&gt;Feuvret&lt;/Author&gt;&lt;Year&gt;2006&lt;/Year&gt;&lt;RecNum&gt;297&lt;/RecNum&gt;&lt;DisplayText&gt;&lt;style face="superscript"&gt;[1]&lt;/style&gt;&lt;/DisplayText&gt;&lt;record&gt;&lt;rec-number&gt;297&lt;/rec-number&gt;&lt;foreign-keys&gt;&lt;key app="EN" db-id="090dpdtx50tavlexpf75ptfuv5xzde0e59s9" timestamp="1670666761"&gt;297&lt;/key&gt;&lt;key app="ENWeb" db-id=""&gt;0&lt;/key&gt;&lt;/foreign-keys&gt;&lt;ref-type name="Journal Article"&gt;17&lt;/ref-type&gt;&lt;contributors&gt;&lt;authors&gt;&lt;author&gt;Feuvret, L.&lt;/author&gt;&lt;author&gt;Noel, G.&lt;/author&gt;&lt;author&gt;Mazeron, J. J.&lt;/author&gt;&lt;author&gt;Bey, P.&lt;/author&gt;&lt;/authors&gt;&lt;/contributors&gt;&lt;auth-address&gt;Institut Curie, Orsay, France. loic.feuvret@cpo.curie.net&lt;/auth-address&gt;&lt;titles&gt;&lt;title&gt;Conformity index: a review&lt;/title&gt;&lt;secondary-title&gt;Int J Radiat Oncol Biol Phys&lt;/secondary-title&gt;&lt;/titles&gt;&lt;periodical&gt;&lt;full-title&gt;Int J Radiat Oncol Biol Phys&lt;/full-title&gt;&lt;/periodical&gt;&lt;pages&gt;333-42&lt;/pages&gt;&lt;volume&gt;64&lt;/volume&gt;&lt;number&gt;2&lt;/number&gt;&lt;edition&gt;2006/01/18&lt;/edition&gt;&lt;keywords&gt;&lt;keyword&gt;*Algorithms&lt;/keyword&gt;&lt;keyword&gt;Arteriovenous Malformations/radiotherapy&lt;/keyword&gt;&lt;keyword&gt;Brachytherapy/methods/standards&lt;/keyword&gt;&lt;keyword&gt;Clinical Protocols/*standards&lt;/keyword&gt;&lt;keyword&gt;Radiation Injuries/prevention &amp;amp; control&lt;/keyword&gt;&lt;keyword&gt;Radiotherapy Dosage/*standards&lt;/keyword&gt;&lt;keyword&gt;Radiotherapy, Conformal/methods/*standards&lt;/keyword&gt;&lt;keyword&gt;Reference Values&lt;/keyword&gt;&lt;keyword&gt;Stereotaxic Techniques/*standards&lt;/keyword&gt;&lt;keyword&gt;Technology, Radiologic/methods/standards&lt;/keyword&gt;&lt;/keywords&gt;&lt;dates&gt;&lt;year&gt;2006&lt;/year&gt;&lt;pub-dates&gt;&lt;date&gt;Feb 1&lt;/date&gt;&lt;/pub-dates&gt;&lt;/dates&gt;&lt;isbn&gt;0360-3016 (Print)&amp;#xD;0360-3016 (Linking)&lt;/isbn&gt;&lt;accession-num&gt;16414369&lt;/accession-num&gt;&lt;urls&gt;&lt;related-urls&gt;&lt;url&gt;https://www.ncbi.nlm.nih.gov/pubmed/16414369&lt;/url&gt;&lt;/related-urls&gt;&lt;/urls&gt;&lt;electronic-resource-num&gt;10.1016/j.ijrobp.2005.09.028&lt;/electronic-resource-num&gt;&lt;/record&gt;&lt;/Cite&gt;&lt;/EndNote&gt;</w:instrText>
      </w:r>
      <w:r>
        <w:rPr>
          <w:rFonts w:ascii="Times New Roman" w:hAnsi="Times New Roman" w:eastAsia="宋体" w:cs="Times New Roman"/>
          <w:szCs w:val="21"/>
          <w:highlight w:val="none"/>
        </w:rPr>
        <w:fldChar w:fldCharType="separate"/>
      </w:r>
      <w:r>
        <w:rPr>
          <w:rFonts w:ascii="Times New Roman" w:hAnsi="Times New Roman" w:eastAsia="宋体" w:cs="Times New Roman"/>
          <w:szCs w:val="21"/>
          <w:highlight w:val="none"/>
          <w:vertAlign w:val="superscript"/>
        </w:rPr>
        <w:t>[1]</w:t>
      </w:r>
      <w:r>
        <w:rPr>
          <w:rFonts w:ascii="Times New Roman" w:hAnsi="Times New Roman" w:eastAsia="宋体" w:cs="Times New Roman"/>
          <w:szCs w:val="21"/>
          <w:highlight w:val="none"/>
        </w:rPr>
        <w:fldChar w:fldCharType="end"/>
      </w:r>
      <w:r>
        <w:rPr>
          <w:rFonts w:ascii="Times New Roman" w:hAnsi="Times New Roman" w:eastAsia="宋体" w:cs="Times New Roman"/>
          <w:szCs w:val="21"/>
          <w:highlight w:val="none"/>
        </w:rPr>
        <w:t>, CI=(PTV</w:t>
      </w:r>
      <w:r>
        <w:rPr>
          <w:rFonts w:ascii="Times New Roman" w:hAnsi="Times New Roman" w:eastAsia="宋体" w:cs="Times New Roman"/>
          <w:szCs w:val="21"/>
          <w:highlight w:val="none"/>
          <w:vertAlign w:val="subscript"/>
        </w:rPr>
        <w:t>ref</w:t>
      </w:r>
      <w:r>
        <w:rPr>
          <w:rFonts w:ascii="Times New Roman" w:hAnsi="Times New Roman" w:eastAsia="宋体" w:cs="Times New Roman"/>
          <w:szCs w:val="21"/>
          <w:highlight w:val="none"/>
        </w:rPr>
        <w:t>/V</w:t>
      </w:r>
      <w:r>
        <w:rPr>
          <w:rFonts w:ascii="Times New Roman" w:hAnsi="Times New Roman" w:eastAsia="宋体" w:cs="Times New Roman"/>
          <w:szCs w:val="21"/>
          <w:highlight w:val="none"/>
          <w:vertAlign w:val="subscript"/>
        </w:rPr>
        <w:t>PTV</w:t>
      </w:r>
      <w:r>
        <w:rPr>
          <w:rFonts w:ascii="Times New Roman" w:hAnsi="Times New Roman" w:eastAsia="宋体" w:cs="Times New Roman"/>
          <w:szCs w:val="21"/>
          <w:highlight w:val="none"/>
        </w:rPr>
        <w:t>) × (PTV</w:t>
      </w:r>
      <w:r>
        <w:rPr>
          <w:rFonts w:ascii="Times New Roman" w:hAnsi="Times New Roman" w:eastAsia="宋体" w:cs="Times New Roman"/>
          <w:szCs w:val="21"/>
          <w:highlight w:val="none"/>
          <w:vertAlign w:val="subscript"/>
        </w:rPr>
        <w:t>ref</w:t>
      </w:r>
      <w:r>
        <w:rPr>
          <w:rFonts w:ascii="Times New Roman" w:hAnsi="Times New Roman" w:eastAsia="宋体" w:cs="Times New Roman"/>
          <w:szCs w:val="21"/>
          <w:highlight w:val="none"/>
        </w:rPr>
        <w:t>/V</w:t>
      </w:r>
      <w:r>
        <w:rPr>
          <w:rFonts w:ascii="Times New Roman" w:hAnsi="Times New Roman" w:eastAsia="宋体" w:cs="Times New Roman"/>
          <w:szCs w:val="21"/>
          <w:highlight w:val="none"/>
          <w:vertAlign w:val="subscript"/>
        </w:rPr>
        <w:t>95%</w:t>
      </w:r>
      <w:r>
        <w:rPr>
          <w:rFonts w:ascii="Times New Roman" w:hAnsi="Times New Roman" w:eastAsia="宋体" w:cs="Times New Roman"/>
          <w:szCs w:val="21"/>
          <w:highlight w:val="none"/>
        </w:rPr>
        <w:t>). PTV</w:t>
      </w:r>
      <w:r>
        <w:rPr>
          <w:rFonts w:ascii="Times New Roman" w:hAnsi="Times New Roman" w:eastAsia="宋体" w:cs="Times New Roman"/>
          <w:szCs w:val="21"/>
          <w:highlight w:val="none"/>
          <w:vertAlign w:val="subscript"/>
        </w:rPr>
        <w:t>ref</w:t>
      </w:r>
      <w:r>
        <w:rPr>
          <w:rFonts w:ascii="Times New Roman" w:hAnsi="Times New Roman" w:eastAsia="宋体" w:cs="Times New Roman"/>
          <w:szCs w:val="21"/>
          <w:highlight w:val="none"/>
        </w:rPr>
        <w:t xml:space="preserve"> represents the volume of the planning target volume receiving 95% of the prescribed dose, while V</w:t>
      </w:r>
      <w:r>
        <w:rPr>
          <w:rFonts w:ascii="Times New Roman" w:hAnsi="Times New Roman" w:eastAsia="宋体" w:cs="Times New Roman"/>
          <w:szCs w:val="21"/>
          <w:highlight w:val="none"/>
          <w:vertAlign w:val="subscript"/>
        </w:rPr>
        <w:t>PTV</w:t>
      </w:r>
      <w:r>
        <w:rPr>
          <w:rFonts w:ascii="Times New Roman" w:hAnsi="Times New Roman" w:eastAsia="宋体" w:cs="Times New Roman"/>
          <w:szCs w:val="21"/>
          <w:highlight w:val="none"/>
        </w:rPr>
        <w:t xml:space="preserve"> denotes the total PTV volume and V</w:t>
      </w:r>
      <w:r>
        <w:rPr>
          <w:rFonts w:ascii="Times New Roman" w:hAnsi="Times New Roman" w:eastAsia="宋体" w:cs="Times New Roman"/>
          <w:szCs w:val="21"/>
          <w:highlight w:val="none"/>
          <w:vertAlign w:val="subscript"/>
        </w:rPr>
        <w:t>95%</w:t>
      </w:r>
      <w:r>
        <w:rPr>
          <w:rFonts w:ascii="Times New Roman" w:hAnsi="Times New Roman" w:eastAsia="宋体" w:cs="Times New Roman"/>
          <w:szCs w:val="21"/>
          <w:highlight w:val="none"/>
        </w:rPr>
        <w:t xml:space="preserve"> refers to the volume encompassed by 95% isodose coverage in the entire body. A higher conformity index (CI) value closer to 1, indicates better agreement between planned and delivered dose. Homogeneity Index, HI</w:t>
      </w:r>
      <w:r>
        <w:rPr>
          <w:rFonts w:ascii="Times New Roman" w:hAnsi="Times New Roman" w:eastAsia="宋体" w:cs="Times New Roman"/>
          <w:szCs w:val="21"/>
          <w:highlight w:val="none"/>
        </w:rPr>
        <w:fldChar w:fldCharType="begin"/>
      </w:r>
      <w:r>
        <w:rPr>
          <w:rFonts w:ascii="Times New Roman" w:hAnsi="Times New Roman" w:eastAsia="宋体" w:cs="Times New Roman"/>
          <w:szCs w:val="21"/>
          <w:highlight w:val="none"/>
        </w:rPr>
        <w:instrText xml:space="preserve"> ADDIN EN.CITE &lt;EndNote&gt;&lt;Cite&gt;&lt;Author&gt;Semenenko&lt;/Author&gt;&lt;Year&gt;2008&lt;/Year&gt;&lt;RecNum&gt;324&lt;/RecNum&gt;&lt;DisplayText&gt;&lt;style face="superscript"&gt;[2]&lt;/style&gt;&lt;/DisplayText&gt;&lt;record&gt;&lt;rec-number&gt;324&lt;/rec-number&gt;&lt;foreign-keys&gt;&lt;key app="EN" db-id="090dpdtx50tavlexpf75ptfuv5xzde0e59s9" timestamp="1674024947"&gt;324&lt;/key&gt;&lt;key app="ENWeb" db-id=""&gt;0&lt;/key&gt;&lt;/foreign-keys&gt;&lt;ref-type name="Journal Article"&gt;17&lt;/ref-type&gt;&lt;contributors&gt;&lt;authors&gt;&lt;author&gt;Semenenko, V. A.&lt;/author&gt;&lt;author&gt;Reitz, B.&lt;/author&gt;&lt;author&gt;Day, E.&lt;/author&gt;&lt;author&gt;Qi, X. S.&lt;/author&gt;&lt;author&gt;Miften, M.&lt;/author&gt;&lt;author&gt;Li, X. A.&lt;/author&gt;&lt;/authors&gt;&lt;/contributors&gt;&lt;auth-address&gt;Department of Radiation Oncology, Medical College of Wisconsin, Milwaukee, Wisconsin 53226, USA. vsemenenko@mcw.edu&lt;/auth-address&gt;&lt;titles&gt;&lt;title&gt;Evaluation of a commercial biologically based IMRT treatment planning system&lt;/title&gt;&lt;secondary-title&gt;Med Phys&lt;/secondary-title&gt;&lt;/titles&gt;&lt;periodical&gt;&lt;full-title&gt;Med Phys&lt;/full-title&gt;&lt;/periodical&gt;&lt;pages&gt;5851-60&lt;/pages&gt;&lt;volume&gt;35&lt;/volume&gt;&lt;number&gt;12&lt;/number&gt;&lt;edition&gt;2009/01/30&lt;/edition&gt;&lt;keywords&gt;&lt;keyword&gt;Algorithms&lt;/keyword&gt;&lt;keyword&gt;Brain Neoplasms/radiotherapy&lt;/keyword&gt;&lt;keyword&gt;Equipment Design&lt;/keyword&gt;&lt;keyword&gt;Humans&lt;/keyword&gt;&lt;keyword&gt;Male&lt;/keyword&gt;&lt;keyword&gt;Models, Statistical&lt;/keyword&gt;&lt;keyword&gt;Neoplasms/radiotherapy&lt;/keyword&gt;&lt;keyword&gt;Particle Accelerators&lt;/keyword&gt;&lt;keyword&gt;Prostatic Neoplasms/radiotherapy&lt;/keyword&gt;&lt;keyword&gt;Radiation Protection&lt;/keyword&gt;&lt;keyword&gt;Radiometry/methods&lt;/keyword&gt;&lt;keyword&gt;Radiotherapy Dosage&lt;/keyword&gt;&lt;keyword&gt;Radiotherapy Planning, Computer-Assisted/methods&lt;/keyword&gt;&lt;keyword&gt;Radiotherapy, Intensity-Modulated/*methods&lt;/keyword&gt;&lt;/keywords&gt;&lt;dates&gt;&lt;year&gt;2008&lt;/year&gt;&lt;pub-dates&gt;&lt;date&gt;Dec&lt;/date&gt;&lt;/pub-dates&gt;&lt;/dates&gt;&lt;isbn&gt;0094-2405 (Print)&amp;#xD;0094-2405 (Linking)&lt;/isbn&gt;&lt;accession-num&gt;19175141&lt;/accession-num&gt;&lt;urls&gt;&lt;related-urls&gt;&lt;url&gt;https://www.ncbi.nlm.nih.gov/pubmed/19175141&lt;/url&gt;&lt;/related-urls&gt;&lt;/urls&gt;&lt;electronic-resource-num&gt;10.1118/1.3013556&lt;/electronic-resource-num&gt;&lt;/record&gt;&lt;/Cite&gt;&lt;/EndNote&gt;</w:instrText>
      </w:r>
      <w:r>
        <w:rPr>
          <w:rFonts w:ascii="Times New Roman" w:hAnsi="Times New Roman" w:eastAsia="宋体" w:cs="Times New Roman"/>
          <w:szCs w:val="21"/>
          <w:highlight w:val="none"/>
        </w:rPr>
        <w:fldChar w:fldCharType="separate"/>
      </w:r>
      <w:r>
        <w:rPr>
          <w:rFonts w:ascii="Times New Roman" w:hAnsi="Times New Roman" w:eastAsia="宋体" w:cs="Times New Roman"/>
          <w:szCs w:val="21"/>
          <w:highlight w:val="none"/>
          <w:vertAlign w:val="superscript"/>
        </w:rPr>
        <w:t>[2]</w:t>
      </w:r>
      <w:r>
        <w:rPr>
          <w:rFonts w:ascii="Times New Roman" w:hAnsi="Times New Roman" w:eastAsia="宋体" w:cs="Times New Roman"/>
          <w:szCs w:val="21"/>
          <w:highlight w:val="none"/>
        </w:rPr>
        <w:fldChar w:fldCharType="end"/>
      </w:r>
      <w:r>
        <w:rPr>
          <w:rFonts w:ascii="Times New Roman" w:hAnsi="Times New Roman" w:eastAsia="宋体" w:cs="Times New Roman"/>
          <w:szCs w:val="21"/>
          <w:highlight w:val="none"/>
        </w:rPr>
        <w:t>. HI=D</w:t>
      </w:r>
      <w:r>
        <w:rPr>
          <w:rFonts w:ascii="Times New Roman" w:hAnsi="Times New Roman" w:eastAsia="宋体" w:cs="Times New Roman"/>
          <w:szCs w:val="21"/>
          <w:highlight w:val="none"/>
          <w:vertAlign w:val="subscript"/>
        </w:rPr>
        <w:t>5%</w:t>
      </w:r>
      <w:r>
        <w:rPr>
          <w:rFonts w:ascii="Times New Roman" w:hAnsi="Times New Roman" w:eastAsia="宋体" w:cs="Times New Roman"/>
          <w:szCs w:val="21"/>
          <w:highlight w:val="none"/>
        </w:rPr>
        <w:t>/D</w:t>
      </w:r>
      <w:r>
        <w:rPr>
          <w:rFonts w:ascii="Times New Roman" w:hAnsi="Times New Roman" w:eastAsia="宋体" w:cs="Times New Roman"/>
          <w:szCs w:val="21"/>
          <w:highlight w:val="none"/>
          <w:vertAlign w:val="subscript"/>
        </w:rPr>
        <w:t>95%</w:t>
      </w:r>
      <w:r>
        <w:rPr>
          <w:rFonts w:ascii="Times New Roman" w:hAnsi="Times New Roman" w:eastAsia="宋体" w:cs="Times New Roman"/>
          <w:szCs w:val="21"/>
          <w:highlight w:val="none"/>
        </w:rPr>
        <w:t>. The D</w:t>
      </w:r>
      <w:r>
        <w:rPr>
          <w:rFonts w:ascii="Times New Roman" w:hAnsi="Times New Roman" w:eastAsia="宋体" w:cs="Times New Roman"/>
          <w:szCs w:val="21"/>
          <w:highlight w:val="none"/>
          <w:vertAlign w:val="subscript"/>
        </w:rPr>
        <w:t>5%</w:t>
      </w:r>
      <w:r>
        <w:rPr>
          <w:rFonts w:ascii="Times New Roman" w:hAnsi="Times New Roman" w:eastAsia="宋体" w:cs="Times New Roman"/>
          <w:szCs w:val="21"/>
          <w:highlight w:val="none"/>
        </w:rPr>
        <w:t xml:space="preserve"> and D</w:t>
      </w:r>
      <w:r>
        <w:rPr>
          <w:rFonts w:ascii="Times New Roman" w:hAnsi="Times New Roman" w:eastAsia="宋体" w:cs="Times New Roman"/>
          <w:szCs w:val="21"/>
          <w:highlight w:val="none"/>
          <w:vertAlign w:val="subscript"/>
        </w:rPr>
        <w:t>95%</w:t>
      </w:r>
      <w:r>
        <w:rPr>
          <w:rFonts w:ascii="Times New Roman" w:hAnsi="Times New Roman" w:eastAsia="宋体" w:cs="Times New Roman"/>
          <w:szCs w:val="21"/>
          <w:highlight w:val="none"/>
        </w:rPr>
        <w:t xml:space="preserve"> represent the dose received by 5% and 95% of the planning target volume (PTV), respectively. An ideal homogeneity index (HI) value is 1, which increases with plan inhomogeneity.</w:t>
      </w:r>
    </w:p>
    <w:p w14:paraId="16C778DB">
      <w:pPr>
        <w:rPr>
          <w:rFonts w:ascii="Times New Roman" w:hAnsi="Times New Roman" w:cs="Times New Roman"/>
          <w:highlight w:val="none"/>
        </w:rPr>
      </w:pPr>
    </w:p>
    <w:p w14:paraId="1234B544">
      <w:pPr>
        <w:adjustRightInd w:val="0"/>
        <w:snapToGrid w:val="0"/>
        <w:spacing w:line="360" w:lineRule="auto"/>
        <w:rPr>
          <w:rFonts w:ascii="Times New Roman" w:hAnsi="Times New Roman" w:eastAsia="宋体" w:cs="Times New Roman"/>
          <w:sz w:val="24"/>
          <w:szCs w:val="24"/>
          <w:highlight w:val="none"/>
        </w:rPr>
      </w:pPr>
      <w:bookmarkStart w:id="1" w:name="_Hlk128531091"/>
    </w:p>
    <w:p w14:paraId="1905FE76">
      <w:pPr>
        <w:widowControl/>
        <w:jc w:val="left"/>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br w:type="page"/>
      </w:r>
    </w:p>
    <w:p w14:paraId="57789E2C">
      <w:pPr>
        <w:adjustRightInd w:val="0"/>
        <w:snapToGrid w:val="0"/>
        <w:spacing w:line="360" w:lineRule="auto"/>
        <w:rPr>
          <w:rFonts w:ascii="Times New Roman" w:hAnsi="Times New Roman" w:cs="Times New Roman"/>
          <w:sz w:val="36"/>
          <w:szCs w:val="32"/>
          <w:highlight w:val="none"/>
        </w:rPr>
      </w:pPr>
      <w:r>
        <w:rPr>
          <w:rFonts w:ascii="Times New Roman" w:hAnsi="Times New Roman" w:eastAsia="宋体" w:cs="Times New Roman"/>
          <w:sz w:val="24"/>
          <w:szCs w:val="24"/>
          <w:highlight w:val="none"/>
        </w:rPr>
        <w:t xml:space="preserve">Table </w:t>
      </w:r>
      <w:r>
        <w:rPr>
          <w:rFonts w:hint="eastAsia" w:ascii="Times New Roman" w:hAnsi="Times New Roman" w:eastAsia="宋体" w:cs="Times New Roman"/>
          <w:sz w:val="24"/>
          <w:szCs w:val="24"/>
          <w:highlight w:val="none"/>
          <w:lang w:val="en-US" w:eastAsia="zh-CN"/>
        </w:rPr>
        <w:t>S</w:t>
      </w:r>
      <w:r>
        <w:rPr>
          <w:rFonts w:ascii="Times New Roman" w:hAnsi="Times New Roman" w:eastAsia="宋体" w:cs="Times New Roman"/>
          <w:sz w:val="24"/>
          <w:szCs w:val="24"/>
          <w:highlight w:val="none"/>
        </w:rPr>
        <w:t>5. Dosimetric comparison of organs at risk between conventional radiotherapy group and reduced CTV2 radiotherapy group.</w:t>
      </w:r>
    </w:p>
    <w:tbl>
      <w:tblPr>
        <w:tblStyle w:val="8"/>
        <w:tblW w:w="9214"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8"/>
        <w:gridCol w:w="2126"/>
        <w:gridCol w:w="2127"/>
        <w:gridCol w:w="2032"/>
        <w:gridCol w:w="1081"/>
      </w:tblGrid>
      <w:tr w14:paraId="75F6E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1848" w:type="dxa"/>
            <w:tcBorders>
              <w:top w:val="single" w:color="auto" w:sz="12" w:space="0"/>
              <w:left w:val="nil"/>
              <w:bottom w:val="single" w:color="auto" w:sz="6" w:space="0"/>
              <w:right w:val="nil"/>
            </w:tcBorders>
            <w:vAlign w:val="center"/>
          </w:tcPr>
          <w:p w14:paraId="4958DB0C">
            <w:pPr>
              <w:keepNext w:val="0"/>
              <w:keepLines w:val="0"/>
              <w:suppressLineNumbers w:val="0"/>
              <w:adjustRightInd w:val="0"/>
              <w:snapToGrid w:val="0"/>
              <w:spacing w:before="0" w:beforeAutospacing="0" w:after="0" w:afterAutospacing="0" w:line="400" w:lineRule="exact"/>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Parameter</w:t>
            </w:r>
          </w:p>
        </w:tc>
        <w:tc>
          <w:tcPr>
            <w:tcW w:w="2126" w:type="dxa"/>
            <w:tcBorders>
              <w:top w:val="single" w:color="auto" w:sz="12" w:space="0"/>
              <w:left w:val="nil"/>
              <w:bottom w:val="single" w:color="auto" w:sz="6" w:space="0"/>
              <w:right w:val="nil"/>
            </w:tcBorders>
            <w:vAlign w:val="center"/>
          </w:tcPr>
          <w:p w14:paraId="70D825C3">
            <w:pPr>
              <w:keepNext w:val="0"/>
              <w:keepLines w:val="0"/>
              <w:suppressLineNumbers w:val="0"/>
              <w:adjustRightInd w:val="0"/>
              <w:snapToGrid w:val="0"/>
              <w:spacing w:before="0" w:beforeAutospacing="0" w:after="0" w:afterAutospacing="0" w:line="400" w:lineRule="exact"/>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Conventional radiotherapy group</w:t>
            </w:r>
          </w:p>
        </w:tc>
        <w:tc>
          <w:tcPr>
            <w:tcW w:w="2127" w:type="dxa"/>
            <w:tcBorders>
              <w:top w:val="single" w:color="auto" w:sz="12" w:space="0"/>
              <w:left w:val="nil"/>
              <w:bottom w:val="single" w:color="auto" w:sz="6" w:space="0"/>
              <w:right w:val="nil"/>
            </w:tcBorders>
            <w:vAlign w:val="center"/>
          </w:tcPr>
          <w:p w14:paraId="2F2D91D7">
            <w:pPr>
              <w:keepNext w:val="0"/>
              <w:keepLines w:val="0"/>
              <w:suppressLineNumbers w:val="0"/>
              <w:adjustRightInd w:val="0"/>
              <w:snapToGrid w:val="0"/>
              <w:spacing w:before="0" w:beforeAutospacing="0" w:after="0" w:afterAutospacing="0" w:line="400" w:lineRule="exact"/>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Reduced CTV2 radiotherapy group</w:t>
            </w:r>
          </w:p>
        </w:tc>
        <w:tc>
          <w:tcPr>
            <w:tcW w:w="2032" w:type="dxa"/>
            <w:tcBorders>
              <w:top w:val="single" w:color="auto" w:sz="12" w:space="0"/>
              <w:left w:val="nil"/>
              <w:bottom w:val="single" w:color="auto" w:sz="6" w:space="0"/>
              <w:right w:val="nil"/>
            </w:tcBorders>
            <w:vAlign w:val="center"/>
          </w:tcPr>
          <w:p w14:paraId="166178A9">
            <w:pPr>
              <w:keepNext w:val="0"/>
              <w:keepLines w:val="0"/>
              <w:suppressLineNumbers w:val="0"/>
              <w:adjustRightInd w:val="0"/>
              <w:snapToGrid w:val="0"/>
              <w:spacing w:before="0" w:beforeAutospacing="0" w:after="0" w:afterAutospacing="0" w:line="400" w:lineRule="exact"/>
              <w:ind w:left="0" w:right="0"/>
              <w:rPr>
                <w:rFonts w:hint="eastAsia" w:ascii="Times New Roman" w:hAnsi="Times New Roman" w:eastAsia="宋体" w:cs="Times New Roman"/>
                <w:iCs/>
                <w:szCs w:val="21"/>
                <w:highlight w:val="none"/>
              </w:rPr>
            </w:pPr>
            <w:r>
              <w:rPr>
                <w:rFonts w:hint="eastAsia" w:ascii="Times New Roman" w:hAnsi="Times New Roman" w:eastAsia="宋体" w:cs="Times New Roman"/>
                <w:szCs w:val="21"/>
                <w:highlight w:val="none"/>
              </w:rPr>
              <w:t>Conventional</w:t>
            </w:r>
            <w:r>
              <w:rPr>
                <w:rFonts w:hint="eastAsia" w:ascii="Times New Roman" w:hAnsi="Times New Roman" w:eastAsia="宋体" w:cs="Times New Roman"/>
                <w:iCs/>
                <w:szCs w:val="21"/>
                <w:highlight w:val="none"/>
              </w:rPr>
              <w:t>-</w:t>
            </w:r>
            <w:r>
              <w:rPr>
                <w:rFonts w:hint="eastAsia" w:ascii="Times New Roman" w:hAnsi="Times New Roman" w:eastAsia="宋体" w:cs="Times New Roman"/>
                <w:szCs w:val="21"/>
                <w:highlight w:val="none"/>
              </w:rPr>
              <w:t>reduced CTV2</w:t>
            </w:r>
            <w:r>
              <w:rPr>
                <w:rFonts w:hint="eastAsia" w:ascii="Times New Roman" w:hAnsi="Times New Roman" w:eastAsia="宋体" w:cs="Times New Roman"/>
                <w:iCs/>
                <w:szCs w:val="21"/>
                <w:highlight w:val="none"/>
              </w:rPr>
              <w:t xml:space="preserve"> group</w:t>
            </w:r>
          </w:p>
          <w:p w14:paraId="099693D4">
            <w:pPr>
              <w:keepNext w:val="0"/>
              <w:keepLines w:val="0"/>
              <w:suppressLineNumbers w:val="0"/>
              <w:adjustRightInd w:val="0"/>
              <w:snapToGrid w:val="0"/>
              <w:spacing w:before="0" w:beforeAutospacing="0" w:after="0" w:afterAutospacing="0" w:line="400" w:lineRule="exact"/>
              <w:ind w:left="0" w:right="0"/>
              <w:rPr>
                <w:rFonts w:hint="eastAsia" w:ascii="Times New Roman" w:hAnsi="Times New Roman" w:eastAsia="宋体" w:cs="Times New Roman"/>
                <w:iCs/>
                <w:szCs w:val="21"/>
                <w:highlight w:val="none"/>
              </w:rPr>
            </w:pPr>
            <w:r>
              <w:rPr>
                <w:rFonts w:hint="eastAsia" w:ascii="Times New Roman" w:hAnsi="Times New Roman" w:eastAsia="宋体" w:cs="Times New Roman"/>
                <w:iCs/>
                <w:szCs w:val="21"/>
                <w:highlight w:val="none"/>
              </w:rPr>
              <w:t>(Difference, %)</w:t>
            </w:r>
          </w:p>
        </w:tc>
        <w:tc>
          <w:tcPr>
            <w:tcW w:w="1081" w:type="dxa"/>
            <w:tcBorders>
              <w:top w:val="single" w:color="auto" w:sz="12" w:space="0"/>
              <w:left w:val="nil"/>
              <w:bottom w:val="single" w:color="auto" w:sz="6" w:space="0"/>
              <w:right w:val="nil"/>
            </w:tcBorders>
            <w:vAlign w:val="center"/>
          </w:tcPr>
          <w:p w14:paraId="70B1F452">
            <w:pPr>
              <w:keepNext w:val="0"/>
              <w:keepLines w:val="0"/>
              <w:suppressLineNumbers w:val="0"/>
              <w:adjustRightInd w:val="0"/>
              <w:snapToGrid w:val="0"/>
              <w:spacing w:before="0" w:beforeAutospacing="0" w:after="0" w:afterAutospacing="0" w:line="400" w:lineRule="exact"/>
              <w:ind w:left="0" w:right="0"/>
              <w:rPr>
                <w:rFonts w:hint="eastAsia" w:ascii="Times New Roman" w:hAnsi="Times New Roman" w:eastAsia="宋体" w:cs="Times New Roman"/>
                <w:iCs/>
                <w:szCs w:val="21"/>
                <w:highlight w:val="none"/>
              </w:rPr>
            </w:pPr>
            <w:r>
              <w:rPr>
                <w:rFonts w:hint="eastAsia" w:ascii="Times New Roman" w:hAnsi="Times New Roman" w:eastAsia="宋体" w:cs="Times New Roman"/>
                <w:i/>
                <w:szCs w:val="21"/>
                <w:highlight w:val="none"/>
              </w:rPr>
              <w:t>P</w:t>
            </w:r>
            <w:r>
              <w:rPr>
                <w:rFonts w:hint="eastAsia" w:ascii="Times New Roman" w:hAnsi="Times New Roman" w:eastAsia="宋体" w:cs="Times New Roman"/>
                <w:szCs w:val="21"/>
                <w:highlight w:val="none"/>
              </w:rPr>
              <w:t xml:space="preserve"> value</w:t>
            </w:r>
          </w:p>
        </w:tc>
      </w:tr>
      <w:tr w14:paraId="4CEAD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1848" w:type="dxa"/>
            <w:tcBorders>
              <w:top w:val="single" w:color="auto" w:sz="6" w:space="0"/>
              <w:left w:val="nil"/>
              <w:bottom w:val="nil"/>
              <w:right w:val="nil"/>
            </w:tcBorders>
            <w:vAlign w:val="center"/>
          </w:tcPr>
          <w:p w14:paraId="1C6826C5">
            <w:pPr>
              <w:keepNext w:val="0"/>
              <w:keepLines w:val="0"/>
              <w:suppressLineNumbers w:val="0"/>
              <w:adjustRightInd w:val="0"/>
              <w:snapToGrid w:val="0"/>
              <w:spacing w:before="0" w:beforeAutospacing="0" w:after="0" w:afterAutospacing="0" w:line="400" w:lineRule="exact"/>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b/>
                <w:bCs/>
                <w:szCs w:val="21"/>
                <w:highlight w:val="none"/>
              </w:rPr>
              <w:t xml:space="preserve">Oral cavity </w:t>
            </w:r>
            <w:r>
              <w:rPr>
                <w:rFonts w:hint="eastAsia" w:ascii="Times New Roman" w:hAnsi="Times New Roman" w:eastAsia="宋体" w:cs="Times New Roman"/>
                <w:szCs w:val="21"/>
                <w:highlight w:val="none"/>
              </w:rPr>
              <w:t>(cm</w:t>
            </w:r>
            <w:r>
              <w:rPr>
                <w:rFonts w:hint="eastAsia" w:ascii="Times New Roman" w:hAnsi="Times New Roman" w:eastAsia="宋体" w:cs="Times New Roman"/>
                <w:szCs w:val="21"/>
                <w:highlight w:val="none"/>
                <w:vertAlign w:val="superscript"/>
              </w:rPr>
              <w:t>3</w:t>
            </w:r>
            <w:r>
              <w:rPr>
                <w:rFonts w:hint="eastAsia" w:ascii="Times New Roman" w:hAnsi="Times New Roman" w:eastAsia="宋体" w:cs="Times New Roman"/>
                <w:szCs w:val="21"/>
                <w:highlight w:val="none"/>
              </w:rPr>
              <w:t>)</w:t>
            </w:r>
          </w:p>
        </w:tc>
        <w:tc>
          <w:tcPr>
            <w:tcW w:w="7366" w:type="dxa"/>
            <w:gridSpan w:val="4"/>
            <w:tcBorders>
              <w:top w:val="single" w:color="auto" w:sz="6" w:space="0"/>
              <w:left w:val="nil"/>
              <w:bottom w:val="nil"/>
              <w:right w:val="nil"/>
            </w:tcBorders>
            <w:vAlign w:val="center"/>
          </w:tcPr>
          <w:p w14:paraId="62A41C9F">
            <w:pPr>
              <w:keepNext w:val="0"/>
              <w:keepLines w:val="0"/>
              <w:suppressLineNumbers w:val="0"/>
              <w:adjustRightInd w:val="0"/>
              <w:snapToGrid w:val="0"/>
              <w:spacing w:before="0" w:beforeAutospacing="0" w:after="0" w:afterAutospacing="0" w:line="400" w:lineRule="exact"/>
              <w:ind w:left="0" w:right="0"/>
              <w:jc w:val="center"/>
              <w:rPr>
                <w:rFonts w:hint="eastAsia" w:ascii="Times New Roman" w:hAnsi="Times New Roman" w:eastAsia="宋体" w:cs="Times New Roman"/>
                <w:i/>
                <w:szCs w:val="21"/>
                <w:highlight w:val="none"/>
              </w:rPr>
            </w:pPr>
            <w:r>
              <w:rPr>
                <w:rFonts w:hint="eastAsia" w:ascii="Times New Roman" w:hAnsi="Times New Roman" w:eastAsia="宋体" w:cs="Times New Roman"/>
                <w:szCs w:val="21"/>
                <w:highlight w:val="none"/>
              </w:rPr>
              <w:t>99.47±21.10</w:t>
            </w:r>
          </w:p>
        </w:tc>
      </w:tr>
      <w:tr w14:paraId="37FA1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693D5405">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Dmax（Gy）</w:t>
            </w:r>
          </w:p>
        </w:tc>
        <w:tc>
          <w:tcPr>
            <w:tcW w:w="2126" w:type="dxa"/>
            <w:tcBorders>
              <w:top w:val="nil"/>
              <w:left w:val="nil"/>
              <w:bottom w:val="nil"/>
              <w:right w:val="nil"/>
            </w:tcBorders>
            <w:vAlign w:val="center"/>
          </w:tcPr>
          <w:p w14:paraId="70CD3136">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71±56.91</w:t>
            </w:r>
          </w:p>
        </w:tc>
        <w:tc>
          <w:tcPr>
            <w:tcW w:w="2127" w:type="dxa"/>
            <w:tcBorders>
              <w:top w:val="nil"/>
              <w:left w:val="nil"/>
              <w:bottom w:val="nil"/>
              <w:right w:val="nil"/>
            </w:tcBorders>
            <w:vAlign w:val="center"/>
          </w:tcPr>
          <w:p w14:paraId="0AE5C5F4">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70.07±3.76</w:t>
            </w:r>
          </w:p>
        </w:tc>
        <w:tc>
          <w:tcPr>
            <w:tcW w:w="2032" w:type="dxa"/>
            <w:tcBorders>
              <w:top w:val="nil"/>
              <w:left w:val="nil"/>
              <w:bottom w:val="nil"/>
              <w:right w:val="nil"/>
            </w:tcBorders>
            <w:vAlign w:val="center"/>
          </w:tcPr>
          <w:p w14:paraId="2BE7D352">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0.93，1.31%</w:t>
            </w:r>
          </w:p>
        </w:tc>
        <w:tc>
          <w:tcPr>
            <w:tcW w:w="1081" w:type="dxa"/>
            <w:tcBorders>
              <w:top w:val="nil"/>
              <w:left w:val="nil"/>
              <w:bottom w:val="nil"/>
              <w:right w:val="nil"/>
            </w:tcBorders>
            <w:vAlign w:val="center"/>
          </w:tcPr>
          <w:p w14:paraId="77A2B4AC">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0.192</w:t>
            </w:r>
          </w:p>
        </w:tc>
      </w:tr>
      <w:tr w14:paraId="5FC7D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10C65066">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Dmin （Gy）</w:t>
            </w:r>
          </w:p>
        </w:tc>
        <w:tc>
          <w:tcPr>
            <w:tcW w:w="2126" w:type="dxa"/>
            <w:tcBorders>
              <w:top w:val="nil"/>
              <w:left w:val="nil"/>
              <w:bottom w:val="nil"/>
              <w:right w:val="nil"/>
            </w:tcBorders>
            <w:vAlign w:val="center"/>
          </w:tcPr>
          <w:p w14:paraId="23070D35">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18.79</w:t>
            </w:r>
            <w:bookmarkStart w:id="2" w:name="OLE_LINK15"/>
            <w:r>
              <w:rPr>
                <w:rFonts w:hint="eastAsia" w:ascii="Times New Roman" w:hAnsi="Times New Roman" w:eastAsia="宋体" w:cs="Times New Roman"/>
                <w:szCs w:val="21"/>
                <w:highlight w:val="none"/>
              </w:rPr>
              <w:t>±</w:t>
            </w:r>
            <w:bookmarkEnd w:id="2"/>
            <w:r>
              <w:rPr>
                <w:rFonts w:hint="eastAsia" w:ascii="Times New Roman" w:hAnsi="Times New Roman" w:eastAsia="宋体" w:cs="Times New Roman"/>
                <w:szCs w:val="21"/>
                <w:highlight w:val="none"/>
              </w:rPr>
              <w:t>3.46</w:t>
            </w:r>
          </w:p>
        </w:tc>
        <w:tc>
          <w:tcPr>
            <w:tcW w:w="2127" w:type="dxa"/>
            <w:tcBorders>
              <w:top w:val="nil"/>
              <w:left w:val="nil"/>
              <w:bottom w:val="nil"/>
              <w:right w:val="nil"/>
            </w:tcBorders>
            <w:vAlign w:val="center"/>
          </w:tcPr>
          <w:p w14:paraId="60926DEA">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15.28±2.13</w:t>
            </w:r>
          </w:p>
        </w:tc>
        <w:tc>
          <w:tcPr>
            <w:tcW w:w="2032" w:type="dxa"/>
            <w:tcBorders>
              <w:top w:val="nil"/>
              <w:left w:val="nil"/>
              <w:bottom w:val="nil"/>
              <w:right w:val="nil"/>
            </w:tcBorders>
            <w:vAlign w:val="center"/>
          </w:tcPr>
          <w:p w14:paraId="6C8F84AB">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3.51，18.68%</w:t>
            </w:r>
          </w:p>
        </w:tc>
        <w:tc>
          <w:tcPr>
            <w:tcW w:w="1081" w:type="dxa"/>
            <w:tcBorders>
              <w:top w:val="nil"/>
              <w:left w:val="nil"/>
              <w:bottom w:val="nil"/>
              <w:right w:val="nil"/>
            </w:tcBorders>
            <w:vAlign w:val="center"/>
          </w:tcPr>
          <w:p w14:paraId="58E18C15">
            <w:pPr>
              <w:keepNext w:val="0"/>
              <w:keepLines w:val="0"/>
              <w:suppressLineNumbers w:val="0"/>
              <w:adjustRightInd w:val="0"/>
              <w:snapToGrid w:val="0"/>
              <w:spacing w:before="0" w:beforeAutospacing="0" w:after="0" w:afterAutospacing="0" w:line="360" w:lineRule="auto"/>
              <w:ind w:left="0" w:right="0"/>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＜0.001*</w:t>
            </w:r>
          </w:p>
        </w:tc>
      </w:tr>
      <w:tr w14:paraId="4C9C3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1021A8F1">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Dmean（Gy）</w:t>
            </w:r>
          </w:p>
        </w:tc>
        <w:tc>
          <w:tcPr>
            <w:tcW w:w="2126" w:type="dxa"/>
            <w:tcBorders>
              <w:top w:val="nil"/>
              <w:left w:val="nil"/>
              <w:bottom w:val="nil"/>
              <w:right w:val="nil"/>
            </w:tcBorders>
            <w:vAlign w:val="center"/>
          </w:tcPr>
          <w:p w14:paraId="765AECCE">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37.25±2.06</w:t>
            </w:r>
          </w:p>
        </w:tc>
        <w:tc>
          <w:tcPr>
            <w:tcW w:w="2127" w:type="dxa"/>
            <w:tcBorders>
              <w:top w:val="nil"/>
              <w:left w:val="nil"/>
              <w:bottom w:val="nil"/>
              <w:right w:val="nil"/>
            </w:tcBorders>
            <w:vAlign w:val="center"/>
          </w:tcPr>
          <w:p w14:paraId="193B9113">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30.56±2.25</w:t>
            </w:r>
          </w:p>
        </w:tc>
        <w:tc>
          <w:tcPr>
            <w:tcW w:w="2032" w:type="dxa"/>
            <w:tcBorders>
              <w:top w:val="nil"/>
              <w:left w:val="nil"/>
              <w:bottom w:val="nil"/>
              <w:right w:val="nil"/>
            </w:tcBorders>
            <w:vAlign w:val="center"/>
          </w:tcPr>
          <w:p w14:paraId="1D3951A8">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6.69，17.95%</w:t>
            </w:r>
          </w:p>
        </w:tc>
        <w:tc>
          <w:tcPr>
            <w:tcW w:w="1081" w:type="dxa"/>
            <w:tcBorders>
              <w:top w:val="nil"/>
              <w:left w:val="nil"/>
              <w:bottom w:val="nil"/>
              <w:right w:val="nil"/>
            </w:tcBorders>
            <w:vAlign w:val="center"/>
          </w:tcPr>
          <w:p w14:paraId="3AFE6602">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lang w:val="en-US" w:eastAsia="zh-CN"/>
              </w:rPr>
              <w:t>＜0.001</w:t>
            </w:r>
          </w:p>
        </w:tc>
      </w:tr>
      <w:tr w14:paraId="1EBD8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20A7A431">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V30（%）</w:t>
            </w:r>
          </w:p>
        </w:tc>
        <w:tc>
          <w:tcPr>
            <w:tcW w:w="2126" w:type="dxa"/>
            <w:tcBorders>
              <w:top w:val="nil"/>
              <w:left w:val="nil"/>
              <w:bottom w:val="nil"/>
              <w:right w:val="nil"/>
            </w:tcBorders>
            <w:vAlign w:val="center"/>
          </w:tcPr>
          <w:p w14:paraId="5A52C171">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68.62±16.03</w:t>
            </w:r>
          </w:p>
        </w:tc>
        <w:tc>
          <w:tcPr>
            <w:tcW w:w="2127" w:type="dxa"/>
            <w:tcBorders>
              <w:top w:val="nil"/>
              <w:left w:val="nil"/>
              <w:bottom w:val="nil"/>
              <w:right w:val="nil"/>
            </w:tcBorders>
            <w:vAlign w:val="center"/>
          </w:tcPr>
          <w:p w14:paraId="33D3FD7E">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36.84±6.64</w:t>
            </w:r>
          </w:p>
        </w:tc>
        <w:tc>
          <w:tcPr>
            <w:tcW w:w="2032" w:type="dxa"/>
            <w:tcBorders>
              <w:top w:val="nil"/>
              <w:left w:val="nil"/>
              <w:bottom w:val="nil"/>
              <w:right w:val="nil"/>
            </w:tcBorders>
            <w:vAlign w:val="center"/>
          </w:tcPr>
          <w:p w14:paraId="66B0A4C3">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31.78，46.31%</w:t>
            </w:r>
          </w:p>
        </w:tc>
        <w:tc>
          <w:tcPr>
            <w:tcW w:w="1081" w:type="dxa"/>
            <w:tcBorders>
              <w:top w:val="nil"/>
              <w:left w:val="nil"/>
              <w:bottom w:val="nil"/>
              <w:right w:val="nil"/>
            </w:tcBorders>
            <w:vAlign w:val="center"/>
          </w:tcPr>
          <w:p w14:paraId="21ADAC73">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lang w:val="en-US" w:eastAsia="zh-CN"/>
              </w:rPr>
              <w:t>＜0.001</w:t>
            </w:r>
          </w:p>
        </w:tc>
      </w:tr>
      <w:tr w14:paraId="7C586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683ABB12">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V40（%）</w:t>
            </w:r>
          </w:p>
        </w:tc>
        <w:tc>
          <w:tcPr>
            <w:tcW w:w="2126" w:type="dxa"/>
            <w:tcBorders>
              <w:top w:val="nil"/>
              <w:left w:val="nil"/>
              <w:bottom w:val="nil"/>
              <w:right w:val="nil"/>
            </w:tcBorders>
            <w:vAlign w:val="center"/>
          </w:tcPr>
          <w:p w14:paraId="30278C9D">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26.92±7.32</w:t>
            </w:r>
          </w:p>
        </w:tc>
        <w:tc>
          <w:tcPr>
            <w:tcW w:w="2127" w:type="dxa"/>
            <w:tcBorders>
              <w:top w:val="nil"/>
              <w:left w:val="nil"/>
              <w:bottom w:val="nil"/>
              <w:right w:val="nil"/>
            </w:tcBorders>
            <w:vAlign w:val="center"/>
          </w:tcPr>
          <w:p w14:paraId="784A2C29">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16.25±4.32</w:t>
            </w:r>
          </w:p>
        </w:tc>
        <w:tc>
          <w:tcPr>
            <w:tcW w:w="2032" w:type="dxa"/>
            <w:tcBorders>
              <w:top w:val="nil"/>
              <w:left w:val="nil"/>
              <w:bottom w:val="nil"/>
              <w:right w:val="nil"/>
            </w:tcBorders>
            <w:vAlign w:val="center"/>
          </w:tcPr>
          <w:p w14:paraId="508D2BE3">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10.66，39.60%</w:t>
            </w:r>
          </w:p>
        </w:tc>
        <w:tc>
          <w:tcPr>
            <w:tcW w:w="1081" w:type="dxa"/>
            <w:tcBorders>
              <w:top w:val="nil"/>
              <w:left w:val="nil"/>
              <w:bottom w:val="nil"/>
              <w:right w:val="nil"/>
            </w:tcBorders>
            <w:vAlign w:val="center"/>
          </w:tcPr>
          <w:p w14:paraId="52D97B34">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lang w:val="en-US" w:eastAsia="zh-CN"/>
              </w:rPr>
              <w:t>＜0.001</w:t>
            </w:r>
          </w:p>
        </w:tc>
      </w:tr>
      <w:tr w14:paraId="395C7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6798F02D">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V50（%）</w:t>
            </w:r>
          </w:p>
        </w:tc>
        <w:tc>
          <w:tcPr>
            <w:tcW w:w="2126" w:type="dxa"/>
            <w:tcBorders>
              <w:top w:val="nil"/>
              <w:left w:val="nil"/>
              <w:bottom w:val="nil"/>
              <w:right w:val="nil"/>
            </w:tcBorders>
            <w:vAlign w:val="center"/>
          </w:tcPr>
          <w:p w14:paraId="7142D885">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13.25±6.07</w:t>
            </w:r>
          </w:p>
        </w:tc>
        <w:tc>
          <w:tcPr>
            <w:tcW w:w="2127" w:type="dxa"/>
            <w:tcBorders>
              <w:top w:val="nil"/>
              <w:left w:val="nil"/>
              <w:bottom w:val="nil"/>
              <w:right w:val="nil"/>
            </w:tcBorders>
            <w:vAlign w:val="center"/>
          </w:tcPr>
          <w:p w14:paraId="2C794EEB">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8.55±4.42</w:t>
            </w:r>
          </w:p>
        </w:tc>
        <w:tc>
          <w:tcPr>
            <w:tcW w:w="2032" w:type="dxa"/>
            <w:tcBorders>
              <w:top w:val="nil"/>
              <w:left w:val="nil"/>
              <w:bottom w:val="nil"/>
              <w:right w:val="nil"/>
            </w:tcBorders>
            <w:vAlign w:val="center"/>
          </w:tcPr>
          <w:p w14:paraId="44D556BA">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4.69，35.39%</w:t>
            </w:r>
          </w:p>
        </w:tc>
        <w:tc>
          <w:tcPr>
            <w:tcW w:w="1081" w:type="dxa"/>
            <w:tcBorders>
              <w:top w:val="nil"/>
              <w:left w:val="nil"/>
              <w:bottom w:val="nil"/>
              <w:right w:val="nil"/>
            </w:tcBorders>
            <w:vAlign w:val="center"/>
          </w:tcPr>
          <w:p w14:paraId="476CF0BE">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lang w:val="en-US" w:eastAsia="zh-CN"/>
              </w:rPr>
              <w:t>＜0.001</w:t>
            </w:r>
          </w:p>
        </w:tc>
      </w:tr>
      <w:tr w14:paraId="4349A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2AE7830C">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V60（%）</w:t>
            </w:r>
          </w:p>
        </w:tc>
        <w:tc>
          <w:tcPr>
            <w:tcW w:w="2126" w:type="dxa"/>
            <w:tcBorders>
              <w:top w:val="nil"/>
              <w:left w:val="nil"/>
              <w:bottom w:val="nil"/>
              <w:right w:val="nil"/>
            </w:tcBorders>
            <w:vAlign w:val="center"/>
          </w:tcPr>
          <w:p w14:paraId="0E9B369C">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5.56±4.23</w:t>
            </w:r>
          </w:p>
        </w:tc>
        <w:tc>
          <w:tcPr>
            <w:tcW w:w="2127" w:type="dxa"/>
            <w:tcBorders>
              <w:top w:val="nil"/>
              <w:left w:val="nil"/>
              <w:bottom w:val="nil"/>
              <w:right w:val="nil"/>
            </w:tcBorders>
            <w:vAlign w:val="center"/>
          </w:tcPr>
          <w:p w14:paraId="738AAA94">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3.00±2.18</w:t>
            </w:r>
          </w:p>
        </w:tc>
        <w:tc>
          <w:tcPr>
            <w:tcW w:w="2032" w:type="dxa"/>
            <w:tcBorders>
              <w:top w:val="nil"/>
              <w:left w:val="nil"/>
              <w:bottom w:val="nil"/>
              <w:right w:val="nil"/>
            </w:tcBorders>
            <w:vAlign w:val="center"/>
          </w:tcPr>
          <w:p w14:paraId="29BEDA8A">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2.55，45.86%</w:t>
            </w:r>
          </w:p>
        </w:tc>
        <w:tc>
          <w:tcPr>
            <w:tcW w:w="1081" w:type="dxa"/>
            <w:tcBorders>
              <w:top w:val="nil"/>
              <w:left w:val="nil"/>
              <w:bottom w:val="nil"/>
              <w:right w:val="nil"/>
            </w:tcBorders>
            <w:vAlign w:val="center"/>
          </w:tcPr>
          <w:p w14:paraId="19D2B3D5">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lang w:val="en-US" w:eastAsia="zh-CN"/>
              </w:rPr>
              <w:t>＜0.001</w:t>
            </w:r>
          </w:p>
        </w:tc>
      </w:tr>
      <w:tr w14:paraId="724C5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7ACE7B57">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bookmarkStart w:id="3" w:name="OLE_LINK19"/>
            <w:r>
              <w:rPr>
                <w:rFonts w:hint="eastAsia" w:ascii="Times New Roman" w:hAnsi="Times New Roman" w:eastAsia="宋体" w:cs="Times New Roman"/>
                <w:sz w:val="22"/>
                <w:highlight w:val="none"/>
              </w:rPr>
              <w:t>Laryngeal cavity</w:t>
            </w:r>
            <w:bookmarkEnd w:id="3"/>
            <w:r>
              <w:rPr>
                <w:rFonts w:hint="eastAsia" w:ascii="Times New Roman" w:hAnsi="Times New Roman" w:eastAsia="宋体" w:cs="Times New Roman"/>
                <w:sz w:val="22"/>
                <w:highlight w:val="none"/>
              </w:rPr>
              <w:t xml:space="preserve"> </w:t>
            </w:r>
            <w:r>
              <w:rPr>
                <w:rFonts w:hint="eastAsia" w:ascii="Times New Roman" w:hAnsi="Times New Roman" w:eastAsia="宋体" w:cs="Times New Roman"/>
                <w:szCs w:val="21"/>
                <w:highlight w:val="none"/>
              </w:rPr>
              <w:t>(cm</w:t>
            </w:r>
            <w:r>
              <w:rPr>
                <w:rFonts w:hint="eastAsia" w:ascii="Times New Roman" w:hAnsi="Times New Roman" w:eastAsia="宋体" w:cs="Times New Roman"/>
                <w:szCs w:val="21"/>
                <w:highlight w:val="none"/>
                <w:vertAlign w:val="superscript"/>
              </w:rPr>
              <w:t>3</w:t>
            </w:r>
            <w:r>
              <w:rPr>
                <w:rFonts w:hint="eastAsia" w:ascii="Times New Roman" w:hAnsi="Times New Roman" w:eastAsia="宋体" w:cs="Times New Roman"/>
                <w:szCs w:val="21"/>
                <w:highlight w:val="none"/>
              </w:rPr>
              <w:t>)</w:t>
            </w:r>
          </w:p>
        </w:tc>
        <w:tc>
          <w:tcPr>
            <w:tcW w:w="7366" w:type="dxa"/>
            <w:gridSpan w:val="4"/>
            <w:tcBorders>
              <w:top w:val="nil"/>
              <w:left w:val="nil"/>
              <w:bottom w:val="nil"/>
              <w:right w:val="nil"/>
            </w:tcBorders>
            <w:vAlign w:val="center"/>
          </w:tcPr>
          <w:p w14:paraId="5E5EB4D6">
            <w:pPr>
              <w:keepNext w:val="0"/>
              <w:keepLines w:val="0"/>
              <w:suppressLineNumbers w:val="0"/>
              <w:adjustRightInd w:val="0"/>
              <w:snapToGrid w:val="0"/>
              <w:spacing w:before="0" w:beforeAutospacing="0" w:after="0" w:afterAutospacing="0" w:line="360" w:lineRule="auto"/>
              <w:ind w:left="0" w:right="0"/>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37.33±12.62</w:t>
            </w:r>
          </w:p>
        </w:tc>
      </w:tr>
      <w:tr w14:paraId="5DB5E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75874DEF">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Dmax（Gy）</w:t>
            </w:r>
          </w:p>
        </w:tc>
        <w:tc>
          <w:tcPr>
            <w:tcW w:w="2126" w:type="dxa"/>
            <w:tcBorders>
              <w:top w:val="nil"/>
              <w:left w:val="nil"/>
              <w:bottom w:val="nil"/>
              <w:right w:val="nil"/>
            </w:tcBorders>
            <w:vAlign w:val="center"/>
          </w:tcPr>
          <w:p w14:paraId="62C5C8D3">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59.44±5.46</w:t>
            </w:r>
          </w:p>
        </w:tc>
        <w:tc>
          <w:tcPr>
            <w:tcW w:w="2127" w:type="dxa"/>
            <w:tcBorders>
              <w:top w:val="nil"/>
              <w:left w:val="nil"/>
              <w:bottom w:val="nil"/>
              <w:right w:val="nil"/>
            </w:tcBorders>
            <w:vAlign w:val="center"/>
          </w:tcPr>
          <w:p w14:paraId="58B6425C">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45.80±5.56</w:t>
            </w:r>
          </w:p>
        </w:tc>
        <w:tc>
          <w:tcPr>
            <w:tcW w:w="2032" w:type="dxa"/>
            <w:tcBorders>
              <w:top w:val="nil"/>
              <w:left w:val="nil"/>
              <w:bottom w:val="nil"/>
              <w:right w:val="nil"/>
            </w:tcBorders>
            <w:vAlign w:val="center"/>
          </w:tcPr>
          <w:p w14:paraId="631C98FD">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13.63，22.93%</w:t>
            </w:r>
          </w:p>
        </w:tc>
        <w:tc>
          <w:tcPr>
            <w:tcW w:w="1081" w:type="dxa"/>
            <w:tcBorders>
              <w:top w:val="nil"/>
              <w:left w:val="nil"/>
              <w:bottom w:val="nil"/>
              <w:right w:val="nil"/>
            </w:tcBorders>
            <w:vAlign w:val="center"/>
          </w:tcPr>
          <w:p w14:paraId="5B260C62">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lang w:val="en-US" w:eastAsia="zh-CN"/>
              </w:rPr>
              <w:t>＜0.001</w:t>
            </w:r>
          </w:p>
        </w:tc>
      </w:tr>
      <w:tr w14:paraId="44560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26D3CA5A">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Dmin （Gy）</w:t>
            </w:r>
          </w:p>
        </w:tc>
        <w:tc>
          <w:tcPr>
            <w:tcW w:w="2126" w:type="dxa"/>
            <w:tcBorders>
              <w:top w:val="nil"/>
              <w:left w:val="nil"/>
              <w:bottom w:val="nil"/>
              <w:right w:val="nil"/>
            </w:tcBorders>
            <w:vAlign w:val="center"/>
          </w:tcPr>
          <w:p w14:paraId="2606B35E">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25.17±4.73</w:t>
            </w:r>
          </w:p>
        </w:tc>
        <w:tc>
          <w:tcPr>
            <w:tcW w:w="2127" w:type="dxa"/>
            <w:tcBorders>
              <w:top w:val="nil"/>
              <w:left w:val="nil"/>
              <w:bottom w:val="nil"/>
              <w:right w:val="nil"/>
            </w:tcBorders>
            <w:vAlign w:val="center"/>
          </w:tcPr>
          <w:p w14:paraId="6A1BDA5D">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19.50±4.40</w:t>
            </w:r>
          </w:p>
        </w:tc>
        <w:tc>
          <w:tcPr>
            <w:tcW w:w="2032" w:type="dxa"/>
            <w:tcBorders>
              <w:top w:val="nil"/>
              <w:left w:val="nil"/>
              <w:bottom w:val="nil"/>
              <w:right w:val="nil"/>
            </w:tcBorders>
            <w:vAlign w:val="center"/>
          </w:tcPr>
          <w:p w14:paraId="49950AFC">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5.66，22.48%</w:t>
            </w:r>
          </w:p>
        </w:tc>
        <w:tc>
          <w:tcPr>
            <w:tcW w:w="1081" w:type="dxa"/>
            <w:tcBorders>
              <w:top w:val="nil"/>
              <w:left w:val="nil"/>
              <w:bottom w:val="nil"/>
              <w:right w:val="nil"/>
            </w:tcBorders>
            <w:vAlign w:val="center"/>
          </w:tcPr>
          <w:p w14:paraId="75D34048">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lang w:val="en-US" w:eastAsia="zh-CN"/>
              </w:rPr>
              <w:t>＜0.001</w:t>
            </w:r>
          </w:p>
        </w:tc>
      </w:tr>
      <w:tr w14:paraId="56DC8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33A75F71">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Dmean（Gy）</w:t>
            </w:r>
          </w:p>
        </w:tc>
        <w:tc>
          <w:tcPr>
            <w:tcW w:w="2126" w:type="dxa"/>
            <w:tcBorders>
              <w:top w:val="nil"/>
              <w:left w:val="nil"/>
              <w:bottom w:val="nil"/>
              <w:right w:val="nil"/>
            </w:tcBorders>
            <w:vAlign w:val="center"/>
          </w:tcPr>
          <w:p w14:paraId="370552B6">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36.80±3.02</w:t>
            </w:r>
          </w:p>
        </w:tc>
        <w:tc>
          <w:tcPr>
            <w:tcW w:w="2127" w:type="dxa"/>
            <w:tcBorders>
              <w:top w:val="nil"/>
              <w:left w:val="nil"/>
              <w:bottom w:val="nil"/>
              <w:right w:val="nil"/>
            </w:tcBorders>
            <w:vAlign w:val="center"/>
          </w:tcPr>
          <w:p w14:paraId="6242CFBB">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28.54±2.84</w:t>
            </w:r>
          </w:p>
        </w:tc>
        <w:tc>
          <w:tcPr>
            <w:tcW w:w="2032" w:type="dxa"/>
            <w:tcBorders>
              <w:top w:val="nil"/>
              <w:left w:val="nil"/>
              <w:bottom w:val="nil"/>
              <w:right w:val="nil"/>
            </w:tcBorders>
            <w:vAlign w:val="center"/>
          </w:tcPr>
          <w:p w14:paraId="38281AF1">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8.25，22.41%</w:t>
            </w:r>
          </w:p>
        </w:tc>
        <w:tc>
          <w:tcPr>
            <w:tcW w:w="1081" w:type="dxa"/>
            <w:tcBorders>
              <w:top w:val="nil"/>
              <w:left w:val="nil"/>
              <w:bottom w:val="nil"/>
              <w:right w:val="nil"/>
            </w:tcBorders>
            <w:vAlign w:val="center"/>
          </w:tcPr>
          <w:p w14:paraId="759E5981">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lang w:val="en-US" w:eastAsia="zh-CN"/>
              </w:rPr>
              <w:t>＜0.001</w:t>
            </w:r>
          </w:p>
        </w:tc>
      </w:tr>
      <w:tr w14:paraId="00460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66506FB7">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V30（%）</w:t>
            </w:r>
          </w:p>
        </w:tc>
        <w:tc>
          <w:tcPr>
            <w:tcW w:w="2126" w:type="dxa"/>
            <w:tcBorders>
              <w:top w:val="nil"/>
              <w:left w:val="nil"/>
              <w:bottom w:val="nil"/>
              <w:right w:val="nil"/>
            </w:tcBorders>
            <w:vAlign w:val="center"/>
          </w:tcPr>
          <w:p w14:paraId="36DABF4F">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86.60±14.80</w:t>
            </w:r>
          </w:p>
        </w:tc>
        <w:tc>
          <w:tcPr>
            <w:tcW w:w="2127" w:type="dxa"/>
            <w:tcBorders>
              <w:top w:val="nil"/>
              <w:left w:val="nil"/>
              <w:bottom w:val="nil"/>
              <w:right w:val="nil"/>
            </w:tcBorders>
            <w:vAlign w:val="center"/>
          </w:tcPr>
          <w:p w14:paraId="00EA0EE6">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39.84±17.83</w:t>
            </w:r>
          </w:p>
        </w:tc>
        <w:tc>
          <w:tcPr>
            <w:tcW w:w="2032" w:type="dxa"/>
            <w:tcBorders>
              <w:top w:val="nil"/>
              <w:left w:val="nil"/>
              <w:bottom w:val="nil"/>
              <w:right w:val="nil"/>
            </w:tcBorders>
            <w:vAlign w:val="center"/>
          </w:tcPr>
          <w:p w14:paraId="2E4A2ED3">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46.76，53.99%</w:t>
            </w:r>
          </w:p>
        </w:tc>
        <w:tc>
          <w:tcPr>
            <w:tcW w:w="1081" w:type="dxa"/>
            <w:tcBorders>
              <w:top w:val="nil"/>
              <w:left w:val="nil"/>
              <w:bottom w:val="nil"/>
              <w:right w:val="nil"/>
            </w:tcBorders>
            <w:vAlign w:val="center"/>
          </w:tcPr>
          <w:p w14:paraId="6EF32101">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lang w:val="en-US" w:eastAsia="zh-CN"/>
              </w:rPr>
              <w:t>＜0.001</w:t>
            </w:r>
          </w:p>
        </w:tc>
      </w:tr>
      <w:tr w14:paraId="6EC46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1A4FDBAC">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V40（%）</w:t>
            </w:r>
          </w:p>
        </w:tc>
        <w:tc>
          <w:tcPr>
            <w:tcW w:w="2126" w:type="dxa"/>
            <w:tcBorders>
              <w:top w:val="nil"/>
              <w:left w:val="nil"/>
              <w:bottom w:val="nil"/>
              <w:right w:val="nil"/>
            </w:tcBorders>
            <w:vAlign w:val="center"/>
          </w:tcPr>
          <w:p w14:paraId="04AB1DB8">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22.9(17.64,33.05)</w:t>
            </w:r>
          </w:p>
        </w:tc>
        <w:tc>
          <w:tcPr>
            <w:tcW w:w="2127" w:type="dxa"/>
            <w:tcBorders>
              <w:top w:val="nil"/>
              <w:left w:val="nil"/>
              <w:bottom w:val="nil"/>
              <w:right w:val="nil"/>
            </w:tcBorders>
            <w:vAlign w:val="center"/>
          </w:tcPr>
          <w:p w14:paraId="339FE196">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3.54(0.24,6.82)</w:t>
            </w:r>
          </w:p>
        </w:tc>
        <w:tc>
          <w:tcPr>
            <w:tcW w:w="2032" w:type="dxa"/>
            <w:tcBorders>
              <w:top w:val="nil"/>
              <w:left w:val="nil"/>
              <w:bottom w:val="nil"/>
              <w:right w:val="nil"/>
            </w:tcBorders>
            <w:vAlign w:val="center"/>
          </w:tcPr>
          <w:p w14:paraId="179DF6F1">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19.36，84.5%</w:t>
            </w:r>
          </w:p>
        </w:tc>
        <w:tc>
          <w:tcPr>
            <w:tcW w:w="1081" w:type="dxa"/>
            <w:tcBorders>
              <w:top w:val="nil"/>
              <w:left w:val="nil"/>
              <w:bottom w:val="nil"/>
              <w:right w:val="nil"/>
            </w:tcBorders>
            <w:vAlign w:val="center"/>
          </w:tcPr>
          <w:p w14:paraId="22173120">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lang w:val="en-US" w:eastAsia="zh-CN"/>
              </w:rPr>
              <w:t>＜0.001</w:t>
            </w:r>
          </w:p>
        </w:tc>
      </w:tr>
      <w:tr w14:paraId="4B6A7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00AD3950">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V50（%）</w:t>
            </w:r>
          </w:p>
        </w:tc>
        <w:tc>
          <w:tcPr>
            <w:tcW w:w="2126" w:type="dxa"/>
            <w:tcBorders>
              <w:top w:val="nil"/>
              <w:left w:val="nil"/>
              <w:bottom w:val="nil"/>
              <w:right w:val="nil"/>
            </w:tcBorders>
            <w:vAlign w:val="center"/>
          </w:tcPr>
          <w:p w14:paraId="107C647E">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4.01(1.26，7.95)</w:t>
            </w:r>
          </w:p>
        </w:tc>
        <w:tc>
          <w:tcPr>
            <w:tcW w:w="2127" w:type="dxa"/>
            <w:tcBorders>
              <w:top w:val="nil"/>
              <w:left w:val="nil"/>
              <w:bottom w:val="nil"/>
              <w:right w:val="nil"/>
            </w:tcBorders>
            <w:vAlign w:val="center"/>
          </w:tcPr>
          <w:p w14:paraId="0F27F29F">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0（0,0.01）</w:t>
            </w:r>
          </w:p>
        </w:tc>
        <w:tc>
          <w:tcPr>
            <w:tcW w:w="2032" w:type="dxa"/>
            <w:tcBorders>
              <w:top w:val="nil"/>
              <w:left w:val="nil"/>
              <w:bottom w:val="nil"/>
              <w:right w:val="nil"/>
            </w:tcBorders>
            <w:vAlign w:val="center"/>
          </w:tcPr>
          <w:p w14:paraId="0A936943">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4.01，100%</w:t>
            </w:r>
          </w:p>
        </w:tc>
        <w:tc>
          <w:tcPr>
            <w:tcW w:w="1081" w:type="dxa"/>
            <w:tcBorders>
              <w:top w:val="nil"/>
              <w:left w:val="nil"/>
              <w:bottom w:val="nil"/>
              <w:right w:val="nil"/>
            </w:tcBorders>
            <w:vAlign w:val="center"/>
          </w:tcPr>
          <w:p w14:paraId="5439E09B">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lang w:val="en-US" w:eastAsia="zh-CN"/>
              </w:rPr>
              <w:t>＜0.001</w:t>
            </w:r>
          </w:p>
        </w:tc>
      </w:tr>
      <w:tr w14:paraId="3F15D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4D8DBC3C">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V60（%）</w:t>
            </w:r>
          </w:p>
        </w:tc>
        <w:tc>
          <w:tcPr>
            <w:tcW w:w="2126" w:type="dxa"/>
            <w:tcBorders>
              <w:top w:val="nil"/>
              <w:left w:val="nil"/>
              <w:bottom w:val="nil"/>
              <w:right w:val="nil"/>
            </w:tcBorders>
            <w:vAlign w:val="center"/>
          </w:tcPr>
          <w:p w14:paraId="517B23A3">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0.24(0.0.93)</w:t>
            </w:r>
          </w:p>
        </w:tc>
        <w:tc>
          <w:tcPr>
            <w:tcW w:w="2127" w:type="dxa"/>
            <w:tcBorders>
              <w:top w:val="nil"/>
              <w:left w:val="nil"/>
              <w:bottom w:val="nil"/>
              <w:right w:val="nil"/>
            </w:tcBorders>
            <w:vAlign w:val="center"/>
          </w:tcPr>
          <w:p w14:paraId="7C12F5E2">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0(0,0)</w:t>
            </w:r>
          </w:p>
        </w:tc>
        <w:tc>
          <w:tcPr>
            <w:tcW w:w="2032" w:type="dxa"/>
            <w:tcBorders>
              <w:top w:val="nil"/>
              <w:left w:val="nil"/>
              <w:bottom w:val="nil"/>
              <w:right w:val="nil"/>
            </w:tcBorders>
            <w:vAlign w:val="center"/>
          </w:tcPr>
          <w:p w14:paraId="7E6FDEDA">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0.24，100%</w:t>
            </w:r>
          </w:p>
        </w:tc>
        <w:tc>
          <w:tcPr>
            <w:tcW w:w="1081" w:type="dxa"/>
            <w:tcBorders>
              <w:top w:val="nil"/>
              <w:left w:val="nil"/>
              <w:bottom w:val="nil"/>
              <w:right w:val="nil"/>
            </w:tcBorders>
            <w:vAlign w:val="center"/>
          </w:tcPr>
          <w:p w14:paraId="24C545DC">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0.001</w:t>
            </w:r>
          </w:p>
        </w:tc>
      </w:tr>
      <w:tr w14:paraId="7F768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449AF0AB">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 w:val="22"/>
                <w:highlight w:val="none"/>
              </w:rPr>
              <w:t xml:space="preserve">Esophagus </w:t>
            </w:r>
            <w:r>
              <w:rPr>
                <w:rFonts w:hint="eastAsia" w:ascii="Times New Roman" w:hAnsi="Times New Roman" w:eastAsia="宋体" w:cs="Times New Roman"/>
                <w:szCs w:val="21"/>
                <w:highlight w:val="none"/>
              </w:rPr>
              <w:t>(cm</w:t>
            </w:r>
            <w:r>
              <w:rPr>
                <w:rFonts w:hint="eastAsia" w:ascii="Times New Roman" w:hAnsi="Times New Roman" w:eastAsia="宋体" w:cs="Times New Roman"/>
                <w:szCs w:val="21"/>
                <w:highlight w:val="none"/>
                <w:vertAlign w:val="superscript"/>
              </w:rPr>
              <w:t>3</w:t>
            </w:r>
            <w:r>
              <w:rPr>
                <w:rFonts w:hint="eastAsia" w:ascii="Times New Roman" w:hAnsi="Times New Roman" w:eastAsia="宋体" w:cs="Times New Roman"/>
                <w:szCs w:val="21"/>
                <w:highlight w:val="none"/>
              </w:rPr>
              <w:t>)</w:t>
            </w:r>
          </w:p>
        </w:tc>
        <w:tc>
          <w:tcPr>
            <w:tcW w:w="7366" w:type="dxa"/>
            <w:gridSpan w:val="4"/>
            <w:tcBorders>
              <w:top w:val="nil"/>
              <w:left w:val="nil"/>
              <w:bottom w:val="nil"/>
              <w:right w:val="nil"/>
            </w:tcBorders>
            <w:vAlign w:val="center"/>
          </w:tcPr>
          <w:p w14:paraId="070FAD43">
            <w:pPr>
              <w:keepNext w:val="0"/>
              <w:keepLines w:val="0"/>
              <w:suppressLineNumbers w:val="0"/>
              <w:adjustRightInd w:val="0"/>
              <w:snapToGrid w:val="0"/>
              <w:spacing w:before="0" w:beforeAutospacing="0" w:after="0" w:afterAutospacing="0" w:line="360" w:lineRule="auto"/>
              <w:ind w:left="0" w:right="0"/>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9.77±1.74</w:t>
            </w:r>
          </w:p>
        </w:tc>
      </w:tr>
      <w:tr w14:paraId="506F9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023FD037">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Dmax（Gy）</w:t>
            </w:r>
          </w:p>
        </w:tc>
        <w:tc>
          <w:tcPr>
            <w:tcW w:w="2126" w:type="dxa"/>
            <w:tcBorders>
              <w:top w:val="nil"/>
              <w:left w:val="nil"/>
              <w:bottom w:val="nil"/>
              <w:right w:val="nil"/>
            </w:tcBorders>
            <w:vAlign w:val="center"/>
          </w:tcPr>
          <w:p w14:paraId="65238666">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55.20±7.67</w:t>
            </w:r>
          </w:p>
        </w:tc>
        <w:tc>
          <w:tcPr>
            <w:tcW w:w="2127" w:type="dxa"/>
            <w:tcBorders>
              <w:top w:val="nil"/>
              <w:left w:val="nil"/>
              <w:bottom w:val="nil"/>
              <w:right w:val="nil"/>
            </w:tcBorders>
            <w:vAlign w:val="center"/>
          </w:tcPr>
          <w:p w14:paraId="1EE7EEA5">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41.14±7.95</w:t>
            </w:r>
          </w:p>
        </w:tc>
        <w:tc>
          <w:tcPr>
            <w:tcW w:w="2032" w:type="dxa"/>
            <w:tcBorders>
              <w:top w:val="nil"/>
              <w:left w:val="nil"/>
              <w:bottom w:val="nil"/>
              <w:right w:val="nil"/>
            </w:tcBorders>
            <w:vAlign w:val="center"/>
          </w:tcPr>
          <w:p w14:paraId="42BAF686">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14.06，25.47%</w:t>
            </w:r>
          </w:p>
        </w:tc>
        <w:tc>
          <w:tcPr>
            <w:tcW w:w="1081" w:type="dxa"/>
            <w:tcBorders>
              <w:top w:val="nil"/>
              <w:left w:val="nil"/>
              <w:bottom w:val="nil"/>
              <w:right w:val="nil"/>
            </w:tcBorders>
            <w:vAlign w:val="center"/>
          </w:tcPr>
          <w:p w14:paraId="19905091">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lang w:val="en-US" w:eastAsia="zh-CN"/>
              </w:rPr>
              <w:t>＜0.001</w:t>
            </w:r>
          </w:p>
        </w:tc>
      </w:tr>
      <w:tr w14:paraId="5F31F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63B42865">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Dmin （Gy）</w:t>
            </w:r>
          </w:p>
        </w:tc>
        <w:tc>
          <w:tcPr>
            <w:tcW w:w="2126" w:type="dxa"/>
            <w:tcBorders>
              <w:top w:val="nil"/>
              <w:left w:val="nil"/>
              <w:bottom w:val="nil"/>
              <w:right w:val="nil"/>
            </w:tcBorders>
            <w:vAlign w:val="center"/>
          </w:tcPr>
          <w:p w14:paraId="117E8D26">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3.66（1.41,9.23）</w:t>
            </w:r>
          </w:p>
        </w:tc>
        <w:tc>
          <w:tcPr>
            <w:tcW w:w="2127" w:type="dxa"/>
            <w:tcBorders>
              <w:top w:val="nil"/>
              <w:left w:val="nil"/>
              <w:bottom w:val="nil"/>
              <w:right w:val="nil"/>
            </w:tcBorders>
            <w:vAlign w:val="center"/>
          </w:tcPr>
          <w:p w14:paraId="3EF9B835">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1.8（1.25,4.56）</w:t>
            </w:r>
          </w:p>
        </w:tc>
        <w:tc>
          <w:tcPr>
            <w:tcW w:w="2032" w:type="dxa"/>
            <w:tcBorders>
              <w:top w:val="nil"/>
              <w:left w:val="nil"/>
              <w:bottom w:val="nil"/>
              <w:right w:val="nil"/>
            </w:tcBorders>
            <w:vAlign w:val="center"/>
          </w:tcPr>
          <w:p w14:paraId="0D1C9516">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1.86，50.81%</w:t>
            </w:r>
          </w:p>
        </w:tc>
        <w:tc>
          <w:tcPr>
            <w:tcW w:w="1081" w:type="dxa"/>
            <w:tcBorders>
              <w:top w:val="nil"/>
              <w:left w:val="nil"/>
              <w:bottom w:val="nil"/>
              <w:right w:val="nil"/>
            </w:tcBorders>
            <w:vAlign w:val="center"/>
          </w:tcPr>
          <w:p w14:paraId="1C901994">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0.024</w:t>
            </w:r>
          </w:p>
        </w:tc>
      </w:tr>
      <w:tr w14:paraId="2625B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1B309527">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Dmean（Gy）</w:t>
            </w:r>
          </w:p>
        </w:tc>
        <w:tc>
          <w:tcPr>
            <w:tcW w:w="2126" w:type="dxa"/>
            <w:tcBorders>
              <w:top w:val="nil"/>
              <w:left w:val="nil"/>
              <w:bottom w:val="nil"/>
              <w:right w:val="nil"/>
            </w:tcBorders>
            <w:vAlign w:val="center"/>
          </w:tcPr>
          <w:p w14:paraId="31D6CB4A">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30.13±7.11</w:t>
            </w:r>
          </w:p>
        </w:tc>
        <w:tc>
          <w:tcPr>
            <w:tcW w:w="2127" w:type="dxa"/>
            <w:tcBorders>
              <w:top w:val="nil"/>
              <w:left w:val="nil"/>
              <w:bottom w:val="nil"/>
              <w:right w:val="nil"/>
            </w:tcBorders>
            <w:vAlign w:val="center"/>
          </w:tcPr>
          <w:p w14:paraId="1841B2B9">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20.66±6.04</w:t>
            </w:r>
          </w:p>
        </w:tc>
        <w:tc>
          <w:tcPr>
            <w:tcW w:w="2032" w:type="dxa"/>
            <w:tcBorders>
              <w:top w:val="nil"/>
              <w:left w:val="nil"/>
              <w:bottom w:val="nil"/>
              <w:right w:val="nil"/>
            </w:tcBorders>
            <w:vAlign w:val="center"/>
          </w:tcPr>
          <w:p w14:paraId="2B7218B5">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9.47，31.43%</w:t>
            </w:r>
          </w:p>
        </w:tc>
        <w:tc>
          <w:tcPr>
            <w:tcW w:w="1081" w:type="dxa"/>
            <w:tcBorders>
              <w:top w:val="nil"/>
              <w:left w:val="nil"/>
              <w:bottom w:val="nil"/>
              <w:right w:val="nil"/>
            </w:tcBorders>
            <w:vAlign w:val="center"/>
          </w:tcPr>
          <w:p w14:paraId="532AA5C1">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lang w:val="en-US" w:eastAsia="zh-CN"/>
              </w:rPr>
              <w:t>＜0.001</w:t>
            </w:r>
          </w:p>
        </w:tc>
      </w:tr>
      <w:tr w14:paraId="2991E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1069DA7F">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V30（%）</w:t>
            </w:r>
          </w:p>
        </w:tc>
        <w:tc>
          <w:tcPr>
            <w:tcW w:w="2126" w:type="dxa"/>
            <w:tcBorders>
              <w:top w:val="nil"/>
              <w:left w:val="nil"/>
              <w:bottom w:val="nil"/>
              <w:right w:val="nil"/>
            </w:tcBorders>
            <w:vAlign w:val="center"/>
          </w:tcPr>
          <w:p w14:paraId="47EFF388">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57.52±18.86</w:t>
            </w:r>
          </w:p>
        </w:tc>
        <w:tc>
          <w:tcPr>
            <w:tcW w:w="2127" w:type="dxa"/>
            <w:tcBorders>
              <w:top w:val="nil"/>
              <w:left w:val="nil"/>
              <w:bottom w:val="nil"/>
              <w:right w:val="nil"/>
            </w:tcBorders>
            <w:vAlign w:val="center"/>
          </w:tcPr>
          <w:p w14:paraId="5B5E877D">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30.39±21.99</w:t>
            </w:r>
          </w:p>
        </w:tc>
        <w:tc>
          <w:tcPr>
            <w:tcW w:w="2032" w:type="dxa"/>
            <w:tcBorders>
              <w:top w:val="nil"/>
              <w:left w:val="nil"/>
              <w:bottom w:val="nil"/>
              <w:right w:val="nil"/>
            </w:tcBorders>
            <w:vAlign w:val="center"/>
          </w:tcPr>
          <w:p w14:paraId="5480B381">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27.13，47.16%</w:t>
            </w:r>
          </w:p>
        </w:tc>
        <w:tc>
          <w:tcPr>
            <w:tcW w:w="1081" w:type="dxa"/>
            <w:tcBorders>
              <w:top w:val="nil"/>
              <w:left w:val="nil"/>
              <w:bottom w:val="nil"/>
              <w:right w:val="nil"/>
            </w:tcBorders>
            <w:vAlign w:val="center"/>
          </w:tcPr>
          <w:p w14:paraId="687347AF">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lang w:val="en-US" w:eastAsia="zh-CN"/>
              </w:rPr>
              <w:t>＜0.001</w:t>
            </w:r>
          </w:p>
        </w:tc>
      </w:tr>
      <w:tr w14:paraId="05A83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5E3EE0F6">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V40（%）</w:t>
            </w:r>
          </w:p>
        </w:tc>
        <w:tc>
          <w:tcPr>
            <w:tcW w:w="2126" w:type="dxa"/>
            <w:tcBorders>
              <w:top w:val="nil"/>
              <w:left w:val="nil"/>
              <w:bottom w:val="nil"/>
              <w:right w:val="nil"/>
            </w:tcBorders>
            <w:vAlign w:val="center"/>
          </w:tcPr>
          <w:p w14:paraId="2D4918C8">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19.11(5.81,38.27)</w:t>
            </w:r>
          </w:p>
        </w:tc>
        <w:tc>
          <w:tcPr>
            <w:tcW w:w="2127" w:type="dxa"/>
            <w:tcBorders>
              <w:top w:val="nil"/>
              <w:left w:val="nil"/>
              <w:bottom w:val="nil"/>
              <w:right w:val="nil"/>
            </w:tcBorders>
            <w:vAlign w:val="center"/>
          </w:tcPr>
          <w:p w14:paraId="68487B35">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0.61(0,5.10)</w:t>
            </w:r>
          </w:p>
        </w:tc>
        <w:tc>
          <w:tcPr>
            <w:tcW w:w="2032" w:type="dxa"/>
            <w:tcBorders>
              <w:top w:val="nil"/>
              <w:left w:val="nil"/>
              <w:bottom w:val="nil"/>
              <w:right w:val="nil"/>
            </w:tcBorders>
            <w:vAlign w:val="center"/>
          </w:tcPr>
          <w:p w14:paraId="3FAB9631">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18.5，96.80%</w:t>
            </w:r>
          </w:p>
        </w:tc>
        <w:tc>
          <w:tcPr>
            <w:tcW w:w="1081" w:type="dxa"/>
            <w:tcBorders>
              <w:top w:val="nil"/>
              <w:left w:val="nil"/>
              <w:bottom w:val="nil"/>
              <w:right w:val="nil"/>
            </w:tcBorders>
            <w:vAlign w:val="center"/>
          </w:tcPr>
          <w:p w14:paraId="34ADABE5">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0.001</w:t>
            </w:r>
          </w:p>
        </w:tc>
      </w:tr>
      <w:tr w14:paraId="32536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227ADA1C">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V50（%）</w:t>
            </w:r>
          </w:p>
        </w:tc>
        <w:tc>
          <w:tcPr>
            <w:tcW w:w="2126" w:type="dxa"/>
            <w:tcBorders>
              <w:top w:val="nil"/>
              <w:left w:val="nil"/>
              <w:bottom w:val="nil"/>
              <w:right w:val="nil"/>
            </w:tcBorders>
            <w:vAlign w:val="center"/>
          </w:tcPr>
          <w:p w14:paraId="5E0E1FAA">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1.33(0.07,9.81)</w:t>
            </w:r>
          </w:p>
        </w:tc>
        <w:tc>
          <w:tcPr>
            <w:tcW w:w="2127" w:type="dxa"/>
            <w:tcBorders>
              <w:top w:val="nil"/>
              <w:left w:val="nil"/>
              <w:bottom w:val="nil"/>
              <w:right w:val="nil"/>
            </w:tcBorders>
            <w:vAlign w:val="center"/>
          </w:tcPr>
          <w:p w14:paraId="5EE19F23">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0(0,0)</w:t>
            </w:r>
          </w:p>
        </w:tc>
        <w:tc>
          <w:tcPr>
            <w:tcW w:w="2032" w:type="dxa"/>
            <w:tcBorders>
              <w:top w:val="nil"/>
              <w:left w:val="nil"/>
              <w:bottom w:val="nil"/>
              <w:right w:val="nil"/>
            </w:tcBorders>
            <w:vAlign w:val="center"/>
          </w:tcPr>
          <w:p w14:paraId="10A2EE84">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1.33，100%</w:t>
            </w:r>
          </w:p>
        </w:tc>
        <w:tc>
          <w:tcPr>
            <w:tcW w:w="1081" w:type="dxa"/>
            <w:tcBorders>
              <w:top w:val="nil"/>
              <w:left w:val="nil"/>
              <w:bottom w:val="nil"/>
              <w:right w:val="nil"/>
            </w:tcBorders>
            <w:vAlign w:val="center"/>
          </w:tcPr>
          <w:p w14:paraId="55A4E78A">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0.001</w:t>
            </w:r>
          </w:p>
        </w:tc>
      </w:tr>
      <w:tr w14:paraId="67E3C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4557B8AC">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V60（%）</w:t>
            </w:r>
          </w:p>
        </w:tc>
        <w:tc>
          <w:tcPr>
            <w:tcW w:w="2126" w:type="dxa"/>
            <w:tcBorders>
              <w:top w:val="nil"/>
              <w:left w:val="nil"/>
              <w:bottom w:val="nil"/>
              <w:right w:val="nil"/>
            </w:tcBorders>
            <w:vAlign w:val="center"/>
          </w:tcPr>
          <w:p w14:paraId="515487FC">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0(0,0.24)</w:t>
            </w:r>
          </w:p>
        </w:tc>
        <w:tc>
          <w:tcPr>
            <w:tcW w:w="2127" w:type="dxa"/>
            <w:tcBorders>
              <w:top w:val="nil"/>
              <w:left w:val="nil"/>
              <w:bottom w:val="nil"/>
              <w:right w:val="nil"/>
            </w:tcBorders>
            <w:vAlign w:val="center"/>
          </w:tcPr>
          <w:p w14:paraId="32F19ECC">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0(0,0.0)</w:t>
            </w:r>
          </w:p>
        </w:tc>
        <w:tc>
          <w:tcPr>
            <w:tcW w:w="2032" w:type="dxa"/>
            <w:tcBorders>
              <w:top w:val="nil"/>
              <w:left w:val="nil"/>
              <w:bottom w:val="nil"/>
              <w:right w:val="nil"/>
            </w:tcBorders>
            <w:vAlign w:val="center"/>
          </w:tcPr>
          <w:p w14:paraId="7A65C030">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0，0</w:t>
            </w:r>
          </w:p>
        </w:tc>
        <w:tc>
          <w:tcPr>
            <w:tcW w:w="1081" w:type="dxa"/>
            <w:tcBorders>
              <w:top w:val="nil"/>
              <w:left w:val="nil"/>
              <w:bottom w:val="nil"/>
              <w:right w:val="nil"/>
            </w:tcBorders>
            <w:vAlign w:val="center"/>
          </w:tcPr>
          <w:p w14:paraId="2C8AE79A">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w:t>
            </w:r>
          </w:p>
        </w:tc>
      </w:tr>
      <w:tr w14:paraId="56982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27D5CD2A">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 w:val="22"/>
                <w:highlight w:val="none"/>
              </w:rPr>
              <w:t xml:space="preserve">Trachea </w:t>
            </w:r>
            <w:r>
              <w:rPr>
                <w:rFonts w:hint="eastAsia" w:ascii="Times New Roman" w:hAnsi="Times New Roman" w:eastAsia="宋体" w:cs="Times New Roman"/>
                <w:szCs w:val="21"/>
                <w:highlight w:val="none"/>
              </w:rPr>
              <w:t>(cm</w:t>
            </w:r>
            <w:r>
              <w:rPr>
                <w:rFonts w:hint="eastAsia" w:ascii="Times New Roman" w:hAnsi="Times New Roman" w:eastAsia="宋体" w:cs="Times New Roman"/>
                <w:szCs w:val="21"/>
                <w:highlight w:val="none"/>
                <w:vertAlign w:val="superscript"/>
              </w:rPr>
              <w:t>3</w:t>
            </w:r>
            <w:r>
              <w:rPr>
                <w:rFonts w:hint="eastAsia" w:ascii="Times New Roman" w:hAnsi="Times New Roman" w:eastAsia="宋体" w:cs="Times New Roman"/>
                <w:szCs w:val="21"/>
                <w:highlight w:val="none"/>
              </w:rPr>
              <w:t>)</w:t>
            </w:r>
          </w:p>
        </w:tc>
        <w:tc>
          <w:tcPr>
            <w:tcW w:w="7366" w:type="dxa"/>
            <w:gridSpan w:val="4"/>
            <w:tcBorders>
              <w:top w:val="nil"/>
              <w:left w:val="nil"/>
              <w:bottom w:val="nil"/>
              <w:right w:val="nil"/>
            </w:tcBorders>
            <w:vAlign w:val="center"/>
          </w:tcPr>
          <w:p w14:paraId="502C8286">
            <w:pPr>
              <w:keepNext w:val="0"/>
              <w:keepLines w:val="0"/>
              <w:suppressLineNumbers w:val="0"/>
              <w:adjustRightInd w:val="0"/>
              <w:snapToGrid w:val="0"/>
              <w:spacing w:before="0" w:beforeAutospacing="0" w:after="0" w:afterAutospacing="0" w:line="360" w:lineRule="auto"/>
              <w:ind w:left="0" w:right="0"/>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26.31±1.28</w:t>
            </w:r>
          </w:p>
        </w:tc>
      </w:tr>
      <w:tr w14:paraId="47A0B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2603EBBE">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Dmax（Gy）</w:t>
            </w:r>
          </w:p>
        </w:tc>
        <w:tc>
          <w:tcPr>
            <w:tcW w:w="2126" w:type="dxa"/>
            <w:tcBorders>
              <w:top w:val="nil"/>
              <w:left w:val="nil"/>
              <w:bottom w:val="nil"/>
              <w:right w:val="nil"/>
            </w:tcBorders>
            <w:vAlign w:val="center"/>
          </w:tcPr>
          <w:p w14:paraId="7F778F78">
            <w:pPr>
              <w:keepNext w:val="0"/>
              <w:keepLines w:val="0"/>
              <w:suppressLineNumbers w:val="0"/>
              <w:adjustRightInd w:val="0"/>
              <w:snapToGrid w:val="0"/>
              <w:spacing w:before="0" w:beforeAutospacing="0" w:after="0" w:afterAutospacing="0" w:line="360" w:lineRule="auto"/>
              <w:ind w:left="0" w:right="0" w:firstLine="31" w:firstLineChars="15"/>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54.08±6.60</w:t>
            </w:r>
          </w:p>
        </w:tc>
        <w:tc>
          <w:tcPr>
            <w:tcW w:w="2127" w:type="dxa"/>
            <w:tcBorders>
              <w:top w:val="nil"/>
              <w:left w:val="nil"/>
              <w:bottom w:val="nil"/>
              <w:right w:val="nil"/>
            </w:tcBorders>
            <w:vAlign w:val="center"/>
          </w:tcPr>
          <w:p w14:paraId="28C7D852">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40.97±8.02</w:t>
            </w:r>
          </w:p>
        </w:tc>
        <w:tc>
          <w:tcPr>
            <w:tcW w:w="2032" w:type="dxa"/>
            <w:tcBorders>
              <w:top w:val="nil"/>
              <w:left w:val="nil"/>
              <w:bottom w:val="nil"/>
              <w:right w:val="nil"/>
            </w:tcBorders>
            <w:vAlign w:val="center"/>
          </w:tcPr>
          <w:p w14:paraId="15C280A8">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13.11，24.24%</w:t>
            </w:r>
          </w:p>
        </w:tc>
        <w:tc>
          <w:tcPr>
            <w:tcW w:w="1081" w:type="dxa"/>
            <w:tcBorders>
              <w:top w:val="nil"/>
              <w:left w:val="nil"/>
              <w:bottom w:val="nil"/>
              <w:right w:val="nil"/>
            </w:tcBorders>
            <w:vAlign w:val="center"/>
          </w:tcPr>
          <w:p w14:paraId="61CE6FB7">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lang w:val="en-US" w:eastAsia="zh-CN"/>
              </w:rPr>
              <w:t>＜0.001</w:t>
            </w:r>
          </w:p>
        </w:tc>
      </w:tr>
      <w:tr w14:paraId="2B60A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7AF244BF">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Dmin （Gy）</w:t>
            </w:r>
          </w:p>
        </w:tc>
        <w:tc>
          <w:tcPr>
            <w:tcW w:w="2126" w:type="dxa"/>
            <w:tcBorders>
              <w:top w:val="nil"/>
              <w:left w:val="nil"/>
              <w:bottom w:val="nil"/>
              <w:right w:val="nil"/>
            </w:tcBorders>
            <w:vAlign w:val="center"/>
          </w:tcPr>
          <w:p w14:paraId="3B44474D">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4.01(1.96,9.69)</w:t>
            </w:r>
          </w:p>
        </w:tc>
        <w:tc>
          <w:tcPr>
            <w:tcW w:w="2127" w:type="dxa"/>
            <w:tcBorders>
              <w:top w:val="nil"/>
              <w:left w:val="nil"/>
              <w:bottom w:val="nil"/>
              <w:right w:val="nil"/>
            </w:tcBorders>
            <w:vAlign w:val="center"/>
          </w:tcPr>
          <w:p w14:paraId="45702ED0">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2.6(1.24,5.40)</w:t>
            </w:r>
          </w:p>
        </w:tc>
        <w:tc>
          <w:tcPr>
            <w:tcW w:w="2032" w:type="dxa"/>
            <w:tcBorders>
              <w:top w:val="nil"/>
              <w:left w:val="nil"/>
              <w:bottom w:val="nil"/>
              <w:right w:val="nil"/>
            </w:tcBorders>
            <w:vAlign w:val="center"/>
          </w:tcPr>
          <w:p w14:paraId="7BC0B33B">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1.41，35.16%</w:t>
            </w:r>
          </w:p>
        </w:tc>
        <w:tc>
          <w:tcPr>
            <w:tcW w:w="1081" w:type="dxa"/>
            <w:tcBorders>
              <w:top w:val="nil"/>
              <w:left w:val="nil"/>
              <w:bottom w:val="nil"/>
              <w:right w:val="nil"/>
            </w:tcBorders>
            <w:vAlign w:val="center"/>
          </w:tcPr>
          <w:p w14:paraId="2AA8DE30">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0.026</w:t>
            </w:r>
          </w:p>
        </w:tc>
      </w:tr>
      <w:tr w14:paraId="1BB57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35C31662">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Dmean（Gy）</w:t>
            </w:r>
          </w:p>
        </w:tc>
        <w:tc>
          <w:tcPr>
            <w:tcW w:w="2126" w:type="dxa"/>
            <w:tcBorders>
              <w:top w:val="nil"/>
              <w:left w:val="nil"/>
              <w:bottom w:val="nil"/>
              <w:right w:val="nil"/>
            </w:tcBorders>
            <w:vAlign w:val="center"/>
          </w:tcPr>
          <w:p w14:paraId="183E7576">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31.00±8.00</w:t>
            </w:r>
          </w:p>
        </w:tc>
        <w:tc>
          <w:tcPr>
            <w:tcW w:w="2127" w:type="dxa"/>
            <w:tcBorders>
              <w:top w:val="nil"/>
              <w:left w:val="nil"/>
              <w:bottom w:val="nil"/>
              <w:right w:val="nil"/>
            </w:tcBorders>
            <w:vAlign w:val="center"/>
          </w:tcPr>
          <w:p w14:paraId="2F2CEAC3">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20.70±7.01</w:t>
            </w:r>
          </w:p>
        </w:tc>
        <w:tc>
          <w:tcPr>
            <w:tcW w:w="2032" w:type="dxa"/>
            <w:tcBorders>
              <w:top w:val="nil"/>
              <w:left w:val="nil"/>
              <w:bottom w:val="nil"/>
              <w:right w:val="nil"/>
            </w:tcBorders>
            <w:vAlign w:val="center"/>
          </w:tcPr>
          <w:p w14:paraId="69370BD6">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9.30，30.00%</w:t>
            </w:r>
          </w:p>
        </w:tc>
        <w:tc>
          <w:tcPr>
            <w:tcW w:w="1081" w:type="dxa"/>
            <w:tcBorders>
              <w:top w:val="nil"/>
              <w:left w:val="nil"/>
              <w:bottom w:val="nil"/>
              <w:right w:val="nil"/>
            </w:tcBorders>
            <w:vAlign w:val="center"/>
          </w:tcPr>
          <w:p w14:paraId="7FCDF824">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lang w:val="en-US" w:eastAsia="zh-CN"/>
              </w:rPr>
              <w:t>＜0.001</w:t>
            </w:r>
          </w:p>
        </w:tc>
      </w:tr>
      <w:tr w14:paraId="6333E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1AA59B26">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V30（%）</w:t>
            </w:r>
          </w:p>
        </w:tc>
        <w:tc>
          <w:tcPr>
            <w:tcW w:w="2126" w:type="dxa"/>
            <w:tcBorders>
              <w:top w:val="nil"/>
              <w:left w:val="nil"/>
              <w:bottom w:val="nil"/>
              <w:right w:val="nil"/>
            </w:tcBorders>
            <w:vAlign w:val="center"/>
          </w:tcPr>
          <w:p w14:paraId="5E3DCD15">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59.81±20.90</w:t>
            </w:r>
          </w:p>
        </w:tc>
        <w:tc>
          <w:tcPr>
            <w:tcW w:w="2127" w:type="dxa"/>
            <w:tcBorders>
              <w:top w:val="nil"/>
              <w:left w:val="nil"/>
              <w:bottom w:val="nil"/>
              <w:right w:val="nil"/>
            </w:tcBorders>
            <w:vAlign w:val="center"/>
          </w:tcPr>
          <w:p w14:paraId="03F17506">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30.24±25.27</w:t>
            </w:r>
          </w:p>
        </w:tc>
        <w:tc>
          <w:tcPr>
            <w:tcW w:w="2032" w:type="dxa"/>
            <w:tcBorders>
              <w:top w:val="nil"/>
              <w:left w:val="nil"/>
              <w:bottom w:val="nil"/>
              <w:right w:val="nil"/>
            </w:tcBorders>
            <w:vAlign w:val="center"/>
          </w:tcPr>
          <w:p w14:paraId="61232B36">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29.57，49.43%</w:t>
            </w:r>
          </w:p>
        </w:tc>
        <w:tc>
          <w:tcPr>
            <w:tcW w:w="1081" w:type="dxa"/>
            <w:tcBorders>
              <w:top w:val="nil"/>
              <w:left w:val="nil"/>
              <w:bottom w:val="nil"/>
              <w:right w:val="nil"/>
            </w:tcBorders>
            <w:vAlign w:val="center"/>
          </w:tcPr>
          <w:p w14:paraId="1D3DB420">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lang w:val="en-US" w:eastAsia="zh-CN"/>
              </w:rPr>
              <w:t>＜0.001</w:t>
            </w:r>
          </w:p>
        </w:tc>
      </w:tr>
      <w:tr w14:paraId="4836A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5A093DB1">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V40（%）</w:t>
            </w:r>
          </w:p>
        </w:tc>
        <w:tc>
          <w:tcPr>
            <w:tcW w:w="2126" w:type="dxa"/>
            <w:tcBorders>
              <w:top w:val="nil"/>
              <w:left w:val="nil"/>
              <w:bottom w:val="nil"/>
              <w:right w:val="nil"/>
            </w:tcBorders>
            <w:vAlign w:val="center"/>
          </w:tcPr>
          <w:p w14:paraId="2F909667">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18.69(4.44,45.65)</w:t>
            </w:r>
          </w:p>
        </w:tc>
        <w:tc>
          <w:tcPr>
            <w:tcW w:w="2127" w:type="dxa"/>
            <w:tcBorders>
              <w:top w:val="nil"/>
              <w:left w:val="nil"/>
              <w:bottom w:val="nil"/>
              <w:right w:val="nil"/>
            </w:tcBorders>
            <w:vAlign w:val="center"/>
          </w:tcPr>
          <w:p w14:paraId="58E6C4DC">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0(0,2.70)</w:t>
            </w:r>
          </w:p>
        </w:tc>
        <w:tc>
          <w:tcPr>
            <w:tcW w:w="2032" w:type="dxa"/>
            <w:tcBorders>
              <w:top w:val="nil"/>
              <w:left w:val="nil"/>
              <w:bottom w:val="nil"/>
              <w:right w:val="nil"/>
            </w:tcBorders>
            <w:vAlign w:val="center"/>
          </w:tcPr>
          <w:p w14:paraId="281B04CA">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18.69，100%</w:t>
            </w:r>
          </w:p>
        </w:tc>
        <w:tc>
          <w:tcPr>
            <w:tcW w:w="1081" w:type="dxa"/>
            <w:tcBorders>
              <w:top w:val="nil"/>
              <w:left w:val="nil"/>
              <w:bottom w:val="nil"/>
              <w:right w:val="nil"/>
            </w:tcBorders>
            <w:vAlign w:val="center"/>
          </w:tcPr>
          <w:p w14:paraId="2F937D32">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lang w:val="en-US" w:eastAsia="zh-CN"/>
              </w:rPr>
              <w:t>＜0.001</w:t>
            </w:r>
          </w:p>
        </w:tc>
      </w:tr>
      <w:tr w14:paraId="5B91E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740D9DC5">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V50（%）</w:t>
            </w:r>
          </w:p>
        </w:tc>
        <w:tc>
          <w:tcPr>
            <w:tcW w:w="2126" w:type="dxa"/>
            <w:tcBorders>
              <w:top w:val="nil"/>
              <w:left w:val="nil"/>
              <w:bottom w:val="nil"/>
              <w:right w:val="nil"/>
            </w:tcBorders>
            <w:vAlign w:val="center"/>
          </w:tcPr>
          <w:p w14:paraId="496A881A">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1.47(0.01,8.32)</w:t>
            </w:r>
          </w:p>
        </w:tc>
        <w:tc>
          <w:tcPr>
            <w:tcW w:w="2127" w:type="dxa"/>
            <w:tcBorders>
              <w:top w:val="nil"/>
              <w:left w:val="nil"/>
              <w:bottom w:val="nil"/>
              <w:right w:val="nil"/>
            </w:tcBorders>
            <w:vAlign w:val="center"/>
          </w:tcPr>
          <w:p w14:paraId="16F418E7">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0(0,0)</w:t>
            </w:r>
          </w:p>
        </w:tc>
        <w:tc>
          <w:tcPr>
            <w:tcW w:w="2032" w:type="dxa"/>
            <w:tcBorders>
              <w:top w:val="nil"/>
              <w:left w:val="nil"/>
              <w:bottom w:val="nil"/>
              <w:right w:val="nil"/>
            </w:tcBorders>
            <w:vAlign w:val="center"/>
          </w:tcPr>
          <w:p w14:paraId="2D6C0606">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1.47，100%</w:t>
            </w:r>
          </w:p>
        </w:tc>
        <w:tc>
          <w:tcPr>
            <w:tcW w:w="1081" w:type="dxa"/>
            <w:tcBorders>
              <w:top w:val="nil"/>
              <w:left w:val="nil"/>
              <w:bottom w:val="nil"/>
              <w:right w:val="nil"/>
            </w:tcBorders>
            <w:vAlign w:val="center"/>
          </w:tcPr>
          <w:p w14:paraId="242FDF2F">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lang w:val="en-US" w:eastAsia="zh-CN"/>
              </w:rPr>
              <w:t>＜0.001</w:t>
            </w:r>
          </w:p>
        </w:tc>
      </w:tr>
      <w:tr w14:paraId="5DB28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06753974">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V60（%）</w:t>
            </w:r>
          </w:p>
        </w:tc>
        <w:tc>
          <w:tcPr>
            <w:tcW w:w="2126" w:type="dxa"/>
            <w:tcBorders>
              <w:top w:val="nil"/>
              <w:left w:val="nil"/>
              <w:bottom w:val="nil"/>
              <w:right w:val="nil"/>
            </w:tcBorders>
            <w:vAlign w:val="center"/>
          </w:tcPr>
          <w:p w14:paraId="5A29C18C">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0(0,0)</w:t>
            </w:r>
          </w:p>
        </w:tc>
        <w:tc>
          <w:tcPr>
            <w:tcW w:w="2127" w:type="dxa"/>
            <w:tcBorders>
              <w:top w:val="nil"/>
              <w:left w:val="nil"/>
              <w:bottom w:val="nil"/>
              <w:right w:val="nil"/>
            </w:tcBorders>
            <w:vAlign w:val="center"/>
          </w:tcPr>
          <w:p w14:paraId="0EF310B9">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0（0,0）</w:t>
            </w:r>
          </w:p>
        </w:tc>
        <w:tc>
          <w:tcPr>
            <w:tcW w:w="2032" w:type="dxa"/>
            <w:tcBorders>
              <w:top w:val="nil"/>
              <w:left w:val="nil"/>
              <w:bottom w:val="nil"/>
              <w:right w:val="nil"/>
            </w:tcBorders>
            <w:vAlign w:val="center"/>
          </w:tcPr>
          <w:p w14:paraId="1DD53C29">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0,0</w:t>
            </w:r>
          </w:p>
        </w:tc>
        <w:tc>
          <w:tcPr>
            <w:tcW w:w="1081" w:type="dxa"/>
            <w:tcBorders>
              <w:top w:val="nil"/>
              <w:left w:val="nil"/>
              <w:bottom w:val="nil"/>
              <w:right w:val="nil"/>
            </w:tcBorders>
            <w:vAlign w:val="center"/>
          </w:tcPr>
          <w:p w14:paraId="1871B827">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w:t>
            </w:r>
          </w:p>
        </w:tc>
      </w:tr>
      <w:tr w14:paraId="477BD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23E6F19A">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 w:val="22"/>
                <w:highlight w:val="none"/>
              </w:rPr>
              <w:t xml:space="preserve">Upper pharyngeal constrictor </w:t>
            </w:r>
            <w:r>
              <w:rPr>
                <w:rFonts w:hint="eastAsia" w:ascii="Times New Roman" w:hAnsi="Times New Roman" w:eastAsia="宋体" w:cs="Times New Roman"/>
                <w:szCs w:val="21"/>
                <w:highlight w:val="none"/>
              </w:rPr>
              <w:t>(cm</w:t>
            </w:r>
            <w:r>
              <w:rPr>
                <w:rFonts w:hint="eastAsia" w:ascii="Times New Roman" w:hAnsi="Times New Roman" w:eastAsia="宋体" w:cs="Times New Roman"/>
                <w:szCs w:val="21"/>
                <w:highlight w:val="none"/>
                <w:vertAlign w:val="superscript"/>
              </w:rPr>
              <w:t>3</w:t>
            </w:r>
            <w:r>
              <w:rPr>
                <w:rFonts w:hint="eastAsia" w:ascii="Times New Roman" w:hAnsi="Times New Roman" w:eastAsia="宋体" w:cs="Times New Roman"/>
                <w:szCs w:val="21"/>
                <w:highlight w:val="none"/>
              </w:rPr>
              <w:t>)</w:t>
            </w:r>
          </w:p>
        </w:tc>
        <w:tc>
          <w:tcPr>
            <w:tcW w:w="7366" w:type="dxa"/>
            <w:gridSpan w:val="4"/>
            <w:tcBorders>
              <w:top w:val="nil"/>
              <w:left w:val="nil"/>
              <w:bottom w:val="nil"/>
              <w:right w:val="nil"/>
            </w:tcBorders>
            <w:vAlign w:val="center"/>
          </w:tcPr>
          <w:p w14:paraId="6DCF5EFC">
            <w:pPr>
              <w:keepNext w:val="0"/>
              <w:keepLines w:val="0"/>
              <w:suppressLineNumbers w:val="0"/>
              <w:adjustRightInd w:val="0"/>
              <w:snapToGrid w:val="0"/>
              <w:spacing w:before="0" w:beforeAutospacing="0" w:after="0" w:afterAutospacing="0" w:line="360" w:lineRule="auto"/>
              <w:ind w:left="0" w:right="0"/>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9.31±0.57</w:t>
            </w:r>
          </w:p>
        </w:tc>
      </w:tr>
      <w:tr w14:paraId="6DE6F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744DE454">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Dmax（Gy）</w:t>
            </w:r>
          </w:p>
        </w:tc>
        <w:tc>
          <w:tcPr>
            <w:tcW w:w="2126" w:type="dxa"/>
            <w:tcBorders>
              <w:top w:val="nil"/>
              <w:left w:val="nil"/>
              <w:bottom w:val="nil"/>
              <w:right w:val="nil"/>
            </w:tcBorders>
            <w:vAlign w:val="center"/>
          </w:tcPr>
          <w:p w14:paraId="6B3D4E2B">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75.39(72.67,76.49)</w:t>
            </w:r>
          </w:p>
        </w:tc>
        <w:tc>
          <w:tcPr>
            <w:tcW w:w="2127" w:type="dxa"/>
            <w:tcBorders>
              <w:top w:val="nil"/>
              <w:left w:val="nil"/>
              <w:bottom w:val="nil"/>
              <w:right w:val="nil"/>
            </w:tcBorders>
            <w:vAlign w:val="center"/>
          </w:tcPr>
          <w:p w14:paraId="29ECB7F1">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74.58(72.59,75.86)</w:t>
            </w:r>
          </w:p>
        </w:tc>
        <w:tc>
          <w:tcPr>
            <w:tcW w:w="2032" w:type="dxa"/>
            <w:tcBorders>
              <w:top w:val="nil"/>
              <w:left w:val="nil"/>
              <w:bottom w:val="nil"/>
              <w:right w:val="nil"/>
            </w:tcBorders>
            <w:vAlign w:val="center"/>
          </w:tcPr>
          <w:p w14:paraId="795956D0">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0.81,1.07%</w:t>
            </w:r>
          </w:p>
        </w:tc>
        <w:tc>
          <w:tcPr>
            <w:tcW w:w="1081" w:type="dxa"/>
            <w:tcBorders>
              <w:top w:val="nil"/>
              <w:left w:val="nil"/>
              <w:bottom w:val="nil"/>
              <w:right w:val="nil"/>
            </w:tcBorders>
            <w:vAlign w:val="center"/>
          </w:tcPr>
          <w:p w14:paraId="73646797">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0.617</w:t>
            </w:r>
          </w:p>
        </w:tc>
      </w:tr>
      <w:tr w14:paraId="583D3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51090CC0">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Dmin （Gy）</w:t>
            </w:r>
          </w:p>
        </w:tc>
        <w:tc>
          <w:tcPr>
            <w:tcW w:w="2126" w:type="dxa"/>
            <w:tcBorders>
              <w:top w:val="nil"/>
              <w:left w:val="nil"/>
              <w:bottom w:val="nil"/>
              <w:right w:val="nil"/>
            </w:tcBorders>
            <w:vAlign w:val="center"/>
          </w:tcPr>
          <w:p w14:paraId="633B0A46">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36.36±5.55</w:t>
            </w:r>
          </w:p>
        </w:tc>
        <w:tc>
          <w:tcPr>
            <w:tcW w:w="2127" w:type="dxa"/>
            <w:tcBorders>
              <w:top w:val="nil"/>
              <w:left w:val="nil"/>
              <w:bottom w:val="nil"/>
              <w:right w:val="nil"/>
            </w:tcBorders>
            <w:vAlign w:val="center"/>
          </w:tcPr>
          <w:p w14:paraId="6B06082D">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34.44±4.02</w:t>
            </w:r>
          </w:p>
        </w:tc>
        <w:tc>
          <w:tcPr>
            <w:tcW w:w="2032" w:type="dxa"/>
            <w:tcBorders>
              <w:top w:val="nil"/>
              <w:left w:val="nil"/>
              <w:bottom w:val="nil"/>
              <w:right w:val="nil"/>
            </w:tcBorders>
            <w:vAlign w:val="center"/>
          </w:tcPr>
          <w:p w14:paraId="6174A400">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1.92,5.28%</w:t>
            </w:r>
          </w:p>
        </w:tc>
        <w:tc>
          <w:tcPr>
            <w:tcW w:w="1081" w:type="dxa"/>
            <w:tcBorders>
              <w:top w:val="nil"/>
              <w:left w:val="nil"/>
              <w:bottom w:val="nil"/>
              <w:right w:val="nil"/>
            </w:tcBorders>
            <w:vAlign w:val="center"/>
          </w:tcPr>
          <w:p w14:paraId="52C4855E">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0.177</w:t>
            </w:r>
          </w:p>
        </w:tc>
      </w:tr>
      <w:tr w14:paraId="2DACA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3FED675A">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Dmean（Gy）</w:t>
            </w:r>
          </w:p>
        </w:tc>
        <w:tc>
          <w:tcPr>
            <w:tcW w:w="2126" w:type="dxa"/>
            <w:tcBorders>
              <w:top w:val="nil"/>
              <w:left w:val="nil"/>
              <w:bottom w:val="nil"/>
              <w:right w:val="nil"/>
            </w:tcBorders>
            <w:vAlign w:val="center"/>
          </w:tcPr>
          <w:p w14:paraId="11A2B879">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59.61±4.56</w:t>
            </w:r>
          </w:p>
        </w:tc>
        <w:tc>
          <w:tcPr>
            <w:tcW w:w="2127" w:type="dxa"/>
            <w:tcBorders>
              <w:top w:val="nil"/>
              <w:left w:val="nil"/>
              <w:bottom w:val="nil"/>
              <w:right w:val="nil"/>
            </w:tcBorders>
            <w:vAlign w:val="center"/>
          </w:tcPr>
          <w:p w14:paraId="2A8BA617">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57.03±3.37</w:t>
            </w:r>
          </w:p>
        </w:tc>
        <w:tc>
          <w:tcPr>
            <w:tcW w:w="2032" w:type="dxa"/>
            <w:tcBorders>
              <w:top w:val="nil"/>
              <w:left w:val="nil"/>
              <w:bottom w:val="nil"/>
              <w:right w:val="nil"/>
            </w:tcBorders>
            <w:vAlign w:val="center"/>
          </w:tcPr>
          <w:p w14:paraId="4A6F99AB">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2.58, 4.33%</w:t>
            </w:r>
          </w:p>
        </w:tc>
        <w:tc>
          <w:tcPr>
            <w:tcW w:w="1081" w:type="dxa"/>
            <w:tcBorders>
              <w:top w:val="nil"/>
              <w:left w:val="nil"/>
              <w:bottom w:val="nil"/>
              <w:right w:val="nil"/>
            </w:tcBorders>
            <w:vAlign w:val="center"/>
          </w:tcPr>
          <w:p w14:paraId="366722BE">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0.002</w:t>
            </w:r>
          </w:p>
        </w:tc>
      </w:tr>
      <w:tr w14:paraId="672CA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52F21D28">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V30（%）</w:t>
            </w:r>
          </w:p>
        </w:tc>
        <w:tc>
          <w:tcPr>
            <w:tcW w:w="2126" w:type="dxa"/>
            <w:tcBorders>
              <w:top w:val="nil"/>
              <w:left w:val="nil"/>
              <w:bottom w:val="nil"/>
              <w:right w:val="nil"/>
            </w:tcBorders>
            <w:vAlign w:val="center"/>
          </w:tcPr>
          <w:p w14:paraId="2D556BF0">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100(100,100)</w:t>
            </w:r>
          </w:p>
        </w:tc>
        <w:tc>
          <w:tcPr>
            <w:tcW w:w="2127" w:type="dxa"/>
            <w:tcBorders>
              <w:top w:val="nil"/>
              <w:left w:val="nil"/>
              <w:bottom w:val="nil"/>
              <w:right w:val="nil"/>
            </w:tcBorders>
            <w:vAlign w:val="center"/>
          </w:tcPr>
          <w:p w14:paraId="411A98F3">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100(100,100)</w:t>
            </w:r>
          </w:p>
        </w:tc>
        <w:tc>
          <w:tcPr>
            <w:tcW w:w="2032" w:type="dxa"/>
            <w:tcBorders>
              <w:top w:val="nil"/>
              <w:left w:val="nil"/>
              <w:bottom w:val="nil"/>
              <w:right w:val="nil"/>
            </w:tcBorders>
            <w:vAlign w:val="center"/>
          </w:tcPr>
          <w:p w14:paraId="346A760C">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0,0%</w:t>
            </w:r>
          </w:p>
        </w:tc>
        <w:tc>
          <w:tcPr>
            <w:tcW w:w="1081" w:type="dxa"/>
            <w:tcBorders>
              <w:top w:val="nil"/>
              <w:left w:val="nil"/>
              <w:bottom w:val="nil"/>
              <w:right w:val="nil"/>
            </w:tcBorders>
            <w:vAlign w:val="center"/>
          </w:tcPr>
          <w:p w14:paraId="733F870B">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w:t>
            </w:r>
          </w:p>
        </w:tc>
      </w:tr>
      <w:tr w14:paraId="50C56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36CDB7C3">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V40（%）</w:t>
            </w:r>
          </w:p>
        </w:tc>
        <w:tc>
          <w:tcPr>
            <w:tcW w:w="2126" w:type="dxa"/>
            <w:tcBorders>
              <w:top w:val="nil"/>
              <w:left w:val="nil"/>
              <w:bottom w:val="nil"/>
              <w:right w:val="nil"/>
            </w:tcBorders>
            <w:vAlign w:val="center"/>
          </w:tcPr>
          <w:p w14:paraId="0D0F904E">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96.52(88.31,99.66)</w:t>
            </w:r>
          </w:p>
        </w:tc>
        <w:tc>
          <w:tcPr>
            <w:tcW w:w="2127" w:type="dxa"/>
            <w:tcBorders>
              <w:top w:val="nil"/>
              <w:left w:val="nil"/>
              <w:bottom w:val="nil"/>
              <w:right w:val="nil"/>
            </w:tcBorders>
            <w:vAlign w:val="center"/>
          </w:tcPr>
          <w:p w14:paraId="291FB95C">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90.21(83.34,93.66)</w:t>
            </w:r>
          </w:p>
        </w:tc>
        <w:tc>
          <w:tcPr>
            <w:tcW w:w="2032" w:type="dxa"/>
            <w:tcBorders>
              <w:top w:val="nil"/>
              <w:left w:val="nil"/>
              <w:bottom w:val="nil"/>
              <w:right w:val="nil"/>
            </w:tcBorders>
            <w:vAlign w:val="center"/>
          </w:tcPr>
          <w:p w14:paraId="4116BAAA">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6.31,6.54%</w:t>
            </w:r>
          </w:p>
        </w:tc>
        <w:tc>
          <w:tcPr>
            <w:tcW w:w="1081" w:type="dxa"/>
            <w:tcBorders>
              <w:top w:val="nil"/>
              <w:left w:val="nil"/>
              <w:bottom w:val="nil"/>
              <w:right w:val="nil"/>
            </w:tcBorders>
            <w:vAlign w:val="center"/>
          </w:tcPr>
          <w:p w14:paraId="2003E719">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0.006</w:t>
            </w:r>
          </w:p>
        </w:tc>
      </w:tr>
      <w:tr w14:paraId="58D5B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410D0CD1">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V50（%）</w:t>
            </w:r>
          </w:p>
        </w:tc>
        <w:tc>
          <w:tcPr>
            <w:tcW w:w="2126" w:type="dxa"/>
            <w:tcBorders>
              <w:top w:val="nil"/>
              <w:left w:val="nil"/>
              <w:bottom w:val="nil"/>
              <w:right w:val="nil"/>
            </w:tcBorders>
            <w:vAlign w:val="center"/>
          </w:tcPr>
          <w:p w14:paraId="2CB183A5">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78.00±14.42</w:t>
            </w:r>
          </w:p>
        </w:tc>
        <w:tc>
          <w:tcPr>
            <w:tcW w:w="2127" w:type="dxa"/>
            <w:tcBorders>
              <w:top w:val="nil"/>
              <w:left w:val="nil"/>
              <w:bottom w:val="nil"/>
              <w:right w:val="nil"/>
            </w:tcBorders>
            <w:vAlign w:val="center"/>
          </w:tcPr>
          <w:p w14:paraId="311422FD">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68.32±18.59</w:t>
            </w:r>
          </w:p>
        </w:tc>
        <w:tc>
          <w:tcPr>
            <w:tcW w:w="2032" w:type="dxa"/>
            <w:tcBorders>
              <w:top w:val="nil"/>
              <w:left w:val="nil"/>
              <w:bottom w:val="nil"/>
              <w:right w:val="nil"/>
            </w:tcBorders>
            <w:vAlign w:val="center"/>
          </w:tcPr>
          <w:p w14:paraId="6C8F19C7">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9.68,12.41%</w:t>
            </w:r>
          </w:p>
        </w:tc>
        <w:tc>
          <w:tcPr>
            <w:tcW w:w="1081" w:type="dxa"/>
            <w:tcBorders>
              <w:top w:val="nil"/>
              <w:left w:val="nil"/>
              <w:bottom w:val="nil"/>
              <w:right w:val="nil"/>
            </w:tcBorders>
            <w:vAlign w:val="center"/>
          </w:tcPr>
          <w:p w14:paraId="48DCC747">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0.007</w:t>
            </w:r>
          </w:p>
        </w:tc>
      </w:tr>
      <w:tr w14:paraId="594F5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1AAD157A">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V60（%）</w:t>
            </w:r>
          </w:p>
        </w:tc>
        <w:tc>
          <w:tcPr>
            <w:tcW w:w="2126" w:type="dxa"/>
            <w:tcBorders>
              <w:top w:val="nil"/>
              <w:left w:val="nil"/>
              <w:bottom w:val="nil"/>
              <w:right w:val="nil"/>
            </w:tcBorders>
            <w:vAlign w:val="center"/>
          </w:tcPr>
          <w:p w14:paraId="7D1DABC7">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55.68±22.12</w:t>
            </w:r>
          </w:p>
        </w:tc>
        <w:tc>
          <w:tcPr>
            <w:tcW w:w="2127" w:type="dxa"/>
            <w:tcBorders>
              <w:top w:val="nil"/>
              <w:left w:val="nil"/>
              <w:bottom w:val="nil"/>
              <w:right w:val="nil"/>
            </w:tcBorders>
            <w:vAlign w:val="center"/>
          </w:tcPr>
          <w:p w14:paraId="7653F5EA">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43.89±19.21</w:t>
            </w:r>
          </w:p>
        </w:tc>
        <w:tc>
          <w:tcPr>
            <w:tcW w:w="2032" w:type="dxa"/>
            <w:tcBorders>
              <w:top w:val="nil"/>
              <w:left w:val="nil"/>
              <w:bottom w:val="nil"/>
              <w:right w:val="nil"/>
            </w:tcBorders>
            <w:vAlign w:val="center"/>
          </w:tcPr>
          <w:p w14:paraId="0E0DFF55">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11.79,20.80%</w:t>
            </w:r>
          </w:p>
        </w:tc>
        <w:tc>
          <w:tcPr>
            <w:tcW w:w="1081" w:type="dxa"/>
            <w:tcBorders>
              <w:top w:val="nil"/>
              <w:left w:val="nil"/>
              <w:bottom w:val="nil"/>
              <w:right w:val="nil"/>
            </w:tcBorders>
            <w:vAlign w:val="center"/>
          </w:tcPr>
          <w:p w14:paraId="4A0913F4">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0.005</w:t>
            </w:r>
          </w:p>
        </w:tc>
      </w:tr>
      <w:tr w14:paraId="0E6D7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54573D73">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 w:val="22"/>
                <w:highlight w:val="none"/>
              </w:rPr>
              <w:t xml:space="preserve">Middle pharyngeal constrictor </w:t>
            </w:r>
            <w:r>
              <w:rPr>
                <w:rFonts w:hint="eastAsia" w:ascii="Times New Roman" w:hAnsi="Times New Roman" w:eastAsia="宋体" w:cs="Times New Roman"/>
                <w:szCs w:val="21"/>
                <w:highlight w:val="none"/>
              </w:rPr>
              <w:t>(cm</w:t>
            </w:r>
            <w:r>
              <w:rPr>
                <w:rFonts w:hint="eastAsia" w:ascii="Times New Roman" w:hAnsi="Times New Roman" w:eastAsia="宋体" w:cs="Times New Roman"/>
                <w:szCs w:val="21"/>
                <w:highlight w:val="none"/>
                <w:vertAlign w:val="superscript"/>
              </w:rPr>
              <w:t>3</w:t>
            </w:r>
            <w:r>
              <w:rPr>
                <w:rFonts w:hint="eastAsia" w:ascii="Times New Roman" w:hAnsi="Times New Roman" w:eastAsia="宋体" w:cs="Times New Roman"/>
                <w:szCs w:val="21"/>
                <w:highlight w:val="none"/>
              </w:rPr>
              <w:t>)</w:t>
            </w:r>
          </w:p>
        </w:tc>
        <w:tc>
          <w:tcPr>
            <w:tcW w:w="7366" w:type="dxa"/>
            <w:gridSpan w:val="4"/>
            <w:tcBorders>
              <w:top w:val="nil"/>
              <w:left w:val="nil"/>
              <w:bottom w:val="nil"/>
              <w:right w:val="nil"/>
            </w:tcBorders>
            <w:vAlign w:val="center"/>
          </w:tcPr>
          <w:p w14:paraId="31DD3600">
            <w:pPr>
              <w:keepNext w:val="0"/>
              <w:keepLines w:val="0"/>
              <w:suppressLineNumbers w:val="0"/>
              <w:adjustRightInd w:val="0"/>
              <w:snapToGrid w:val="0"/>
              <w:spacing w:before="0" w:beforeAutospacing="0" w:after="0" w:afterAutospacing="0" w:line="360" w:lineRule="auto"/>
              <w:ind w:left="0" w:right="0"/>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3.63±0.16</w:t>
            </w:r>
          </w:p>
        </w:tc>
      </w:tr>
      <w:tr w14:paraId="1C5E6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1805CB81">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Dmax（Gy）</w:t>
            </w:r>
          </w:p>
        </w:tc>
        <w:tc>
          <w:tcPr>
            <w:tcW w:w="2126" w:type="dxa"/>
            <w:tcBorders>
              <w:top w:val="nil"/>
              <w:left w:val="nil"/>
              <w:bottom w:val="nil"/>
              <w:right w:val="nil"/>
            </w:tcBorders>
            <w:vAlign w:val="center"/>
          </w:tcPr>
          <w:p w14:paraId="315CDD5F">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60.32±6.19</w:t>
            </w:r>
          </w:p>
        </w:tc>
        <w:tc>
          <w:tcPr>
            <w:tcW w:w="2127" w:type="dxa"/>
            <w:tcBorders>
              <w:top w:val="nil"/>
              <w:left w:val="nil"/>
              <w:bottom w:val="nil"/>
              <w:right w:val="nil"/>
            </w:tcBorders>
            <w:vAlign w:val="center"/>
          </w:tcPr>
          <w:p w14:paraId="52A54041">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57.56±6.97</w:t>
            </w:r>
          </w:p>
        </w:tc>
        <w:tc>
          <w:tcPr>
            <w:tcW w:w="2032" w:type="dxa"/>
            <w:tcBorders>
              <w:top w:val="nil"/>
              <w:left w:val="nil"/>
              <w:bottom w:val="nil"/>
              <w:right w:val="nil"/>
            </w:tcBorders>
            <w:vAlign w:val="center"/>
          </w:tcPr>
          <w:p w14:paraId="289EE70A">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2.76,4.57%</w:t>
            </w:r>
          </w:p>
        </w:tc>
        <w:tc>
          <w:tcPr>
            <w:tcW w:w="1081" w:type="dxa"/>
            <w:tcBorders>
              <w:top w:val="nil"/>
              <w:left w:val="nil"/>
              <w:bottom w:val="nil"/>
              <w:right w:val="nil"/>
            </w:tcBorders>
            <w:vAlign w:val="center"/>
          </w:tcPr>
          <w:p w14:paraId="731233E9">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0.058</w:t>
            </w:r>
          </w:p>
        </w:tc>
      </w:tr>
      <w:tr w14:paraId="06EF1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6C373B1D">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Dmin （Gy）</w:t>
            </w:r>
          </w:p>
        </w:tc>
        <w:tc>
          <w:tcPr>
            <w:tcW w:w="2126" w:type="dxa"/>
            <w:tcBorders>
              <w:top w:val="nil"/>
              <w:left w:val="nil"/>
              <w:bottom w:val="nil"/>
              <w:right w:val="nil"/>
            </w:tcBorders>
            <w:vAlign w:val="center"/>
          </w:tcPr>
          <w:p w14:paraId="1DE3BD06">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32.22±4.63</w:t>
            </w:r>
          </w:p>
        </w:tc>
        <w:tc>
          <w:tcPr>
            <w:tcW w:w="2127" w:type="dxa"/>
            <w:tcBorders>
              <w:top w:val="nil"/>
              <w:left w:val="nil"/>
              <w:bottom w:val="nil"/>
              <w:right w:val="nil"/>
            </w:tcBorders>
            <w:vAlign w:val="center"/>
          </w:tcPr>
          <w:p w14:paraId="44D761D3">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28.22±5.05</w:t>
            </w:r>
          </w:p>
        </w:tc>
        <w:tc>
          <w:tcPr>
            <w:tcW w:w="2032" w:type="dxa"/>
            <w:tcBorders>
              <w:top w:val="nil"/>
              <w:left w:val="nil"/>
              <w:bottom w:val="nil"/>
              <w:right w:val="nil"/>
            </w:tcBorders>
            <w:vAlign w:val="center"/>
          </w:tcPr>
          <w:p w14:paraId="15D0C2E8">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4.00,12.41%</w:t>
            </w:r>
          </w:p>
        </w:tc>
        <w:tc>
          <w:tcPr>
            <w:tcW w:w="1081" w:type="dxa"/>
            <w:tcBorders>
              <w:top w:val="nil"/>
              <w:left w:val="nil"/>
              <w:bottom w:val="nil"/>
              <w:right w:val="nil"/>
            </w:tcBorders>
            <w:vAlign w:val="center"/>
          </w:tcPr>
          <w:p w14:paraId="04D1FD4D">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lang w:val="en-US" w:eastAsia="zh-CN"/>
              </w:rPr>
              <w:t>＜0.001</w:t>
            </w:r>
          </w:p>
        </w:tc>
      </w:tr>
      <w:tr w14:paraId="2331E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1E414B5C">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Dmean（Gy）</w:t>
            </w:r>
          </w:p>
        </w:tc>
        <w:tc>
          <w:tcPr>
            <w:tcW w:w="2126" w:type="dxa"/>
            <w:tcBorders>
              <w:top w:val="nil"/>
              <w:left w:val="nil"/>
              <w:bottom w:val="nil"/>
              <w:right w:val="nil"/>
            </w:tcBorders>
            <w:vAlign w:val="center"/>
          </w:tcPr>
          <w:p w14:paraId="49F4C39D">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42.02±4.66</w:t>
            </w:r>
          </w:p>
        </w:tc>
        <w:tc>
          <w:tcPr>
            <w:tcW w:w="2127" w:type="dxa"/>
            <w:tcBorders>
              <w:top w:val="nil"/>
              <w:left w:val="nil"/>
              <w:bottom w:val="nil"/>
              <w:right w:val="nil"/>
            </w:tcBorders>
            <w:vAlign w:val="center"/>
          </w:tcPr>
          <w:p w14:paraId="4E014AE8">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36.99±4.59</w:t>
            </w:r>
          </w:p>
        </w:tc>
        <w:tc>
          <w:tcPr>
            <w:tcW w:w="2032" w:type="dxa"/>
            <w:tcBorders>
              <w:top w:val="nil"/>
              <w:left w:val="nil"/>
              <w:bottom w:val="nil"/>
              <w:right w:val="nil"/>
            </w:tcBorders>
            <w:vAlign w:val="center"/>
          </w:tcPr>
          <w:p w14:paraId="22A37D33">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5.03,11.97%</w:t>
            </w:r>
          </w:p>
        </w:tc>
        <w:tc>
          <w:tcPr>
            <w:tcW w:w="1081" w:type="dxa"/>
            <w:tcBorders>
              <w:top w:val="nil"/>
              <w:left w:val="nil"/>
              <w:bottom w:val="nil"/>
              <w:right w:val="nil"/>
            </w:tcBorders>
            <w:vAlign w:val="center"/>
          </w:tcPr>
          <w:p w14:paraId="7506DBF9">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lang w:val="en-US" w:eastAsia="zh-CN"/>
              </w:rPr>
              <w:t>＜0.001</w:t>
            </w:r>
          </w:p>
        </w:tc>
      </w:tr>
      <w:tr w14:paraId="51650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4C63BC72">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V30（%）</w:t>
            </w:r>
          </w:p>
        </w:tc>
        <w:tc>
          <w:tcPr>
            <w:tcW w:w="2126" w:type="dxa"/>
            <w:tcBorders>
              <w:top w:val="nil"/>
              <w:left w:val="nil"/>
              <w:bottom w:val="nil"/>
              <w:right w:val="nil"/>
            </w:tcBorders>
            <w:vAlign w:val="center"/>
          </w:tcPr>
          <w:p w14:paraId="2941515C">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100(100,100)</w:t>
            </w:r>
          </w:p>
        </w:tc>
        <w:tc>
          <w:tcPr>
            <w:tcW w:w="2127" w:type="dxa"/>
            <w:tcBorders>
              <w:top w:val="nil"/>
              <w:left w:val="nil"/>
              <w:bottom w:val="nil"/>
              <w:right w:val="nil"/>
            </w:tcBorders>
            <w:vAlign w:val="center"/>
          </w:tcPr>
          <w:p w14:paraId="49DAF822">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92.03(78.24,100)</w:t>
            </w:r>
          </w:p>
        </w:tc>
        <w:tc>
          <w:tcPr>
            <w:tcW w:w="2032" w:type="dxa"/>
            <w:tcBorders>
              <w:top w:val="nil"/>
              <w:left w:val="nil"/>
              <w:bottom w:val="nil"/>
              <w:right w:val="nil"/>
            </w:tcBorders>
            <w:vAlign w:val="center"/>
          </w:tcPr>
          <w:p w14:paraId="706E15A7">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7.70,7.70%</w:t>
            </w:r>
          </w:p>
        </w:tc>
        <w:tc>
          <w:tcPr>
            <w:tcW w:w="1081" w:type="dxa"/>
            <w:tcBorders>
              <w:top w:val="nil"/>
              <w:left w:val="nil"/>
              <w:bottom w:val="nil"/>
              <w:right w:val="nil"/>
            </w:tcBorders>
            <w:vAlign w:val="center"/>
          </w:tcPr>
          <w:p w14:paraId="4A4197AF">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0.002</w:t>
            </w:r>
          </w:p>
        </w:tc>
      </w:tr>
      <w:tr w14:paraId="007B9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2B4B8574">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V40（%）</w:t>
            </w:r>
          </w:p>
        </w:tc>
        <w:tc>
          <w:tcPr>
            <w:tcW w:w="2126" w:type="dxa"/>
            <w:tcBorders>
              <w:top w:val="nil"/>
              <w:left w:val="nil"/>
              <w:bottom w:val="nil"/>
              <w:right w:val="nil"/>
            </w:tcBorders>
            <w:vAlign w:val="center"/>
          </w:tcPr>
          <w:p w14:paraId="0B4B790D">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53.20±24.13</w:t>
            </w:r>
          </w:p>
        </w:tc>
        <w:tc>
          <w:tcPr>
            <w:tcW w:w="2127" w:type="dxa"/>
            <w:tcBorders>
              <w:top w:val="nil"/>
              <w:left w:val="nil"/>
              <w:bottom w:val="nil"/>
              <w:right w:val="nil"/>
            </w:tcBorders>
            <w:vAlign w:val="center"/>
          </w:tcPr>
          <w:p w14:paraId="696FAD41">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30.61±19.16</w:t>
            </w:r>
          </w:p>
        </w:tc>
        <w:tc>
          <w:tcPr>
            <w:tcW w:w="2032" w:type="dxa"/>
            <w:tcBorders>
              <w:top w:val="nil"/>
              <w:left w:val="nil"/>
              <w:bottom w:val="nil"/>
              <w:right w:val="nil"/>
            </w:tcBorders>
            <w:vAlign w:val="center"/>
          </w:tcPr>
          <w:p w14:paraId="7C568607">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23.19,43.59%</w:t>
            </w:r>
          </w:p>
        </w:tc>
        <w:tc>
          <w:tcPr>
            <w:tcW w:w="1081" w:type="dxa"/>
            <w:tcBorders>
              <w:top w:val="nil"/>
              <w:left w:val="nil"/>
              <w:bottom w:val="nil"/>
              <w:right w:val="nil"/>
            </w:tcBorders>
            <w:vAlign w:val="center"/>
          </w:tcPr>
          <w:p w14:paraId="1E60BE92">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lang w:val="en-US" w:eastAsia="zh-CN"/>
              </w:rPr>
              <w:t>＜0.001</w:t>
            </w:r>
          </w:p>
        </w:tc>
      </w:tr>
      <w:tr w14:paraId="15684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21340802">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V50（%）</w:t>
            </w:r>
          </w:p>
        </w:tc>
        <w:tc>
          <w:tcPr>
            <w:tcW w:w="2126" w:type="dxa"/>
            <w:tcBorders>
              <w:top w:val="nil"/>
              <w:left w:val="nil"/>
              <w:bottom w:val="nil"/>
              <w:right w:val="nil"/>
            </w:tcBorders>
            <w:vAlign w:val="center"/>
          </w:tcPr>
          <w:p w14:paraId="6423E774">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10.57(3.84,29.38)</w:t>
            </w:r>
          </w:p>
        </w:tc>
        <w:tc>
          <w:tcPr>
            <w:tcW w:w="2127" w:type="dxa"/>
            <w:tcBorders>
              <w:top w:val="nil"/>
              <w:left w:val="nil"/>
              <w:bottom w:val="nil"/>
              <w:right w:val="nil"/>
            </w:tcBorders>
            <w:vAlign w:val="center"/>
          </w:tcPr>
          <w:p w14:paraId="5073315B">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4.64(0.94,11.17)</w:t>
            </w:r>
          </w:p>
        </w:tc>
        <w:tc>
          <w:tcPr>
            <w:tcW w:w="2032" w:type="dxa"/>
            <w:tcBorders>
              <w:top w:val="nil"/>
              <w:left w:val="nil"/>
              <w:bottom w:val="nil"/>
              <w:right w:val="nil"/>
            </w:tcBorders>
            <w:vAlign w:val="center"/>
          </w:tcPr>
          <w:p w14:paraId="6E395AE7">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5.93,56.10%</w:t>
            </w:r>
          </w:p>
        </w:tc>
        <w:tc>
          <w:tcPr>
            <w:tcW w:w="1081" w:type="dxa"/>
            <w:tcBorders>
              <w:top w:val="nil"/>
              <w:left w:val="nil"/>
              <w:bottom w:val="nil"/>
              <w:right w:val="nil"/>
            </w:tcBorders>
            <w:vAlign w:val="center"/>
          </w:tcPr>
          <w:p w14:paraId="296150DF">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0.003</w:t>
            </w:r>
          </w:p>
        </w:tc>
      </w:tr>
      <w:tr w14:paraId="36D6D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5C475AFD">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V60（%）</w:t>
            </w:r>
          </w:p>
        </w:tc>
        <w:tc>
          <w:tcPr>
            <w:tcW w:w="2126" w:type="dxa"/>
            <w:tcBorders>
              <w:top w:val="nil"/>
              <w:left w:val="nil"/>
              <w:bottom w:val="nil"/>
              <w:right w:val="nil"/>
            </w:tcBorders>
            <w:vAlign w:val="center"/>
          </w:tcPr>
          <w:p w14:paraId="387A9020">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0(0,3.49)</w:t>
            </w:r>
          </w:p>
        </w:tc>
        <w:tc>
          <w:tcPr>
            <w:tcW w:w="2127" w:type="dxa"/>
            <w:tcBorders>
              <w:top w:val="nil"/>
              <w:left w:val="nil"/>
              <w:bottom w:val="nil"/>
              <w:right w:val="nil"/>
            </w:tcBorders>
            <w:vAlign w:val="center"/>
          </w:tcPr>
          <w:p w14:paraId="50F7EAE6">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0(0,0.49)</w:t>
            </w:r>
          </w:p>
        </w:tc>
        <w:tc>
          <w:tcPr>
            <w:tcW w:w="2032" w:type="dxa"/>
            <w:tcBorders>
              <w:top w:val="nil"/>
              <w:left w:val="nil"/>
              <w:bottom w:val="nil"/>
              <w:right w:val="nil"/>
            </w:tcBorders>
            <w:vAlign w:val="center"/>
          </w:tcPr>
          <w:p w14:paraId="51FB5A23">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w:t>
            </w:r>
          </w:p>
        </w:tc>
        <w:tc>
          <w:tcPr>
            <w:tcW w:w="1081" w:type="dxa"/>
            <w:tcBorders>
              <w:top w:val="nil"/>
              <w:left w:val="nil"/>
              <w:bottom w:val="nil"/>
              <w:right w:val="nil"/>
            </w:tcBorders>
            <w:vAlign w:val="center"/>
          </w:tcPr>
          <w:p w14:paraId="32BDCFBA">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w:t>
            </w:r>
          </w:p>
        </w:tc>
      </w:tr>
      <w:tr w14:paraId="1BDFD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6A4FF6D2">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 w:val="22"/>
                <w:highlight w:val="none"/>
              </w:rPr>
              <w:t xml:space="preserve">Low pharyngeal constrictor </w:t>
            </w:r>
            <w:r>
              <w:rPr>
                <w:rFonts w:hint="eastAsia" w:ascii="Times New Roman" w:hAnsi="Times New Roman" w:eastAsia="宋体" w:cs="Times New Roman"/>
                <w:szCs w:val="21"/>
                <w:highlight w:val="none"/>
              </w:rPr>
              <w:t>(cm</w:t>
            </w:r>
            <w:r>
              <w:rPr>
                <w:rFonts w:hint="eastAsia" w:ascii="Times New Roman" w:hAnsi="Times New Roman" w:eastAsia="宋体" w:cs="Times New Roman"/>
                <w:szCs w:val="21"/>
                <w:highlight w:val="none"/>
                <w:vertAlign w:val="superscript"/>
              </w:rPr>
              <w:t>3</w:t>
            </w:r>
            <w:r>
              <w:rPr>
                <w:rFonts w:hint="eastAsia" w:ascii="Times New Roman" w:hAnsi="Times New Roman" w:eastAsia="宋体" w:cs="Times New Roman"/>
                <w:szCs w:val="21"/>
                <w:highlight w:val="none"/>
              </w:rPr>
              <w:t>)</w:t>
            </w:r>
          </w:p>
        </w:tc>
        <w:tc>
          <w:tcPr>
            <w:tcW w:w="7366" w:type="dxa"/>
            <w:gridSpan w:val="4"/>
            <w:tcBorders>
              <w:top w:val="nil"/>
              <w:left w:val="nil"/>
              <w:bottom w:val="nil"/>
              <w:right w:val="nil"/>
            </w:tcBorders>
            <w:vAlign w:val="center"/>
          </w:tcPr>
          <w:p w14:paraId="18BCBE5E">
            <w:pPr>
              <w:keepNext w:val="0"/>
              <w:keepLines w:val="0"/>
              <w:suppressLineNumbers w:val="0"/>
              <w:tabs>
                <w:tab w:val="left" w:pos="1488"/>
              </w:tabs>
              <w:adjustRightInd w:val="0"/>
              <w:snapToGrid w:val="0"/>
              <w:spacing w:before="0" w:beforeAutospacing="0" w:after="0" w:afterAutospacing="0" w:line="360" w:lineRule="auto"/>
              <w:ind w:left="0" w:right="0"/>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4.68±0.30</w:t>
            </w:r>
          </w:p>
        </w:tc>
      </w:tr>
      <w:tr w14:paraId="317FC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75E4CB02">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Dmax（Gy）</w:t>
            </w:r>
          </w:p>
        </w:tc>
        <w:tc>
          <w:tcPr>
            <w:tcW w:w="2126" w:type="dxa"/>
            <w:tcBorders>
              <w:top w:val="nil"/>
              <w:left w:val="nil"/>
              <w:bottom w:val="nil"/>
              <w:right w:val="nil"/>
            </w:tcBorders>
            <w:vAlign w:val="center"/>
          </w:tcPr>
          <w:p w14:paraId="654CFAC5">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57.12±6.61</w:t>
            </w:r>
          </w:p>
        </w:tc>
        <w:tc>
          <w:tcPr>
            <w:tcW w:w="2127" w:type="dxa"/>
            <w:tcBorders>
              <w:top w:val="nil"/>
              <w:left w:val="nil"/>
              <w:bottom w:val="nil"/>
              <w:right w:val="nil"/>
            </w:tcBorders>
            <w:vAlign w:val="center"/>
          </w:tcPr>
          <w:p w14:paraId="553D38E6">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42.07±5.87</w:t>
            </w:r>
          </w:p>
        </w:tc>
        <w:tc>
          <w:tcPr>
            <w:tcW w:w="2032" w:type="dxa"/>
            <w:tcBorders>
              <w:top w:val="nil"/>
              <w:left w:val="nil"/>
              <w:bottom w:val="nil"/>
              <w:right w:val="nil"/>
            </w:tcBorders>
            <w:vAlign w:val="center"/>
          </w:tcPr>
          <w:p w14:paraId="28BCA786">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15.05，26.34%</w:t>
            </w:r>
          </w:p>
        </w:tc>
        <w:tc>
          <w:tcPr>
            <w:tcW w:w="1081" w:type="dxa"/>
            <w:tcBorders>
              <w:top w:val="nil"/>
              <w:left w:val="nil"/>
              <w:bottom w:val="nil"/>
              <w:right w:val="nil"/>
            </w:tcBorders>
            <w:vAlign w:val="center"/>
          </w:tcPr>
          <w:p w14:paraId="68737C98">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lang w:val="en-US" w:eastAsia="zh-CN"/>
              </w:rPr>
              <w:t>＜0.001</w:t>
            </w:r>
          </w:p>
        </w:tc>
      </w:tr>
      <w:tr w14:paraId="67EF7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0DFE9D82">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Dmin （Gy）</w:t>
            </w:r>
          </w:p>
        </w:tc>
        <w:tc>
          <w:tcPr>
            <w:tcW w:w="2126" w:type="dxa"/>
            <w:tcBorders>
              <w:top w:val="nil"/>
              <w:left w:val="nil"/>
              <w:bottom w:val="nil"/>
              <w:right w:val="nil"/>
            </w:tcBorders>
            <w:vAlign w:val="center"/>
          </w:tcPr>
          <w:p w14:paraId="7BED34ED">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31.45±6.11</w:t>
            </w:r>
          </w:p>
        </w:tc>
        <w:tc>
          <w:tcPr>
            <w:tcW w:w="2127" w:type="dxa"/>
            <w:tcBorders>
              <w:top w:val="nil"/>
              <w:left w:val="nil"/>
              <w:bottom w:val="nil"/>
              <w:right w:val="nil"/>
            </w:tcBorders>
            <w:vAlign w:val="center"/>
          </w:tcPr>
          <w:p w14:paraId="56146AD9">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23.48±6.17</w:t>
            </w:r>
          </w:p>
        </w:tc>
        <w:tc>
          <w:tcPr>
            <w:tcW w:w="2032" w:type="dxa"/>
            <w:tcBorders>
              <w:top w:val="nil"/>
              <w:left w:val="nil"/>
              <w:bottom w:val="nil"/>
              <w:right w:val="nil"/>
            </w:tcBorders>
            <w:vAlign w:val="center"/>
          </w:tcPr>
          <w:p w14:paraId="6853DF52">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7.97，25.34%</w:t>
            </w:r>
          </w:p>
        </w:tc>
        <w:tc>
          <w:tcPr>
            <w:tcW w:w="1081" w:type="dxa"/>
            <w:tcBorders>
              <w:top w:val="nil"/>
              <w:left w:val="nil"/>
              <w:bottom w:val="nil"/>
              <w:right w:val="nil"/>
            </w:tcBorders>
            <w:vAlign w:val="center"/>
          </w:tcPr>
          <w:p w14:paraId="74AB3A7B">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lang w:val="en-US" w:eastAsia="zh-CN"/>
              </w:rPr>
              <w:t>＜0.001</w:t>
            </w:r>
          </w:p>
        </w:tc>
      </w:tr>
      <w:tr w14:paraId="52064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69BD5B62">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Dmean（Gy）</w:t>
            </w:r>
          </w:p>
        </w:tc>
        <w:tc>
          <w:tcPr>
            <w:tcW w:w="2126" w:type="dxa"/>
            <w:tcBorders>
              <w:top w:val="nil"/>
              <w:left w:val="nil"/>
              <w:bottom w:val="nil"/>
              <w:right w:val="nil"/>
            </w:tcBorders>
            <w:vAlign w:val="center"/>
          </w:tcPr>
          <w:p w14:paraId="2067AA5A">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39.30±5.11</w:t>
            </w:r>
          </w:p>
        </w:tc>
        <w:tc>
          <w:tcPr>
            <w:tcW w:w="2127" w:type="dxa"/>
            <w:tcBorders>
              <w:top w:val="nil"/>
              <w:left w:val="nil"/>
              <w:bottom w:val="nil"/>
              <w:right w:val="nil"/>
            </w:tcBorders>
            <w:vAlign w:val="center"/>
          </w:tcPr>
          <w:p w14:paraId="43FEF9D0">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30.28±5.26</w:t>
            </w:r>
          </w:p>
        </w:tc>
        <w:tc>
          <w:tcPr>
            <w:tcW w:w="2032" w:type="dxa"/>
            <w:tcBorders>
              <w:top w:val="nil"/>
              <w:left w:val="nil"/>
              <w:bottom w:val="nil"/>
              <w:right w:val="nil"/>
            </w:tcBorders>
            <w:vAlign w:val="center"/>
          </w:tcPr>
          <w:p w14:paraId="27C28677">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9.02，22.95%</w:t>
            </w:r>
          </w:p>
        </w:tc>
        <w:tc>
          <w:tcPr>
            <w:tcW w:w="1081" w:type="dxa"/>
            <w:tcBorders>
              <w:top w:val="nil"/>
              <w:left w:val="nil"/>
              <w:bottom w:val="nil"/>
              <w:right w:val="nil"/>
            </w:tcBorders>
            <w:vAlign w:val="center"/>
          </w:tcPr>
          <w:p w14:paraId="6CAD5E44">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lang w:val="en-US" w:eastAsia="zh-CN"/>
              </w:rPr>
              <w:t>＜0.001</w:t>
            </w:r>
          </w:p>
        </w:tc>
      </w:tr>
      <w:tr w14:paraId="70A8B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567D8868">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V30（%）</w:t>
            </w:r>
          </w:p>
        </w:tc>
        <w:tc>
          <w:tcPr>
            <w:tcW w:w="2126" w:type="dxa"/>
            <w:tcBorders>
              <w:top w:val="nil"/>
              <w:left w:val="nil"/>
              <w:bottom w:val="nil"/>
              <w:right w:val="nil"/>
            </w:tcBorders>
            <w:vAlign w:val="center"/>
          </w:tcPr>
          <w:p w14:paraId="28E6DFF0">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100(93.05,100)</w:t>
            </w:r>
          </w:p>
        </w:tc>
        <w:tc>
          <w:tcPr>
            <w:tcW w:w="2127" w:type="dxa"/>
            <w:tcBorders>
              <w:top w:val="nil"/>
              <w:left w:val="nil"/>
              <w:bottom w:val="nil"/>
              <w:right w:val="nil"/>
            </w:tcBorders>
            <w:vAlign w:val="center"/>
          </w:tcPr>
          <w:p w14:paraId="3C29D214">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64.73(18.64,88.85)</w:t>
            </w:r>
          </w:p>
        </w:tc>
        <w:tc>
          <w:tcPr>
            <w:tcW w:w="2032" w:type="dxa"/>
            <w:tcBorders>
              <w:top w:val="nil"/>
              <w:left w:val="nil"/>
              <w:bottom w:val="nil"/>
              <w:right w:val="nil"/>
            </w:tcBorders>
            <w:vAlign w:val="center"/>
          </w:tcPr>
          <w:p w14:paraId="2B6D2594">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35.27，35.27%</w:t>
            </w:r>
          </w:p>
        </w:tc>
        <w:tc>
          <w:tcPr>
            <w:tcW w:w="1081" w:type="dxa"/>
            <w:tcBorders>
              <w:top w:val="nil"/>
              <w:left w:val="nil"/>
              <w:bottom w:val="nil"/>
              <w:right w:val="nil"/>
            </w:tcBorders>
            <w:vAlign w:val="center"/>
          </w:tcPr>
          <w:p w14:paraId="15477037">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lang w:val="en-US" w:eastAsia="zh-CN"/>
              </w:rPr>
              <w:t>＜0.001</w:t>
            </w:r>
          </w:p>
        </w:tc>
      </w:tr>
      <w:tr w14:paraId="774A1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12D359D2">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V40（%）</w:t>
            </w:r>
          </w:p>
        </w:tc>
        <w:tc>
          <w:tcPr>
            <w:tcW w:w="2126" w:type="dxa"/>
            <w:tcBorders>
              <w:top w:val="nil"/>
              <w:left w:val="nil"/>
              <w:bottom w:val="nil"/>
              <w:right w:val="nil"/>
            </w:tcBorders>
            <w:vAlign w:val="center"/>
          </w:tcPr>
          <w:p w14:paraId="512997FE">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41.78±26.95</w:t>
            </w:r>
          </w:p>
        </w:tc>
        <w:tc>
          <w:tcPr>
            <w:tcW w:w="2127" w:type="dxa"/>
            <w:tcBorders>
              <w:top w:val="nil"/>
              <w:left w:val="nil"/>
              <w:bottom w:val="nil"/>
              <w:right w:val="nil"/>
            </w:tcBorders>
            <w:vAlign w:val="center"/>
          </w:tcPr>
          <w:p w14:paraId="43B8C8C9">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3.39±6.28</w:t>
            </w:r>
          </w:p>
        </w:tc>
        <w:tc>
          <w:tcPr>
            <w:tcW w:w="2032" w:type="dxa"/>
            <w:tcBorders>
              <w:top w:val="nil"/>
              <w:left w:val="nil"/>
              <w:bottom w:val="nil"/>
              <w:right w:val="nil"/>
            </w:tcBorders>
            <w:vAlign w:val="center"/>
          </w:tcPr>
          <w:p w14:paraId="22FB94DF">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38.39，91.88%</w:t>
            </w:r>
          </w:p>
        </w:tc>
        <w:tc>
          <w:tcPr>
            <w:tcW w:w="1081" w:type="dxa"/>
            <w:tcBorders>
              <w:top w:val="nil"/>
              <w:left w:val="nil"/>
              <w:bottom w:val="nil"/>
              <w:right w:val="nil"/>
            </w:tcBorders>
            <w:vAlign w:val="center"/>
          </w:tcPr>
          <w:p w14:paraId="288AFE4A">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lang w:val="en-US" w:eastAsia="zh-CN"/>
              </w:rPr>
              <w:t>＜0.001</w:t>
            </w:r>
          </w:p>
        </w:tc>
      </w:tr>
      <w:tr w14:paraId="06068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70651F74">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V50（%）</w:t>
            </w:r>
          </w:p>
        </w:tc>
        <w:tc>
          <w:tcPr>
            <w:tcW w:w="2126" w:type="dxa"/>
            <w:tcBorders>
              <w:top w:val="nil"/>
              <w:left w:val="nil"/>
              <w:bottom w:val="nil"/>
              <w:right w:val="nil"/>
            </w:tcBorders>
            <w:vAlign w:val="center"/>
          </w:tcPr>
          <w:p w14:paraId="72748B44">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4.67(0.57,13.80)</w:t>
            </w:r>
          </w:p>
        </w:tc>
        <w:tc>
          <w:tcPr>
            <w:tcW w:w="2127" w:type="dxa"/>
            <w:tcBorders>
              <w:top w:val="nil"/>
              <w:left w:val="nil"/>
              <w:bottom w:val="nil"/>
              <w:right w:val="nil"/>
            </w:tcBorders>
            <w:vAlign w:val="center"/>
          </w:tcPr>
          <w:p w14:paraId="7C0F9FB8">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0(0,0)</w:t>
            </w:r>
          </w:p>
        </w:tc>
        <w:tc>
          <w:tcPr>
            <w:tcW w:w="2032" w:type="dxa"/>
            <w:tcBorders>
              <w:top w:val="nil"/>
              <w:left w:val="nil"/>
              <w:bottom w:val="nil"/>
              <w:right w:val="nil"/>
            </w:tcBorders>
            <w:vAlign w:val="center"/>
          </w:tcPr>
          <w:p w14:paraId="7E6F44F5">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4.67，100%</w:t>
            </w:r>
          </w:p>
        </w:tc>
        <w:tc>
          <w:tcPr>
            <w:tcW w:w="1081" w:type="dxa"/>
            <w:tcBorders>
              <w:top w:val="nil"/>
              <w:left w:val="nil"/>
              <w:bottom w:val="nil"/>
              <w:right w:val="nil"/>
            </w:tcBorders>
            <w:vAlign w:val="center"/>
          </w:tcPr>
          <w:p w14:paraId="0DB57999">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lang w:val="en-US" w:eastAsia="zh-CN"/>
              </w:rPr>
              <w:t>＜0.001</w:t>
            </w:r>
          </w:p>
        </w:tc>
      </w:tr>
      <w:tr w14:paraId="543DC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43C9255D">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V60（%）</w:t>
            </w:r>
          </w:p>
        </w:tc>
        <w:tc>
          <w:tcPr>
            <w:tcW w:w="2126" w:type="dxa"/>
            <w:tcBorders>
              <w:top w:val="nil"/>
              <w:left w:val="nil"/>
              <w:bottom w:val="nil"/>
              <w:right w:val="nil"/>
            </w:tcBorders>
            <w:vAlign w:val="center"/>
          </w:tcPr>
          <w:p w14:paraId="16AB4C76">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0(0,0.64)</w:t>
            </w:r>
          </w:p>
        </w:tc>
        <w:tc>
          <w:tcPr>
            <w:tcW w:w="2127" w:type="dxa"/>
            <w:tcBorders>
              <w:top w:val="nil"/>
              <w:left w:val="nil"/>
              <w:bottom w:val="nil"/>
              <w:right w:val="nil"/>
            </w:tcBorders>
            <w:vAlign w:val="center"/>
          </w:tcPr>
          <w:p w14:paraId="44A0FF04">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0(0,0)</w:t>
            </w:r>
          </w:p>
        </w:tc>
        <w:tc>
          <w:tcPr>
            <w:tcW w:w="2032" w:type="dxa"/>
            <w:tcBorders>
              <w:top w:val="nil"/>
              <w:left w:val="nil"/>
              <w:bottom w:val="nil"/>
              <w:right w:val="nil"/>
            </w:tcBorders>
            <w:vAlign w:val="center"/>
          </w:tcPr>
          <w:p w14:paraId="6F642679">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0，0</w:t>
            </w:r>
          </w:p>
        </w:tc>
        <w:tc>
          <w:tcPr>
            <w:tcW w:w="1081" w:type="dxa"/>
            <w:tcBorders>
              <w:top w:val="nil"/>
              <w:left w:val="nil"/>
              <w:bottom w:val="nil"/>
              <w:right w:val="nil"/>
            </w:tcBorders>
            <w:vAlign w:val="center"/>
          </w:tcPr>
          <w:p w14:paraId="7024F0FB">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w:t>
            </w:r>
          </w:p>
        </w:tc>
      </w:tr>
      <w:tr w14:paraId="3A852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60C6AEAD">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 w:val="22"/>
                <w:highlight w:val="none"/>
              </w:rPr>
              <w:t xml:space="preserve">Parotid gland </w:t>
            </w:r>
            <w:r>
              <w:rPr>
                <w:rFonts w:hint="eastAsia" w:ascii="Times New Roman" w:hAnsi="Times New Roman" w:eastAsia="宋体" w:cs="Times New Roman"/>
                <w:szCs w:val="21"/>
                <w:highlight w:val="none"/>
              </w:rPr>
              <w:t>(cm</w:t>
            </w:r>
            <w:r>
              <w:rPr>
                <w:rFonts w:hint="eastAsia" w:ascii="Times New Roman" w:hAnsi="Times New Roman" w:eastAsia="宋体" w:cs="Times New Roman"/>
                <w:szCs w:val="21"/>
                <w:highlight w:val="none"/>
                <w:vertAlign w:val="superscript"/>
              </w:rPr>
              <w:t>3</w:t>
            </w:r>
            <w:r>
              <w:rPr>
                <w:rFonts w:hint="eastAsia" w:ascii="Times New Roman" w:hAnsi="Times New Roman" w:eastAsia="宋体" w:cs="Times New Roman"/>
                <w:szCs w:val="21"/>
                <w:highlight w:val="none"/>
              </w:rPr>
              <w:t>)</w:t>
            </w:r>
          </w:p>
        </w:tc>
        <w:tc>
          <w:tcPr>
            <w:tcW w:w="7366" w:type="dxa"/>
            <w:gridSpan w:val="4"/>
            <w:tcBorders>
              <w:top w:val="nil"/>
              <w:left w:val="nil"/>
              <w:bottom w:val="nil"/>
              <w:right w:val="nil"/>
            </w:tcBorders>
            <w:vAlign w:val="center"/>
          </w:tcPr>
          <w:p w14:paraId="41281A49">
            <w:pPr>
              <w:keepNext w:val="0"/>
              <w:keepLines w:val="0"/>
              <w:suppressLineNumbers w:val="0"/>
              <w:adjustRightInd w:val="0"/>
              <w:snapToGrid w:val="0"/>
              <w:spacing w:before="0" w:beforeAutospacing="0" w:after="0" w:afterAutospacing="0" w:line="360" w:lineRule="auto"/>
              <w:ind w:left="0" w:right="0"/>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57.92±4.37</w:t>
            </w:r>
          </w:p>
        </w:tc>
      </w:tr>
      <w:tr w14:paraId="3EEED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21BD45E0">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Dmax（Gy）</w:t>
            </w:r>
          </w:p>
        </w:tc>
        <w:tc>
          <w:tcPr>
            <w:tcW w:w="2126" w:type="dxa"/>
            <w:tcBorders>
              <w:top w:val="nil"/>
              <w:left w:val="nil"/>
              <w:bottom w:val="nil"/>
              <w:right w:val="nil"/>
            </w:tcBorders>
            <w:vAlign w:val="center"/>
          </w:tcPr>
          <w:p w14:paraId="752E6B21">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71.37±4.15</w:t>
            </w:r>
          </w:p>
        </w:tc>
        <w:tc>
          <w:tcPr>
            <w:tcW w:w="2127" w:type="dxa"/>
            <w:tcBorders>
              <w:top w:val="nil"/>
              <w:left w:val="nil"/>
              <w:bottom w:val="nil"/>
              <w:right w:val="nil"/>
            </w:tcBorders>
            <w:vAlign w:val="center"/>
          </w:tcPr>
          <w:p w14:paraId="10D0B924">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68.63±5.15</w:t>
            </w:r>
          </w:p>
        </w:tc>
        <w:tc>
          <w:tcPr>
            <w:tcW w:w="2032" w:type="dxa"/>
            <w:tcBorders>
              <w:top w:val="nil"/>
              <w:left w:val="nil"/>
              <w:bottom w:val="nil"/>
              <w:right w:val="nil"/>
            </w:tcBorders>
            <w:vAlign w:val="center"/>
          </w:tcPr>
          <w:p w14:paraId="325B6023">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2.74，3.84%</w:t>
            </w:r>
          </w:p>
        </w:tc>
        <w:tc>
          <w:tcPr>
            <w:tcW w:w="1081" w:type="dxa"/>
            <w:tcBorders>
              <w:top w:val="nil"/>
              <w:left w:val="nil"/>
              <w:bottom w:val="nil"/>
              <w:right w:val="nil"/>
            </w:tcBorders>
            <w:vAlign w:val="center"/>
          </w:tcPr>
          <w:p w14:paraId="7683F22F">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lang w:val="en-US" w:eastAsia="zh-CN"/>
              </w:rPr>
              <w:t>＜0.001</w:t>
            </w:r>
          </w:p>
        </w:tc>
      </w:tr>
      <w:tr w14:paraId="2DA93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6C8461BB">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Dmin （Gy）</w:t>
            </w:r>
          </w:p>
        </w:tc>
        <w:tc>
          <w:tcPr>
            <w:tcW w:w="2126" w:type="dxa"/>
            <w:tcBorders>
              <w:top w:val="nil"/>
              <w:left w:val="nil"/>
              <w:bottom w:val="nil"/>
              <w:right w:val="nil"/>
            </w:tcBorders>
            <w:vAlign w:val="center"/>
          </w:tcPr>
          <w:p w14:paraId="2DA64503">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11.45±2.80</w:t>
            </w:r>
          </w:p>
        </w:tc>
        <w:tc>
          <w:tcPr>
            <w:tcW w:w="2127" w:type="dxa"/>
            <w:tcBorders>
              <w:top w:val="nil"/>
              <w:left w:val="nil"/>
              <w:bottom w:val="nil"/>
              <w:right w:val="nil"/>
            </w:tcBorders>
            <w:vAlign w:val="center"/>
          </w:tcPr>
          <w:p w14:paraId="5EB24427">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10.97±3.51</w:t>
            </w:r>
          </w:p>
        </w:tc>
        <w:tc>
          <w:tcPr>
            <w:tcW w:w="2032" w:type="dxa"/>
            <w:tcBorders>
              <w:top w:val="nil"/>
              <w:left w:val="nil"/>
              <w:bottom w:val="nil"/>
              <w:right w:val="nil"/>
            </w:tcBorders>
            <w:vAlign w:val="center"/>
          </w:tcPr>
          <w:p w14:paraId="77ED719E">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0.45，4.19%</w:t>
            </w:r>
          </w:p>
        </w:tc>
        <w:tc>
          <w:tcPr>
            <w:tcW w:w="1081" w:type="dxa"/>
            <w:tcBorders>
              <w:top w:val="nil"/>
              <w:left w:val="nil"/>
              <w:bottom w:val="nil"/>
              <w:right w:val="nil"/>
            </w:tcBorders>
            <w:vAlign w:val="center"/>
          </w:tcPr>
          <w:p w14:paraId="6B2CB85A">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0.459</w:t>
            </w:r>
          </w:p>
        </w:tc>
      </w:tr>
      <w:tr w14:paraId="4F1C2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505F3903">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Dmean（Gy）</w:t>
            </w:r>
          </w:p>
        </w:tc>
        <w:tc>
          <w:tcPr>
            <w:tcW w:w="2126" w:type="dxa"/>
            <w:tcBorders>
              <w:top w:val="nil"/>
              <w:left w:val="nil"/>
              <w:bottom w:val="nil"/>
              <w:right w:val="nil"/>
            </w:tcBorders>
            <w:vAlign w:val="center"/>
          </w:tcPr>
          <w:p w14:paraId="701B1449">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36.90±3.89</w:t>
            </w:r>
          </w:p>
        </w:tc>
        <w:tc>
          <w:tcPr>
            <w:tcW w:w="2127" w:type="dxa"/>
            <w:tcBorders>
              <w:top w:val="nil"/>
              <w:left w:val="nil"/>
              <w:bottom w:val="nil"/>
              <w:right w:val="nil"/>
            </w:tcBorders>
            <w:vAlign w:val="center"/>
          </w:tcPr>
          <w:p w14:paraId="59E61972">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29.75±4.06</w:t>
            </w:r>
          </w:p>
        </w:tc>
        <w:tc>
          <w:tcPr>
            <w:tcW w:w="2032" w:type="dxa"/>
            <w:tcBorders>
              <w:top w:val="nil"/>
              <w:left w:val="nil"/>
              <w:bottom w:val="nil"/>
              <w:right w:val="nil"/>
            </w:tcBorders>
            <w:vAlign w:val="center"/>
          </w:tcPr>
          <w:p w14:paraId="6B6B1E07">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7.15,19.38%</w:t>
            </w:r>
          </w:p>
        </w:tc>
        <w:tc>
          <w:tcPr>
            <w:tcW w:w="1081" w:type="dxa"/>
            <w:tcBorders>
              <w:top w:val="nil"/>
              <w:left w:val="nil"/>
              <w:bottom w:val="nil"/>
              <w:right w:val="nil"/>
            </w:tcBorders>
            <w:vAlign w:val="center"/>
          </w:tcPr>
          <w:p w14:paraId="076BD6CD">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lang w:val="en-US" w:eastAsia="zh-CN"/>
              </w:rPr>
              <w:t>＜0.001</w:t>
            </w:r>
          </w:p>
        </w:tc>
      </w:tr>
      <w:tr w14:paraId="54869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06BB9E5E">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V30（%）</w:t>
            </w:r>
          </w:p>
        </w:tc>
        <w:tc>
          <w:tcPr>
            <w:tcW w:w="2126" w:type="dxa"/>
            <w:tcBorders>
              <w:top w:val="nil"/>
              <w:left w:val="nil"/>
              <w:bottom w:val="nil"/>
              <w:right w:val="nil"/>
            </w:tcBorders>
            <w:vAlign w:val="center"/>
          </w:tcPr>
          <w:p w14:paraId="66B7297A">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54.25±10.32</w:t>
            </w:r>
          </w:p>
        </w:tc>
        <w:tc>
          <w:tcPr>
            <w:tcW w:w="2127" w:type="dxa"/>
            <w:tcBorders>
              <w:top w:val="nil"/>
              <w:left w:val="nil"/>
              <w:bottom w:val="nil"/>
              <w:right w:val="nil"/>
            </w:tcBorders>
            <w:vAlign w:val="center"/>
          </w:tcPr>
          <w:p w14:paraId="1BBF2967">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38.65±12.09</w:t>
            </w:r>
          </w:p>
        </w:tc>
        <w:tc>
          <w:tcPr>
            <w:tcW w:w="2032" w:type="dxa"/>
            <w:tcBorders>
              <w:top w:val="nil"/>
              <w:left w:val="nil"/>
              <w:bottom w:val="nil"/>
              <w:right w:val="nil"/>
            </w:tcBorders>
            <w:vAlign w:val="center"/>
          </w:tcPr>
          <w:p w14:paraId="0FA42678">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8.34,28.31%</w:t>
            </w:r>
          </w:p>
        </w:tc>
        <w:tc>
          <w:tcPr>
            <w:tcW w:w="1081" w:type="dxa"/>
            <w:tcBorders>
              <w:top w:val="nil"/>
              <w:left w:val="nil"/>
              <w:bottom w:val="nil"/>
              <w:right w:val="nil"/>
            </w:tcBorders>
            <w:vAlign w:val="center"/>
          </w:tcPr>
          <w:p w14:paraId="2764791A">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lang w:val="en-US" w:eastAsia="zh-CN"/>
              </w:rPr>
              <w:t>＜0.001</w:t>
            </w:r>
          </w:p>
        </w:tc>
      </w:tr>
      <w:tr w14:paraId="78883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49EB1DCD">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V40（%）</w:t>
            </w:r>
          </w:p>
        </w:tc>
        <w:tc>
          <w:tcPr>
            <w:tcW w:w="2126" w:type="dxa"/>
            <w:tcBorders>
              <w:top w:val="nil"/>
              <w:left w:val="nil"/>
              <w:bottom w:val="nil"/>
              <w:right w:val="nil"/>
            </w:tcBorders>
            <w:vAlign w:val="center"/>
          </w:tcPr>
          <w:p w14:paraId="5BE32234">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29.46±9.87</w:t>
            </w:r>
          </w:p>
        </w:tc>
        <w:tc>
          <w:tcPr>
            <w:tcW w:w="2127" w:type="dxa"/>
            <w:tcBorders>
              <w:top w:val="nil"/>
              <w:left w:val="nil"/>
              <w:bottom w:val="nil"/>
              <w:right w:val="nil"/>
            </w:tcBorders>
            <w:vAlign w:val="center"/>
          </w:tcPr>
          <w:p w14:paraId="33A411D6">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24.12±10.78</w:t>
            </w:r>
          </w:p>
        </w:tc>
        <w:tc>
          <w:tcPr>
            <w:tcW w:w="2032" w:type="dxa"/>
            <w:tcBorders>
              <w:top w:val="nil"/>
              <w:left w:val="nil"/>
              <w:bottom w:val="nil"/>
              <w:right w:val="nil"/>
            </w:tcBorders>
            <w:vAlign w:val="center"/>
          </w:tcPr>
          <w:p w14:paraId="384D1CA1">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5.34,18.13%</w:t>
            </w:r>
          </w:p>
        </w:tc>
        <w:tc>
          <w:tcPr>
            <w:tcW w:w="1081" w:type="dxa"/>
            <w:tcBorders>
              <w:top w:val="nil"/>
              <w:left w:val="nil"/>
              <w:bottom w:val="nil"/>
              <w:right w:val="nil"/>
            </w:tcBorders>
            <w:vAlign w:val="center"/>
          </w:tcPr>
          <w:p w14:paraId="015016D2">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lang w:val="en-US" w:eastAsia="zh-CN"/>
              </w:rPr>
              <w:t>＜0.001</w:t>
            </w:r>
          </w:p>
        </w:tc>
      </w:tr>
      <w:tr w14:paraId="1A6ED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1BCB0977">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V50（%）</w:t>
            </w:r>
          </w:p>
        </w:tc>
        <w:tc>
          <w:tcPr>
            <w:tcW w:w="2126" w:type="dxa"/>
            <w:tcBorders>
              <w:top w:val="nil"/>
              <w:left w:val="nil"/>
              <w:bottom w:val="nil"/>
              <w:right w:val="nil"/>
            </w:tcBorders>
            <w:vAlign w:val="center"/>
          </w:tcPr>
          <w:p w14:paraId="5736CCCE">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27.87±11.01</w:t>
            </w:r>
          </w:p>
        </w:tc>
        <w:tc>
          <w:tcPr>
            <w:tcW w:w="2127" w:type="dxa"/>
            <w:tcBorders>
              <w:top w:val="nil"/>
              <w:left w:val="nil"/>
              <w:bottom w:val="nil"/>
              <w:right w:val="nil"/>
            </w:tcBorders>
            <w:vAlign w:val="center"/>
          </w:tcPr>
          <w:p w14:paraId="6C5BEBFA">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13.88±8.47</w:t>
            </w:r>
          </w:p>
        </w:tc>
        <w:tc>
          <w:tcPr>
            <w:tcW w:w="2032" w:type="dxa"/>
            <w:tcBorders>
              <w:top w:val="nil"/>
              <w:left w:val="nil"/>
              <w:bottom w:val="nil"/>
              <w:right w:val="nil"/>
            </w:tcBorders>
            <w:vAlign w:val="center"/>
          </w:tcPr>
          <w:p w14:paraId="1D78BA4D">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13.99,50.19%</w:t>
            </w:r>
          </w:p>
        </w:tc>
        <w:tc>
          <w:tcPr>
            <w:tcW w:w="1081" w:type="dxa"/>
            <w:tcBorders>
              <w:top w:val="nil"/>
              <w:left w:val="nil"/>
              <w:bottom w:val="nil"/>
              <w:right w:val="nil"/>
            </w:tcBorders>
            <w:vAlign w:val="center"/>
          </w:tcPr>
          <w:p w14:paraId="3B8FE5C7">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lang w:val="en-US" w:eastAsia="zh-CN"/>
              </w:rPr>
              <w:t>＜0.001</w:t>
            </w:r>
          </w:p>
        </w:tc>
      </w:tr>
      <w:tr w14:paraId="227FF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29AA9896">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V60（%）</w:t>
            </w:r>
          </w:p>
        </w:tc>
        <w:tc>
          <w:tcPr>
            <w:tcW w:w="2126" w:type="dxa"/>
            <w:tcBorders>
              <w:top w:val="nil"/>
              <w:left w:val="nil"/>
              <w:bottom w:val="nil"/>
              <w:right w:val="nil"/>
            </w:tcBorders>
            <w:vAlign w:val="center"/>
          </w:tcPr>
          <w:p w14:paraId="10AC7D46">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15.97±10.87</w:t>
            </w:r>
          </w:p>
        </w:tc>
        <w:tc>
          <w:tcPr>
            <w:tcW w:w="2127" w:type="dxa"/>
            <w:tcBorders>
              <w:top w:val="nil"/>
              <w:left w:val="nil"/>
              <w:bottom w:val="nil"/>
              <w:right w:val="nil"/>
            </w:tcBorders>
            <w:vAlign w:val="center"/>
          </w:tcPr>
          <w:p w14:paraId="444EA48C">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6.03±6.12</w:t>
            </w:r>
          </w:p>
        </w:tc>
        <w:tc>
          <w:tcPr>
            <w:tcW w:w="2032" w:type="dxa"/>
            <w:tcBorders>
              <w:top w:val="nil"/>
              <w:left w:val="nil"/>
              <w:bottom w:val="nil"/>
              <w:right w:val="nil"/>
            </w:tcBorders>
            <w:vAlign w:val="center"/>
          </w:tcPr>
          <w:p w14:paraId="180B5897">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9.94,62.24%</w:t>
            </w:r>
          </w:p>
        </w:tc>
        <w:tc>
          <w:tcPr>
            <w:tcW w:w="1081" w:type="dxa"/>
            <w:tcBorders>
              <w:top w:val="nil"/>
              <w:left w:val="nil"/>
              <w:bottom w:val="nil"/>
              <w:right w:val="nil"/>
            </w:tcBorders>
            <w:vAlign w:val="center"/>
          </w:tcPr>
          <w:p w14:paraId="06526882">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lang w:val="en-US" w:eastAsia="zh-CN"/>
              </w:rPr>
              <w:t>＜0.001</w:t>
            </w:r>
          </w:p>
        </w:tc>
      </w:tr>
      <w:tr w14:paraId="4F972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22A3C381">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 w:val="22"/>
                <w:highlight w:val="none"/>
              </w:rPr>
              <w:t xml:space="preserve">Thyroid gland </w:t>
            </w:r>
            <w:r>
              <w:rPr>
                <w:rFonts w:hint="eastAsia" w:ascii="Times New Roman" w:hAnsi="Times New Roman" w:eastAsia="宋体" w:cs="Times New Roman"/>
                <w:szCs w:val="21"/>
                <w:highlight w:val="none"/>
              </w:rPr>
              <w:t>(cm</w:t>
            </w:r>
            <w:r>
              <w:rPr>
                <w:rFonts w:hint="eastAsia" w:ascii="Times New Roman" w:hAnsi="Times New Roman" w:eastAsia="宋体" w:cs="Times New Roman"/>
                <w:szCs w:val="21"/>
                <w:highlight w:val="none"/>
                <w:vertAlign w:val="superscript"/>
              </w:rPr>
              <w:t>3</w:t>
            </w:r>
            <w:r>
              <w:rPr>
                <w:rFonts w:hint="eastAsia" w:ascii="Times New Roman" w:hAnsi="Times New Roman" w:eastAsia="宋体" w:cs="Times New Roman"/>
                <w:szCs w:val="21"/>
                <w:highlight w:val="none"/>
              </w:rPr>
              <w:t>)</w:t>
            </w:r>
          </w:p>
        </w:tc>
        <w:tc>
          <w:tcPr>
            <w:tcW w:w="7366" w:type="dxa"/>
            <w:gridSpan w:val="4"/>
            <w:tcBorders>
              <w:top w:val="nil"/>
              <w:left w:val="nil"/>
              <w:bottom w:val="nil"/>
              <w:right w:val="nil"/>
            </w:tcBorders>
            <w:vAlign w:val="center"/>
          </w:tcPr>
          <w:p w14:paraId="7F8FED7F">
            <w:pPr>
              <w:keepNext w:val="0"/>
              <w:keepLines w:val="0"/>
              <w:suppressLineNumbers w:val="0"/>
              <w:adjustRightInd w:val="0"/>
              <w:snapToGrid w:val="0"/>
              <w:spacing w:before="0" w:beforeAutospacing="0" w:after="0" w:afterAutospacing="0" w:line="360" w:lineRule="auto"/>
              <w:ind w:left="0" w:right="0"/>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13.75±0.92</w:t>
            </w:r>
          </w:p>
        </w:tc>
      </w:tr>
      <w:tr w14:paraId="0ABAE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74935097">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Dmax（Gy）</w:t>
            </w:r>
          </w:p>
        </w:tc>
        <w:tc>
          <w:tcPr>
            <w:tcW w:w="2126" w:type="dxa"/>
            <w:tcBorders>
              <w:top w:val="nil"/>
              <w:left w:val="nil"/>
              <w:bottom w:val="nil"/>
              <w:right w:val="nil"/>
            </w:tcBorders>
            <w:vAlign w:val="center"/>
          </w:tcPr>
          <w:p w14:paraId="5287A67E">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63.34±4.24</w:t>
            </w:r>
          </w:p>
        </w:tc>
        <w:tc>
          <w:tcPr>
            <w:tcW w:w="2127" w:type="dxa"/>
            <w:tcBorders>
              <w:top w:val="nil"/>
              <w:left w:val="nil"/>
              <w:bottom w:val="nil"/>
              <w:right w:val="nil"/>
            </w:tcBorders>
            <w:vAlign w:val="center"/>
          </w:tcPr>
          <w:p w14:paraId="390B1082">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56.02±5.99</w:t>
            </w:r>
          </w:p>
        </w:tc>
        <w:tc>
          <w:tcPr>
            <w:tcW w:w="2032" w:type="dxa"/>
            <w:tcBorders>
              <w:top w:val="nil"/>
              <w:left w:val="nil"/>
              <w:bottom w:val="nil"/>
              <w:right w:val="nil"/>
            </w:tcBorders>
            <w:vAlign w:val="center"/>
          </w:tcPr>
          <w:p w14:paraId="788511CE">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7.32，11.56%</w:t>
            </w:r>
          </w:p>
        </w:tc>
        <w:tc>
          <w:tcPr>
            <w:tcW w:w="1081" w:type="dxa"/>
            <w:tcBorders>
              <w:top w:val="nil"/>
              <w:left w:val="nil"/>
              <w:bottom w:val="nil"/>
              <w:right w:val="nil"/>
            </w:tcBorders>
            <w:vAlign w:val="center"/>
          </w:tcPr>
          <w:p w14:paraId="24091016">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lang w:val="en-US" w:eastAsia="zh-CN"/>
              </w:rPr>
              <w:t>＜0.001</w:t>
            </w:r>
          </w:p>
        </w:tc>
      </w:tr>
      <w:tr w14:paraId="08C87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3F2598B1">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Dmin （Gy）</w:t>
            </w:r>
          </w:p>
        </w:tc>
        <w:tc>
          <w:tcPr>
            <w:tcW w:w="2126" w:type="dxa"/>
            <w:tcBorders>
              <w:top w:val="nil"/>
              <w:left w:val="nil"/>
              <w:bottom w:val="nil"/>
              <w:right w:val="nil"/>
            </w:tcBorders>
            <w:vAlign w:val="center"/>
          </w:tcPr>
          <w:p w14:paraId="205F9CA3">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27.22±7.31</w:t>
            </w:r>
          </w:p>
        </w:tc>
        <w:tc>
          <w:tcPr>
            <w:tcW w:w="2127" w:type="dxa"/>
            <w:tcBorders>
              <w:top w:val="nil"/>
              <w:left w:val="nil"/>
              <w:bottom w:val="nil"/>
              <w:right w:val="nil"/>
            </w:tcBorders>
            <w:vAlign w:val="center"/>
          </w:tcPr>
          <w:p w14:paraId="0F08E6FE">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23.17±8.64</w:t>
            </w:r>
          </w:p>
        </w:tc>
        <w:tc>
          <w:tcPr>
            <w:tcW w:w="2032" w:type="dxa"/>
            <w:tcBorders>
              <w:top w:val="nil"/>
              <w:left w:val="nil"/>
              <w:bottom w:val="nil"/>
              <w:right w:val="nil"/>
            </w:tcBorders>
            <w:vAlign w:val="center"/>
          </w:tcPr>
          <w:p w14:paraId="63926694">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4.05，14.88%</w:t>
            </w:r>
          </w:p>
        </w:tc>
        <w:tc>
          <w:tcPr>
            <w:tcW w:w="1081" w:type="dxa"/>
            <w:tcBorders>
              <w:top w:val="nil"/>
              <w:left w:val="nil"/>
              <w:bottom w:val="nil"/>
              <w:right w:val="nil"/>
            </w:tcBorders>
            <w:vAlign w:val="center"/>
          </w:tcPr>
          <w:p w14:paraId="02762079">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lang w:val="en-US" w:eastAsia="zh-CN"/>
              </w:rPr>
              <w:t>＜0.001</w:t>
            </w:r>
          </w:p>
        </w:tc>
      </w:tr>
      <w:tr w14:paraId="0527B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0E05ECBA">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Dmean（Gy）</w:t>
            </w:r>
          </w:p>
        </w:tc>
        <w:tc>
          <w:tcPr>
            <w:tcW w:w="2126" w:type="dxa"/>
            <w:tcBorders>
              <w:top w:val="nil"/>
              <w:left w:val="nil"/>
              <w:bottom w:val="nil"/>
              <w:right w:val="nil"/>
            </w:tcBorders>
            <w:vAlign w:val="center"/>
          </w:tcPr>
          <w:p w14:paraId="14574406">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47.59±6.83</w:t>
            </w:r>
          </w:p>
        </w:tc>
        <w:tc>
          <w:tcPr>
            <w:tcW w:w="2127" w:type="dxa"/>
            <w:tcBorders>
              <w:top w:val="nil"/>
              <w:left w:val="nil"/>
              <w:bottom w:val="nil"/>
              <w:right w:val="nil"/>
            </w:tcBorders>
            <w:vAlign w:val="center"/>
          </w:tcPr>
          <w:p w14:paraId="72D96811">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36.88±7.49</w:t>
            </w:r>
          </w:p>
        </w:tc>
        <w:tc>
          <w:tcPr>
            <w:tcW w:w="2032" w:type="dxa"/>
            <w:tcBorders>
              <w:top w:val="nil"/>
              <w:left w:val="nil"/>
              <w:bottom w:val="nil"/>
              <w:right w:val="nil"/>
            </w:tcBorders>
            <w:vAlign w:val="center"/>
          </w:tcPr>
          <w:p w14:paraId="197A3A1E">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10.71，22.50%</w:t>
            </w:r>
          </w:p>
        </w:tc>
        <w:tc>
          <w:tcPr>
            <w:tcW w:w="1081" w:type="dxa"/>
            <w:tcBorders>
              <w:top w:val="nil"/>
              <w:left w:val="nil"/>
              <w:bottom w:val="nil"/>
              <w:right w:val="nil"/>
            </w:tcBorders>
            <w:vAlign w:val="center"/>
          </w:tcPr>
          <w:p w14:paraId="01145C5B">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lang w:val="en-US" w:eastAsia="zh-CN"/>
              </w:rPr>
              <w:t>＜0.001</w:t>
            </w:r>
          </w:p>
        </w:tc>
      </w:tr>
      <w:tr w14:paraId="675A7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60DD7943">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V30（%）</w:t>
            </w:r>
          </w:p>
        </w:tc>
        <w:tc>
          <w:tcPr>
            <w:tcW w:w="2126" w:type="dxa"/>
            <w:tcBorders>
              <w:top w:val="nil"/>
              <w:left w:val="nil"/>
              <w:bottom w:val="nil"/>
              <w:right w:val="nil"/>
            </w:tcBorders>
            <w:vAlign w:val="center"/>
          </w:tcPr>
          <w:p w14:paraId="2B81DDDC">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99.31(91.59,100)</w:t>
            </w:r>
          </w:p>
        </w:tc>
        <w:tc>
          <w:tcPr>
            <w:tcW w:w="2127" w:type="dxa"/>
            <w:tcBorders>
              <w:top w:val="nil"/>
              <w:left w:val="nil"/>
              <w:bottom w:val="nil"/>
              <w:right w:val="nil"/>
            </w:tcBorders>
            <w:vAlign w:val="center"/>
          </w:tcPr>
          <w:p w14:paraId="30290555">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92.55 (57.86,99.87)</w:t>
            </w:r>
          </w:p>
        </w:tc>
        <w:tc>
          <w:tcPr>
            <w:tcW w:w="2032" w:type="dxa"/>
            <w:tcBorders>
              <w:top w:val="nil"/>
              <w:left w:val="nil"/>
              <w:bottom w:val="nil"/>
              <w:right w:val="nil"/>
            </w:tcBorders>
            <w:vAlign w:val="center"/>
          </w:tcPr>
          <w:p w14:paraId="30BE6180">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10.89，10.97%</w:t>
            </w:r>
          </w:p>
        </w:tc>
        <w:tc>
          <w:tcPr>
            <w:tcW w:w="1081" w:type="dxa"/>
            <w:tcBorders>
              <w:top w:val="nil"/>
              <w:left w:val="nil"/>
              <w:bottom w:val="nil"/>
              <w:right w:val="nil"/>
            </w:tcBorders>
            <w:vAlign w:val="center"/>
          </w:tcPr>
          <w:p w14:paraId="12AF3A41">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lang w:val="en-US" w:eastAsia="zh-CN"/>
              </w:rPr>
              <w:t>＜0.001</w:t>
            </w:r>
          </w:p>
        </w:tc>
      </w:tr>
      <w:tr w14:paraId="1C6D2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15D7015E">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V40（%）</w:t>
            </w:r>
          </w:p>
        </w:tc>
        <w:tc>
          <w:tcPr>
            <w:tcW w:w="2126" w:type="dxa"/>
            <w:tcBorders>
              <w:top w:val="nil"/>
              <w:left w:val="nil"/>
              <w:bottom w:val="nil"/>
              <w:right w:val="nil"/>
            </w:tcBorders>
            <w:vAlign w:val="center"/>
          </w:tcPr>
          <w:p w14:paraId="745C3049">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75.57±22.43</w:t>
            </w:r>
          </w:p>
        </w:tc>
        <w:tc>
          <w:tcPr>
            <w:tcW w:w="2127" w:type="dxa"/>
            <w:tcBorders>
              <w:top w:val="nil"/>
              <w:left w:val="nil"/>
              <w:bottom w:val="nil"/>
              <w:right w:val="nil"/>
            </w:tcBorders>
            <w:vAlign w:val="center"/>
          </w:tcPr>
          <w:p w14:paraId="0FB5691E">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39.91±25.35</w:t>
            </w:r>
          </w:p>
        </w:tc>
        <w:tc>
          <w:tcPr>
            <w:tcW w:w="2032" w:type="dxa"/>
            <w:tcBorders>
              <w:top w:val="nil"/>
              <w:left w:val="nil"/>
              <w:bottom w:val="nil"/>
              <w:right w:val="nil"/>
            </w:tcBorders>
            <w:vAlign w:val="center"/>
          </w:tcPr>
          <w:p w14:paraId="3D8E5C78">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35.66，47.19%</w:t>
            </w:r>
          </w:p>
        </w:tc>
        <w:tc>
          <w:tcPr>
            <w:tcW w:w="1081" w:type="dxa"/>
            <w:tcBorders>
              <w:top w:val="nil"/>
              <w:left w:val="nil"/>
              <w:bottom w:val="nil"/>
              <w:right w:val="nil"/>
            </w:tcBorders>
            <w:vAlign w:val="center"/>
          </w:tcPr>
          <w:p w14:paraId="197E46C1">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lang w:val="en-US" w:eastAsia="zh-CN"/>
              </w:rPr>
              <w:t>＜0.001</w:t>
            </w:r>
          </w:p>
        </w:tc>
      </w:tr>
      <w:tr w14:paraId="3755C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229D3E44">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V50（%）</w:t>
            </w:r>
          </w:p>
        </w:tc>
        <w:tc>
          <w:tcPr>
            <w:tcW w:w="2126" w:type="dxa"/>
            <w:tcBorders>
              <w:top w:val="nil"/>
              <w:left w:val="nil"/>
              <w:bottom w:val="nil"/>
              <w:right w:val="nil"/>
            </w:tcBorders>
            <w:vAlign w:val="center"/>
          </w:tcPr>
          <w:p w14:paraId="056A792B">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50.57±23.77</w:t>
            </w:r>
          </w:p>
        </w:tc>
        <w:tc>
          <w:tcPr>
            <w:tcW w:w="2127" w:type="dxa"/>
            <w:tcBorders>
              <w:top w:val="nil"/>
              <w:left w:val="nil"/>
              <w:bottom w:val="nil"/>
              <w:right w:val="nil"/>
            </w:tcBorders>
            <w:vAlign w:val="center"/>
          </w:tcPr>
          <w:p w14:paraId="60B71E84">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10.28±11.62</w:t>
            </w:r>
          </w:p>
        </w:tc>
        <w:tc>
          <w:tcPr>
            <w:tcW w:w="2032" w:type="dxa"/>
            <w:tcBorders>
              <w:top w:val="nil"/>
              <w:left w:val="nil"/>
              <w:bottom w:val="nil"/>
              <w:right w:val="nil"/>
            </w:tcBorders>
            <w:vAlign w:val="center"/>
          </w:tcPr>
          <w:p w14:paraId="6C1A9B1F">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40.29，79.67%</w:t>
            </w:r>
          </w:p>
        </w:tc>
        <w:tc>
          <w:tcPr>
            <w:tcW w:w="1081" w:type="dxa"/>
            <w:tcBorders>
              <w:top w:val="nil"/>
              <w:left w:val="nil"/>
              <w:bottom w:val="nil"/>
              <w:right w:val="nil"/>
            </w:tcBorders>
            <w:vAlign w:val="center"/>
          </w:tcPr>
          <w:p w14:paraId="53BDE70D">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0.003</w:t>
            </w:r>
          </w:p>
        </w:tc>
      </w:tr>
      <w:tr w14:paraId="28CC5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70024EE0">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V60（%）</w:t>
            </w:r>
          </w:p>
        </w:tc>
        <w:tc>
          <w:tcPr>
            <w:tcW w:w="2126" w:type="dxa"/>
            <w:tcBorders>
              <w:top w:val="nil"/>
              <w:left w:val="nil"/>
              <w:bottom w:val="nil"/>
              <w:right w:val="nil"/>
            </w:tcBorders>
            <w:vAlign w:val="center"/>
          </w:tcPr>
          <w:p w14:paraId="2398E5A2">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3.92(0,14.62)</w:t>
            </w:r>
          </w:p>
        </w:tc>
        <w:tc>
          <w:tcPr>
            <w:tcW w:w="2127" w:type="dxa"/>
            <w:tcBorders>
              <w:top w:val="nil"/>
              <w:left w:val="nil"/>
              <w:bottom w:val="nil"/>
              <w:right w:val="nil"/>
            </w:tcBorders>
            <w:vAlign w:val="center"/>
          </w:tcPr>
          <w:p w14:paraId="3BAE2DE0">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0（0,0.02）</w:t>
            </w:r>
          </w:p>
        </w:tc>
        <w:tc>
          <w:tcPr>
            <w:tcW w:w="2032" w:type="dxa"/>
            <w:tcBorders>
              <w:top w:val="nil"/>
              <w:left w:val="nil"/>
              <w:bottom w:val="nil"/>
              <w:right w:val="nil"/>
            </w:tcBorders>
            <w:vAlign w:val="center"/>
          </w:tcPr>
          <w:p w14:paraId="2422C2CB">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3.92，100%</w:t>
            </w:r>
          </w:p>
        </w:tc>
        <w:tc>
          <w:tcPr>
            <w:tcW w:w="1081" w:type="dxa"/>
            <w:tcBorders>
              <w:top w:val="nil"/>
              <w:left w:val="nil"/>
              <w:bottom w:val="nil"/>
              <w:right w:val="nil"/>
            </w:tcBorders>
            <w:vAlign w:val="center"/>
          </w:tcPr>
          <w:p w14:paraId="6497A61C">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lang w:val="en-US" w:eastAsia="zh-CN"/>
              </w:rPr>
              <w:t>＜0.001</w:t>
            </w:r>
          </w:p>
        </w:tc>
      </w:tr>
      <w:tr w14:paraId="4E6F0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42D114D2">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 w:val="22"/>
                <w:highlight w:val="none"/>
              </w:rPr>
              <w:t xml:space="preserve">Submandibular gland </w:t>
            </w:r>
            <w:r>
              <w:rPr>
                <w:rFonts w:hint="eastAsia" w:ascii="Times New Roman" w:hAnsi="Times New Roman" w:eastAsia="宋体" w:cs="Times New Roman"/>
                <w:szCs w:val="21"/>
                <w:highlight w:val="none"/>
              </w:rPr>
              <w:t>(cm</w:t>
            </w:r>
            <w:r>
              <w:rPr>
                <w:rFonts w:hint="eastAsia" w:ascii="Times New Roman" w:hAnsi="Times New Roman" w:eastAsia="宋体" w:cs="Times New Roman"/>
                <w:szCs w:val="21"/>
                <w:highlight w:val="none"/>
                <w:vertAlign w:val="superscript"/>
              </w:rPr>
              <w:t>3</w:t>
            </w:r>
            <w:r>
              <w:rPr>
                <w:rFonts w:hint="eastAsia" w:ascii="Times New Roman" w:hAnsi="Times New Roman" w:eastAsia="宋体" w:cs="Times New Roman"/>
                <w:szCs w:val="21"/>
                <w:highlight w:val="none"/>
              </w:rPr>
              <w:t>)</w:t>
            </w:r>
          </w:p>
        </w:tc>
        <w:tc>
          <w:tcPr>
            <w:tcW w:w="7366" w:type="dxa"/>
            <w:gridSpan w:val="4"/>
            <w:tcBorders>
              <w:top w:val="nil"/>
              <w:left w:val="nil"/>
              <w:bottom w:val="nil"/>
              <w:right w:val="nil"/>
            </w:tcBorders>
            <w:vAlign w:val="center"/>
          </w:tcPr>
          <w:p w14:paraId="6A18A496">
            <w:pPr>
              <w:keepNext w:val="0"/>
              <w:keepLines w:val="0"/>
              <w:suppressLineNumbers w:val="0"/>
              <w:adjustRightInd w:val="0"/>
              <w:snapToGrid w:val="0"/>
              <w:spacing w:before="0" w:beforeAutospacing="0" w:after="0" w:afterAutospacing="0" w:line="360" w:lineRule="auto"/>
              <w:ind w:left="0" w:right="0"/>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16.11±0.93</w:t>
            </w:r>
          </w:p>
        </w:tc>
      </w:tr>
      <w:tr w14:paraId="149A0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14AD9EAF">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Dmax（Gy）</w:t>
            </w:r>
          </w:p>
        </w:tc>
        <w:tc>
          <w:tcPr>
            <w:tcW w:w="2126" w:type="dxa"/>
            <w:tcBorders>
              <w:top w:val="nil"/>
              <w:left w:val="nil"/>
              <w:bottom w:val="nil"/>
              <w:right w:val="nil"/>
            </w:tcBorders>
            <w:vAlign w:val="center"/>
          </w:tcPr>
          <w:p w14:paraId="63AD6960">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69.17±4.83</w:t>
            </w:r>
          </w:p>
        </w:tc>
        <w:tc>
          <w:tcPr>
            <w:tcW w:w="2127" w:type="dxa"/>
            <w:tcBorders>
              <w:top w:val="nil"/>
              <w:left w:val="nil"/>
              <w:bottom w:val="nil"/>
              <w:right w:val="nil"/>
            </w:tcBorders>
            <w:vAlign w:val="center"/>
          </w:tcPr>
          <w:p w14:paraId="0EB084DC">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65.18±4.84</w:t>
            </w:r>
          </w:p>
        </w:tc>
        <w:tc>
          <w:tcPr>
            <w:tcW w:w="2032" w:type="dxa"/>
            <w:tcBorders>
              <w:top w:val="nil"/>
              <w:left w:val="nil"/>
              <w:bottom w:val="nil"/>
              <w:right w:val="nil"/>
            </w:tcBorders>
            <w:vAlign w:val="center"/>
          </w:tcPr>
          <w:p w14:paraId="24E59E80">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3.99,5.77%</w:t>
            </w:r>
          </w:p>
        </w:tc>
        <w:tc>
          <w:tcPr>
            <w:tcW w:w="1081" w:type="dxa"/>
            <w:tcBorders>
              <w:top w:val="nil"/>
              <w:left w:val="nil"/>
              <w:bottom w:val="nil"/>
              <w:right w:val="nil"/>
            </w:tcBorders>
            <w:vAlign w:val="center"/>
          </w:tcPr>
          <w:p w14:paraId="17FE5F48">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lang w:val="en-US" w:eastAsia="zh-CN"/>
              </w:rPr>
              <w:t>＜0.001</w:t>
            </w:r>
          </w:p>
        </w:tc>
      </w:tr>
      <w:tr w14:paraId="07CEF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74AF4628">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Dmin （Gy）</w:t>
            </w:r>
          </w:p>
        </w:tc>
        <w:tc>
          <w:tcPr>
            <w:tcW w:w="2126" w:type="dxa"/>
            <w:tcBorders>
              <w:top w:val="nil"/>
              <w:left w:val="nil"/>
              <w:bottom w:val="nil"/>
              <w:right w:val="nil"/>
            </w:tcBorders>
            <w:vAlign w:val="center"/>
          </w:tcPr>
          <w:p w14:paraId="0323628C">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37.52(34.42,44.47)</w:t>
            </w:r>
          </w:p>
        </w:tc>
        <w:tc>
          <w:tcPr>
            <w:tcW w:w="2127" w:type="dxa"/>
            <w:tcBorders>
              <w:top w:val="nil"/>
              <w:left w:val="nil"/>
              <w:bottom w:val="nil"/>
              <w:right w:val="nil"/>
            </w:tcBorders>
            <w:vAlign w:val="center"/>
          </w:tcPr>
          <w:p w14:paraId="7F884BA1">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32.94(26.25,35.39)</w:t>
            </w:r>
          </w:p>
        </w:tc>
        <w:tc>
          <w:tcPr>
            <w:tcW w:w="2032" w:type="dxa"/>
            <w:tcBorders>
              <w:top w:val="nil"/>
              <w:left w:val="nil"/>
              <w:bottom w:val="nil"/>
              <w:right w:val="nil"/>
            </w:tcBorders>
            <w:vAlign w:val="center"/>
          </w:tcPr>
          <w:p w14:paraId="2ACA573A">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4.58,12.21%</w:t>
            </w:r>
          </w:p>
        </w:tc>
        <w:tc>
          <w:tcPr>
            <w:tcW w:w="1081" w:type="dxa"/>
            <w:tcBorders>
              <w:top w:val="nil"/>
              <w:left w:val="nil"/>
              <w:bottom w:val="nil"/>
              <w:right w:val="nil"/>
            </w:tcBorders>
            <w:vAlign w:val="center"/>
          </w:tcPr>
          <w:p w14:paraId="2F8120AA">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lang w:val="en-US" w:eastAsia="zh-CN"/>
              </w:rPr>
              <w:t>＜0.001</w:t>
            </w:r>
          </w:p>
        </w:tc>
      </w:tr>
      <w:tr w14:paraId="47B85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29CE6178">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Dmean（Gy）</w:t>
            </w:r>
          </w:p>
        </w:tc>
        <w:tc>
          <w:tcPr>
            <w:tcW w:w="2126" w:type="dxa"/>
            <w:tcBorders>
              <w:top w:val="nil"/>
              <w:left w:val="nil"/>
              <w:bottom w:val="nil"/>
              <w:right w:val="nil"/>
            </w:tcBorders>
            <w:vAlign w:val="center"/>
          </w:tcPr>
          <w:p w14:paraId="6D7E12F4">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56.56±5.49</w:t>
            </w:r>
          </w:p>
        </w:tc>
        <w:tc>
          <w:tcPr>
            <w:tcW w:w="2127" w:type="dxa"/>
            <w:tcBorders>
              <w:top w:val="nil"/>
              <w:left w:val="nil"/>
              <w:bottom w:val="nil"/>
              <w:right w:val="nil"/>
            </w:tcBorders>
            <w:vAlign w:val="center"/>
          </w:tcPr>
          <w:p w14:paraId="18AA1D18">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47.31±6.40</w:t>
            </w:r>
          </w:p>
        </w:tc>
        <w:tc>
          <w:tcPr>
            <w:tcW w:w="2032" w:type="dxa"/>
            <w:tcBorders>
              <w:top w:val="nil"/>
              <w:left w:val="nil"/>
              <w:bottom w:val="nil"/>
              <w:right w:val="nil"/>
            </w:tcBorders>
            <w:vAlign w:val="center"/>
          </w:tcPr>
          <w:p w14:paraId="512ADE56">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9.25,16.35%</w:t>
            </w:r>
          </w:p>
        </w:tc>
        <w:tc>
          <w:tcPr>
            <w:tcW w:w="1081" w:type="dxa"/>
            <w:tcBorders>
              <w:top w:val="nil"/>
              <w:left w:val="nil"/>
              <w:bottom w:val="nil"/>
              <w:right w:val="nil"/>
            </w:tcBorders>
            <w:vAlign w:val="center"/>
          </w:tcPr>
          <w:p w14:paraId="74A0610E">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lang w:val="en-US" w:eastAsia="zh-CN"/>
              </w:rPr>
              <w:t>＜0.001</w:t>
            </w:r>
          </w:p>
        </w:tc>
      </w:tr>
      <w:tr w14:paraId="2EEAC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0526AE65">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V30（%）</w:t>
            </w:r>
          </w:p>
        </w:tc>
        <w:tc>
          <w:tcPr>
            <w:tcW w:w="2126" w:type="dxa"/>
            <w:tcBorders>
              <w:top w:val="nil"/>
              <w:left w:val="nil"/>
              <w:bottom w:val="nil"/>
              <w:right w:val="nil"/>
            </w:tcBorders>
            <w:vAlign w:val="center"/>
          </w:tcPr>
          <w:p w14:paraId="37FCFD68">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100(100,100)</w:t>
            </w:r>
          </w:p>
        </w:tc>
        <w:tc>
          <w:tcPr>
            <w:tcW w:w="2127" w:type="dxa"/>
            <w:tcBorders>
              <w:top w:val="nil"/>
              <w:left w:val="nil"/>
              <w:bottom w:val="nil"/>
              <w:right w:val="nil"/>
            </w:tcBorders>
            <w:vAlign w:val="center"/>
          </w:tcPr>
          <w:p w14:paraId="7F9258C4">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100(95.32,100)</w:t>
            </w:r>
          </w:p>
        </w:tc>
        <w:tc>
          <w:tcPr>
            <w:tcW w:w="2032" w:type="dxa"/>
            <w:tcBorders>
              <w:top w:val="nil"/>
              <w:left w:val="nil"/>
              <w:bottom w:val="nil"/>
              <w:right w:val="nil"/>
            </w:tcBorders>
            <w:vAlign w:val="center"/>
          </w:tcPr>
          <w:p w14:paraId="2C645D2D">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0,0%</w:t>
            </w:r>
          </w:p>
        </w:tc>
        <w:tc>
          <w:tcPr>
            <w:tcW w:w="1081" w:type="dxa"/>
            <w:tcBorders>
              <w:top w:val="nil"/>
              <w:left w:val="nil"/>
              <w:bottom w:val="nil"/>
              <w:right w:val="nil"/>
            </w:tcBorders>
            <w:vAlign w:val="center"/>
          </w:tcPr>
          <w:p w14:paraId="2157587F">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w:t>
            </w:r>
          </w:p>
        </w:tc>
      </w:tr>
      <w:tr w14:paraId="7135A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01185040">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V40（%）</w:t>
            </w:r>
          </w:p>
        </w:tc>
        <w:tc>
          <w:tcPr>
            <w:tcW w:w="2126" w:type="dxa"/>
            <w:tcBorders>
              <w:top w:val="nil"/>
              <w:left w:val="nil"/>
              <w:bottom w:val="nil"/>
              <w:right w:val="nil"/>
            </w:tcBorders>
            <w:vAlign w:val="center"/>
          </w:tcPr>
          <w:p w14:paraId="1CCB4A05">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98.89(93.89,100)</w:t>
            </w:r>
          </w:p>
        </w:tc>
        <w:tc>
          <w:tcPr>
            <w:tcW w:w="2127" w:type="dxa"/>
            <w:tcBorders>
              <w:top w:val="nil"/>
              <w:left w:val="nil"/>
              <w:bottom w:val="nil"/>
              <w:right w:val="nil"/>
            </w:tcBorders>
            <w:vAlign w:val="center"/>
          </w:tcPr>
          <w:p w14:paraId="3DE36015">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82.18(62.03,92.46)</w:t>
            </w:r>
          </w:p>
        </w:tc>
        <w:tc>
          <w:tcPr>
            <w:tcW w:w="2032" w:type="dxa"/>
            <w:tcBorders>
              <w:top w:val="nil"/>
              <w:left w:val="nil"/>
              <w:bottom w:val="nil"/>
              <w:right w:val="nil"/>
            </w:tcBorders>
            <w:vAlign w:val="center"/>
          </w:tcPr>
          <w:p w14:paraId="56E9E8CC">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16.71,16.90%</w:t>
            </w:r>
          </w:p>
        </w:tc>
        <w:tc>
          <w:tcPr>
            <w:tcW w:w="1081" w:type="dxa"/>
            <w:tcBorders>
              <w:top w:val="nil"/>
              <w:left w:val="nil"/>
              <w:bottom w:val="nil"/>
              <w:right w:val="nil"/>
            </w:tcBorders>
            <w:vAlign w:val="center"/>
          </w:tcPr>
          <w:p w14:paraId="6694B020">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lang w:val="en-US" w:eastAsia="zh-CN"/>
              </w:rPr>
              <w:t>＜0.001</w:t>
            </w:r>
          </w:p>
        </w:tc>
      </w:tr>
      <w:tr w14:paraId="254D2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nil"/>
              <w:right w:val="nil"/>
            </w:tcBorders>
            <w:vAlign w:val="center"/>
          </w:tcPr>
          <w:p w14:paraId="32B6253E">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V50（%）</w:t>
            </w:r>
          </w:p>
        </w:tc>
        <w:tc>
          <w:tcPr>
            <w:tcW w:w="2126" w:type="dxa"/>
            <w:tcBorders>
              <w:top w:val="nil"/>
              <w:left w:val="nil"/>
              <w:bottom w:val="nil"/>
              <w:right w:val="nil"/>
            </w:tcBorders>
            <w:vAlign w:val="center"/>
          </w:tcPr>
          <w:p w14:paraId="10BF9D29">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77.15±18.47</w:t>
            </w:r>
          </w:p>
        </w:tc>
        <w:tc>
          <w:tcPr>
            <w:tcW w:w="2127" w:type="dxa"/>
            <w:tcBorders>
              <w:top w:val="nil"/>
              <w:left w:val="nil"/>
              <w:bottom w:val="nil"/>
              <w:right w:val="nil"/>
            </w:tcBorders>
            <w:vAlign w:val="center"/>
          </w:tcPr>
          <w:p w14:paraId="21FCD502">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42.28±20.05</w:t>
            </w:r>
          </w:p>
        </w:tc>
        <w:tc>
          <w:tcPr>
            <w:tcW w:w="2032" w:type="dxa"/>
            <w:tcBorders>
              <w:top w:val="nil"/>
              <w:left w:val="nil"/>
              <w:bottom w:val="nil"/>
              <w:right w:val="nil"/>
            </w:tcBorders>
            <w:vAlign w:val="center"/>
          </w:tcPr>
          <w:p w14:paraId="7B848085">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34.87,45.20%</w:t>
            </w:r>
          </w:p>
        </w:tc>
        <w:tc>
          <w:tcPr>
            <w:tcW w:w="1081" w:type="dxa"/>
            <w:tcBorders>
              <w:top w:val="nil"/>
              <w:left w:val="nil"/>
              <w:bottom w:val="nil"/>
              <w:right w:val="nil"/>
            </w:tcBorders>
            <w:vAlign w:val="center"/>
          </w:tcPr>
          <w:p w14:paraId="25436382">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lang w:val="en-US" w:eastAsia="zh-CN"/>
              </w:rPr>
              <w:t>＜0.001</w:t>
            </w:r>
          </w:p>
        </w:tc>
      </w:tr>
      <w:tr w14:paraId="2D12F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8" w:type="dxa"/>
            <w:tcBorders>
              <w:top w:val="nil"/>
              <w:left w:val="nil"/>
              <w:bottom w:val="single" w:color="auto" w:sz="12" w:space="0"/>
              <w:right w:val="nil"/>
            </w:tcBorders>
            <w:vAlign w:val="center"/>
          </w:tcPr>
          <w:p w14:paraId="1C2AB660">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V60（%）</w:t>
            </w:r>
          </w:p>
        </w:tc>
        <w:tc>
          <w:tcPr>
            <w:tcW w:w="2126" w:type="dxa"/>
            <w:tcBorders>
              <w:top w:val="nil"/>
              <w:left w:val="nil"/>
              <w:bottom w:val="single" w:color="auto" w:sz="12" w:space="0"/>
              <w:right w:val="nil"/>
            </w:tcBorders>
            <w:vAlign w:val="center"/>
          </w:tcPr>
          <w:p w14:paraId="2DA33E64">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29.83(11.80,62.88)</w:t>
            </w:r>
          </w:p>
        </w:tc>
        <w:tc>
          <w:tcPr>
            <w:tcW w:w="2127" w:type="dxa"/>
            <w:tcBorders>
              <w:top w:val="nil"/>
              <w:left w:val="nil"/>
              <w:bottom w:val="single" w:color="auto" w:sz="12" w:space="0"/>
              <w:right w:val="nil"/>
            </w:tcBorders>
            <w:vAlign w:val="center"/>
          </w:tcPr>
          <w:p w14:paraId="6A9D6109">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10.07(1.28,21.66)</w:t>
            </w:r>
          </w:p>
        </w:tc>
        <w:tc>
          <w:tcPr>
            <w:tcW w:w="2032" w:type="dxa"/>
            <w:tcBorders>
              <w:top w:val="nil"/>
              <w:left w:val="nil"/>
              <w:bottom w:val="single" w:color="auto" w:sz="12" w:space="0"/>
              <w:right w:val="nil"/>
            </w:tcBorders>
            <w:vAlign w:val="center"/>
          </w:tcPr>
          <w:p w14:paraId="32A086E3">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19.76,66.24%</w:t>
            </w:r>
          </w:p>
        </w:tc>
        <w:tc>
          <w:tcPr>
            <w:tcW w:w="1081" w:type="dxa"/>
            <w:tcBorders>
              <w:top w:val="nil"/>
              <w:left w:val="nil"/>
              <w:bottom w:val="single" w:color="auto" w:sz="12" w:space="0"/>
              <w:right w:val="nil"/>
            </w:tcBorders>
            <w:vAlign w:val="center"/>
          </w:tcPr>
          <w:p w14:paraId="53638C87">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lang w:val="en-US" w:eastAsia="zh-CN"/>
              </w:rPr>
              <w:t>＜0.001</w:t>
            </w:r>
          </w:p>
        </w:tc>
      </w:tr>
    </w:tbl>
    <w:p w14:paraId="02C0930D">
      <w:pPr>
        <w:widowControl/>
        <w:spacing w:before="156" w:beforeLines="50" w:after="156" w:afterLines="50" w:line="360" w:lineRule="auto"/>
        <w:rPr>
          <w:rFonts w:ascii="Times New Roman" w:hAnsi="Times New Roman" w:cs="Times New Roman"/>
          <w:kern w:val="0"/>
          <w:szCs w:val="21"/>
          <w:highlight w:val="none"/>
        </w:rPr>
      </w:pPr>
      <w:r>
        <w:rPr>
          <w:rFonts w:ascii="Times New Roman" w:hAnsi="Times New Roman" w:eastAsia="宋体" w:cs="Times New Roman"/>
          <w:szCs w:val="21"/>
          <w:highlight w:val="none"/>
        </w:rPr>
        <w:t>Note:</w:t>
      </w:r>
      <w:r>
        <w:rPr>
          <w:rFonts w:ascii="Times New Roman" w:hAnsi="Times New Roman" w:cs="Times New Roman"/>
          <w:szCs w:val="21"/>
          <w:highlight w:val="none"/>
        </w:rPr>
        <w:t xml:space="preserve"> </w:t>
      </w:r>
      <w:r>
        <w:rPr>
          <w:rFonts w:ascii="Times New Roman" w:hAnsi="Times New Roman" w:eastAsia="宋体" w:cs="Times New Roman"/>
          <w:szCs w:val="21"/>
          <w:highlight w:val="none"/>
        </w:rPr>
        <w:t>The measurement data follows a normal distribution with the mean and standard deviation (</w:t>
      </w:r>
      <w:r>
        <w:rPr>
          <w:rFonts w:ascii="Cambria Math" w:hAnsi="Cambria Math" w:eastAsia="宋体" w:cs="Cambria Math"/>
          <w:szCs w:val="21"/>
          <w:highlight w:val="none"/>
        </w:rPr>
        <w:t>𝑥</w:t>
      </w:r>
      <w:r>
        <w:rPr>
          <w:rFonts w:ascii="Times New Roman" w:hAnsi="Times New Roman" w:eastAsia="宋体" w:cs="Times New Roman"/>
          <w:szCs w:val="21"/>
          <w:highlight w:val="none"/>
        </w:rPr>
        <w:t xml:space="preserve"> ̅ + s).</w:t>
      </w:r>
      <w:r>
        <w:rPr>
          <w:rFonts w:ascii="Times New Roman" w:hAnsi="Times New Roman" w:cs="Times New Roman"/>
          <w:szCs w:val="21"/>
          <w:highlight w:val="none"/>
        </w:rPr>
        <w:t xml:space="preserve"> </w:t>
      </w:r>
      <w:r>
        <w:rPr>
          <w:rFonts w:ascii="Times New Roman" w:hAnsi="Times New Roman" w:eastAsia="宋体" w:cs="Times New Roman"/>
          <w:szCs w:val="21"/>
          <w:highlight w:val="none"/>
        </w:rPr>
        <w:t xml:space="preserve">The measurement data that deviated from the normal distribution were represented by their median and interquartile range [M (QL, QU)]. </w:t>
      </w:r>
      <w:r>
        <w:rPr>
          <w:rFonts w:ascii="Times New Roman" w:hAnsi="Times New Roman" w:cs="Times New Roman"/>
          <w:kern w:val="0"/>
          <w:szCs w:val="21"/>
          <w:highlight w:val="none"/>
        </w:rPr>
        <w:t>Percentage values are rounded.</w:t>
      </w:r>
      <w:bookmarkEnd w:id="1"/>
    </w:p>
    <w:p w14:paraId="01605671">
      <w:pPr>
        <w:widowControl/>
        <w:spacing w:before="156" w:beforeLines="50" w:after="156" w:afterLines="50" w:line="360" w:lineRule="auto"/>
        <w:rPr>
          <w:rFonts w:ascii="Times New Roman" w:hAnsi="Times New Roman" w:eastAsia="宋体" w:cs="Times New Roman"/>
          <w:szCs w:val="21"/>
          <w:highlight w:val="none"/>
        </w:rPr>
      </w:pPr>
      <w:r>
        <w:rPr>
          <w:rFonts w:hint="eastAsia" w:ascii="Times New Roman" w:hAnsi="Times New Roman" w:eastAsia="宋体" w:cs="Times New Roman"/>
          <w:szCs w:val="21"/>
          <w:highlight w:val="none"/>
          <w:lang w:val="en-US" w:eastAsia="zh-CN"/>
        </w:rPr>
        <w:t xml:space="preserve">*Stating P=0.000 is inaccurate, as the P-value cannot actually be zero. The 0.000 is merely a representation of the data and does not represent an actual zero value. In this study, we have modified it to P &lt; 0.001. </w:t>
      </w:r>
    </w:p>
    <w:p w14:paraId="3B655869">
      <w:pPr>
        <w:widowControl/>
        <w:spacing w:before="156" w:beforeLines="50" w:after="156" w:afterLines="50" w:line="360" w:lineRule="auto"/>
        <w:rPr>
          <w:rFonts w:ascii="Times New Roman" w:hAnsi="Times New Roman" w:cs="Times New Roman"/>
          <w:kern w:val="0"/>
          <w:szCs w:val="21"/>
          <w:highlight w:val="none"/>
        </w:rPr>
      </w:pPr>
    </w:p>
    <w:p w14:paraId="12DD318D">
      <w:pPr>
        <w:widowControl/>
        <w:spacing w:before="156" w:beforeLines="50" w:after="156" w:afterLines="50" w:line="360" w:lineRule="auto"/>
        <w:rPr>
          <w:rFonts w:ascii="Times New Roman" w:hAnsi="Times New Roman" w:cs="Times New Roman"/>
          <w:kern w:val="0"/>
          <w:szCs w:val="21"/>
          <w:highlight w:val="none"/>
        </w:rPr>
        <w:sectPr>
          <w:pgSz w:w="11906" w:h="16838"/>
          <w:pgMar w:top="1440" w:right="1797" w:bottom="1440" w:left="1797" w:header="851" w:footer="992" w:gutter="0"/>
          <w:lnNumType w:countBy="0" w:restart="continuous"/>
          <w:cols w:space="425" w:num="1"/>
          <w:docGrid w:type="linesAndChars" w:linePitch="312" w:charSpace="0"/>
        </w:sectPr>
      </w:pPr>
    </w:p>
    <w:p w14:paraId="40FCC5C9">
      <w:pPr>
        <w:spacing w:line="480" w:lineRule="auto"/>
        <w:rPr>
          <w:rFonts w:ascii="Times New Roman" w:hAnsi="Times New Roman" w:eastAsia="幼圆" w:cs="Times New Roman"/>
          <w:b/>
          <w:bCs/>
          <w:sz w:val="20"/>
          <w:szCs w:val="20"/>
          <w:highlight w:val="none"/>
        </w:rPr>
      </w:pPr>
      <w:r>
        <w:rPr>
          <w:rFonts w:hint="eastAsia" w:ascii="Times New Roman" w:hAnsi="Times New Roman" w:eastAsia="幼圆" w:cs="Times New Roman"/>
          <w:b/>
          <w:bCs/>
          <w:szCs w:val="21"/>
          <w:highlight w:val="none"/>
          <w:lang w:val="en-US" w:eastAsia="zh-CN"/>
        </w:rPr>
        <w:t>T</w:t>
      </w:r>
      <w:r>
        <w:rPr>
          <w:rFonts w:ascii="Times New Roman" w:hAnsi="Times New Roman" w:eastAsia="幼圆" w:cs="Times New Roman"/>
          <w:b/>
          <w:bCs/>
          <w:szCs w:val="21"/>
          <w:highlight w:val="none"/>
        </w:rPr>
        <w:t>able</w:t>
      </w:r>
      <w:r>
        <w:rPr>
          <w:rFonts w:ascii="Times New Roman" w:hAnsi="Times New Roman" w:eastAsia="幼圆" w:cs="Times New Roman"/>
          <w:b/>
          <w:bCs/>
          <w:szCs w:val="21"/>
          <w:highlight w:val="none"/>
        </w:rPr>
        <w:t xml:space="preserve"> </w:t>
      </w:r>
      <w:r>
        <w:rPr>
          <w:rFonts w:hint="eastAsia" w:ascii="Times New Roman" w:hAnsi="Times New Roman" w:eastAsia="幼圆" w:cs="Times New Roman"/>
          <w:b/>
          <w:bCs/>
          <w:szCs w:val="21"/>
          <w:highlight w:val="none"/>
          <w:lang w:val="en-US" w:eastAsia="zh-CN"/>
        </w:rPr>
        <w:t>S</w:t>
      </w:r>
      <w:r>
        <w:rPr>
          <w:rFonts w:ascii="Times New Roman" w:hAnsi="Times New Roman" w:eastAsia="幼圆" w:cs="Times New Roman"/>
          <w:b/>
          <w:bCs/>
          <w:szCs w:val="21"/>
          <w:highlight w:val="none"/>
        </w:rPr>
        <w:t>6</w:t>
      </w:r>
      <w:r>
        <w:rPr>
          <w:rFonts w:ascii="Times New Roman" w:hAnsi="Times New Roman" w:eastAsia="幼圆" w:cs="Times New Roman"/>
          <w:b/>
          <w:bCs/>
          <w:szCs w:val="21"/>
          <w:highlight w:val="none"/>
        </w:rPr>
        <w:t>：Anatomical boundaries of organs at risk.</w:t>
      </w:r>
    </w:p>
    <w:tbl>
      <w:tblPr>
        <w:tblStyle w:val="8"/>
        <w:tblW w:w="14624" w:type="dxa"/>
        <w:tblDescription w:val=""/>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9"/>
        <w:gridCol w:w="2040"/>
        <w:gridCol w:w="2185"/>
        <w:gridCol w:w="1989"/>
        <w:gridCol w:w="2268"/>
        <w:gridCol w:w="2127"/>
        <w:gridCol w:w="2296"/>
      </w:tblGrid>
      <w:tr w14:paraId="178E0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719" w:type="dxa"/>
          </w:tcPr>
          <w:p w14:paraId="3C3C740E">
            <w:pPr>
              <w:keepNext w:val="0"/>
              <w:keepLines w:val="0"/>
              <w:suppressLineNumbers w:val="0"/>
              <w:spacing w:before="0" w:beforeAutospacing="0" w:after="0" w:afterAutospacing="0"/>
              <w:ind w:left="0" w:right="0"/>
              <w:jc w:val="left"/>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Organ</w:t>
            </w:r>
          </w:p>
        </w:tc>
        <w:tc>
          <w:tcPr>
            <w:tcW w:w="2040" w:type="dxa"/>
          </w:tcPr>
          <w:p w14:paraId="7FA4A20A">
            <w:pPr>
              <w:keepNext w:val="0"/>
              <w:keepLines w:val="0"/>
              <w:suppressLineNumbers w:val="0"/>
              <w:spacing w:before="0" w:beforeAutospacing="0" w:after="0" w:afterAutospacing="0"/>
              <w:ind w:left="0" w:right="0"/>
              <w:jc w:val="left"/>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Cranial</w:t>
            </w:r>
          </w:p>
        </w:tc>
        <w:tc>
          <w:tcPr>
            <w:tcW w:w="2185" w:type="dxa"/>
          </w:tcPr>
          <w:p w14:paraId="69E94EAB">
            <w:pPr>
              <w:keepNext w:val="0"/>
              <w:keepLines w:val="0"/>
              <w:suppressLineNumbers w:val="0"/>
              <w:spacing w:before="0" w:beforeAutospacing="0" w:after="0" w:afterAutospacing="0"/>
              <w:ind w:left="0" w:right="0"/>
              <w:jc w:val="left"/>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Caudal</w:t>
            </w:r>
          </w:p>
        </w:tc>
        <w:tc>
          <w:tcPr>
            <w:tcW w:w="1989" w:type="dxa"/>
          </w:tcPr>
          <w:p w14:paraId="367BEBD6">
            <w:pPr>
              <w:keepNext w:val="0"/>
              <w:keepLines w:val="0"/>
              <w:suppressLineNumbers w:val="0"/>
              <w:spacing w:before="0" w:beforeAutospacing="0" w:after="0" w:afterAutospacing="0"/>
              <w:ind w:left="0" w:right="0"/>
              <w:jc w:val="left"/>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Anterior</w:t>
            </w:r>
          </w:p>
        </w:tc>
        <w:tc>
          <w:tcPr>
            <w:tcW w:w="2268" w:type="dxa"/>
          </w:tcPr>
          <w:p w14:paraId="4B1331EE">
            <w:pPr>
              <w:keepNext w:val="0"/>
              <w:keepLines w:val="0"/>
              <w:suppressLineNumbers w:val="0"/>
              <w:spacing w:before="0" w:beforeAutospacing="0" w:after="0" w:afterAutospacing="0"/>
              <w:ind w:left="0" w:right="0"/>
              <w:jc w:val="left"/>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Posterior</w:t>
            </w:r>
          </w:p>
        </w:tc>
        <w:tc>
          <w:tcPr>
            <w:tcW w:w="2127" w:type="dxa"/>
          </w:tcPr>
          <w:p w14:paraId="3A6F525A">
            <w:pPr>
              <w:keepNext w:val="0"/>
              <w:keepLines w:val="0"/>
              <w:suppressLineNumbers w:val="0"/>
              <w:spacing w:before="0" w:beforeAutospacing="0" w:after="0" w:afterAutospacing="0"/>
              <w:ind w:left="0" w:right="0"/>
              <w:jc w:val="left"/>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Lateral</w:t>
            </w:r>
          </w:p>
        </w:tc>
        <w:tc>
          <w:tcPr>
            <w:tcW w:w="2296" w:type="dxa"/>
          </w:tcPr>
          <w:p w14:paraId="5BB706D5">
            <w:pPr>
              <w:keepNext w:val="0"/>
              <w:keepLines w:val="0"/>
              <w:suppressLineNumbers w:val="0"/>
              <w:spacing w:before="0" w:beforeAutospacing="0" w:after="0" w:afterAutospacing="0"/>
              <w:ind w:left="0" w:right="0"/>
              <w:jc w:val="left"/>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Medial</w:t>
            </w:r>
          </w:p>
        </w:tc>
      </w:tr>
      <w:tr w14:paraId="0FCE4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1719" w:type="dxa"/>
          </w:tcPr>
          <w:p w14:paraId="3E815CF1">
            <w:pPr>
              <w:keepNext w:val="0"/>
              <w:keepLines w:val="0"/>
              <w:suppressLineNumbers w:val="0"/>
              <w:spacing w:before="0" w:beforeAutospacing="0" w:after="0" w:afterAutospacing="0"/>
              <w:ind w:left="0" w:right="0"/>
              <w:rPr>
                <w:rFonts w:hint="eastAsia" w:ascii="Times New Roman" w:hAnsi="Times New Roman" w:eastAsia="宋体" w:cs="Times New Roman"/>
                <w:sz w:val="18"/>
                <w:szCs w:val="18"/>
                <w:highlight w:val="none"/>
                <w:lang w:val="en-US" w:eastAsia="zh-CN"/>
              </w:rPr>
            </w:pPr>
            <w:r>
              <w:rPr>
                <w:rFonts w:hint="eastAsia" w:ascii="Times New Roman" w:hAnsi="Times New Roman" w:eastAsia="Times New Roman" w:cs="Times New Roman"/>
                <w:sz w:val="18"/>
                <w:szCs w:val="18"/>
                <w:highlight w:val="none"/>
              </w:rPr>
              <w:t>Oral cavity</w:t>
            </w:r>
            <w:r>
              <w:rPr>
                <w:rFonts w:hint="eastAsia" w:ascii="Times New Roman" w:hAnsi="Times New Roman" w:eastAsia="宋体" w:cs="Times New Roman"/>
                <w:sz w:val="18"/>
                <w:szCs w:val="18"/>
                <w:highlight w:val="none"/>
                <w:vertAlign w:val="superscript"/>
                <w:lang w:val="en-US" w:eastAsia="zh-CN"/>
              </w:rPr>
              <w:t>a</w:t>
            </w:r>
          </w:p>
        </w:tc>
        <w:tc>
          <w:tcPr>
            <w:tcW w:w="2040" w:type="dxa"/>
          </w:tcPr>
          <w:p w14:paraId="7B0C6DFA">
            <w:pPr>
              <w:keepNext w:val="0"/>
              <w:keepLines w:val="0"/>
              <w:suppressLineNumbers w:val="0"/>
              <w:spacing w:before="0" w:beforeAutospacing="0" w:after="0" w:afterAutospacing="0"/>
              <w:ind w:left="90" w:right="0" w:hanging="90" w:hangingChars="50"/>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Post. edge of the hard palate or soft palate</w:t>
            </w:r>
          </w:p>
        </w:tc>
        <w:tc>
          <w:tcPr>
            <w:tcW w:w="2185" w:type="dxa"/>
          </w:tcPr>
          <w:p w14:paraId="26E40AEE">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Disappearance of anterior belly of digastric muscle</w:t>
            </w:r>
          </w:p>
        </w:tc>
        <w:tc>
          <w:tcPr>
            <w:tcW w:w="1989" w:type="dxa"/>
          </w:tcPr>
          <w:p w14:paraId="158410B9">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Post. edge of mandible or is free</w:t>
            </w:r>
          </w:p>
        </w:tc>
        <w:tc>
          <w:tcPr>
            <w:tcW w:w="2268" w:type="dxa"/>
          </w:tcPr>
          <w:p w14:paraId="06824EE5">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Palate, oropharynx, the palatine tonsil, hyoid bone</w:t>
            </w:r>
          </w:p>
        </w:tc>
        <w:tc>
          <w:tcPr>
            <w:tcW w:w="2127" w:type="dxa"/>
          </w:tcPr>
          <w:p w14:paraId="501957D2">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Med. edge of the mandible or inferior alveoli socket</w:t>
            </w:r>
          </w:p>
        </w:tc>
        <w:tc>
          <w:tcPr>
            <w:tcW w:w="2296" w:type="dxa"/>
          </w:tcPr>
          <w:p w14:paraId="774AE8B4">
            <w:pPr>
              <w:keepNext w:val="0"/>
              <w:keepLines w:val="0"/>
              <w:suppressLineNumbers w:val="0"/>
              <w:spacing w:before="0" w:beforeAutospacing="0" w:after="0" w:afterAutospacing="0"/>
              <w:ind w:left="0" w:right="0"/>
              <w:jc w:val="left"/>
              <w:rPr>
                <w:rFonts w:hint="eastAsia" w:ascii="Times New Roman" w:hAnsi="Times New Roman" w:eastAsia="Times New Roman" w:cs="Times New Roman"/>
                <w:sz w:val="18"/>
                <w:szCs w:val="18"/>
                <w:highlight w:val="none"/>
              </w:rPr>
            </w:pPr>
          </w:p>
        </w:tc>
      </w:tr>
      <w:tr w14:paraId="1A240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1" w:hRule="atLeast"/>
        </w:trPr>
        <w:tc>
          <w:tcPr>
            <w:tcW w:w="1719" w:type="dxa"/>
          </w:tcPr>
          <w:p w14:paraId="771EB14F">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Larynx</w:t>
            </w:r>
          </w:p>
        </w:tc>
        <w:tc>
          <w:tcPr>
            <w:tcW w:w="2040" w:type="dxa"/>
          </w:tcPr>
          <w:p w14:paraId="5DBCF4E8">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Cranial edge of epiglottis</w:t>
            </w:r>
          </w:p>
        </w:tc>
        <w:tc>
          <w:tcPr>
            <w:tcW w:w="2185" w:type="dxa"/>
          </w:tcPr>
          <w:p w14:paraId="350C5D18">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Caudal edge of cricoid cartilage</w:t>
            </w:r>
          </w:p>
        </w:tc>
        <w:tc>
          <w:tcPr>
            <w:tcW w:w="1989" w:type="dxa"/>
          </w:tcPr>
          <w:p w14:paraId="365C4261">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Ant. edge of thyroid cartilage or cricoid cartilage</w:t>
            </w:r>
          </w:p>
        </w:tc>
        <w:tc>
          <w:tcPr>
            <w:tcW w:w="2268" w:type="dxa"/>
          </w:tcPr>
          <w:p w14:paraId="0C6B42DB">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Including arytenoid cartilage, the superior and inferior horns of thyroid cartilage and post. edge of pharyngeal constrictor</w:t>
            </w:r>
          </w:p>
        </w:tc>
        <w:tc>
          <w:tcPr>
            <w:tcW w:w="2127" w:type="dxa"/>
          </w:tcPr>
          <w:p w14:paraId="09F08735">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Med. edge of hyoid bone, lat. edge of thyroid cartilage and cricoid cartilage</w:t>
            </w:r>
            <w:r>
              <w:rPr>
                <w:rFonts w:hint="eastAsia" w:ascii="Times New Roman" w:hAnsi="Times New Roman" w:eastAsia="宋体" w:cs="Times New Roman"/>
                <w:sz w:val="18"/>
                <w:szCs w:val="18"/>
                <w:highlight w:val="none"/>
                <w:lang w:val="en-GB"/>
              </w:rPr>
              <w:t>，</w:t>
            </w:r>
            <w:r>
              <w:rPr>
                <w:rFonts w:hint="eastAsia" w:ascii="Times New Roman" w:hAnsi="Times New Roman" w:eastAsia="Times New Roman" w:cs="Times New Roman"/>
                <w:sz w:val="18"/>
                <w:szCs w:val="18"/>
                <w:highlight w:val="none"/>
              </w:rPr>
              <w:t xml:space="preserve"> cervical vessels, nerves, and lateral thyroid</w:t>
            </w:r>
          </w:p>
        </w:tc>
        <w:tc>
          <w:tcPr>
            <w:tcW w:w="2296" w:type="dxa"/>
          </w:tcPr>
          <w:p w14:paraId="6B7F9FD8">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p>
        </w:tc>
      </w:tr>
      <w:tr w14:paraId="69782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trPr>
        <w:tc>
          <w:tcPr>
            <w:tcW w:w="1719" w:type="dxa"/>
          </w:tcPr>
          <w:p w14:paraId="7307E506">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Upper pharyngeal constrictor</w:t>
            </w:r>
          </w:p>
        </w:tc>
        <w:tc>
          <w:tcPr>
            <w:tcW w:w="2040" w:type="dxa"/>
          </w:tcPr>
          <w:p w14:paraId="7F817D11">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Caudal edge of pterygoid plates</w:t>
            </w:r>
          </w:p>
        </w:tc>
        <w:tc>
          <w:tcPr>
            <w:tcW w:w="2185" w:type="dxa"/>
          </w:tcPr>
          <w:p w14:paraId="25A7F11C">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Cranial edge of hyoid bone</w:t>
            </w:r>
          </w:p>
        </w:tc>
        <w:tc>
          <w:tcPr>
            <w:tcW w:w="1989" w:type="dxa"/>
          </w:tcPr>
          <w:p w14:paraId="36D9836F">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Nasopharynx, oropharynx, laryngopharynx, base of tongue</w:t>
            </w:r>
          </w:p>
        </w:tc>
        <w:tc>
          <w:tcPr>
            <w:tcW w:w="2268" w:type="dxa"/>
          </w:tcPr>
          <w:p w14:paraId="5193FF02">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Longus capitis m., longus colli m., body of cervical vertebra</w:t>
            </w:r>
          </w:p>
        </w:tc>
        <w:tc>
          <w:tcPr>
            <w:tcW w:w="2127" w:type="dxa"/>
          </w:tcPr>
          <w:p w14:paraId="35AAC6B8">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Carotid sheath</w:t>
            </w:r>
          </w:p>
        </w:tc>
        <w:tc>
          <w:tcPr>
            <w:tcW w:w="2296" w:type="dxa"/>
          </w:tcPr>
          <w:p w14:paraId="73965642">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p>
        </w:tc>
      </w:tr>
      <w:tr w14:paraId="7DD1F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1719" w:type="dxa"/>
          </w:tcPr>
          <w:p w14:paraId="412B8BCD">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Middle pharyngeal constrictor</w:t>
            </w:r>
          </w:p>
        </w:tc>
        <w:tc>
          <w:tcPr>
            <w:tcW w:w="2040" w:type="dxa"/>
          </w:tcPr>
          <w:p w14:paraId="792587B0">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Cranial edge of hyoid bone</w:t>
            </w:r>
          </w:p>
        </w:tc>
        <w:tc>
          <w:tcPr>
            <w:tcW w:w="2185" w:type="dxa"/>
          </w:tcPr>
          <w:p w14:paraId="2FD351BE">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Caudal edge of hyoid bone</w:t>
            </w:r>
          </w:p>
        </w:tc>
        <w:tc>
          <w:tcPr>
            <w:tcW w:w="1989" w:type="dxa"/>
          </w:tcPr>
          <w:p w14:paraId="58F3A197">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Laryngopharynx</w:t>
            </w:r>
          </w:p>
        </w:tc>
        <w:tc>
          <w:tcPr>
            <w:tcW w:w="2268" w:type="dxa"/>
          </w:tcPr>
          <w:p w14:paraId="158B0735">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Longus capitis m., longus colli m., body of cervical vertebra</w:t>
            </w:r>
          </w:p>
        </w:tc>
        <w:tc>
          <w:tcPr>
            <w:tcW w:w="2127" w:type="dxa"/>
          </w:tcPr>
          <w:p w14:paraId="11A03E92">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Hyoid bone</w:t>
            </w:r>
          </w:p>
        </w:tc>
        <w:tc>
          <w:tcPr>
            <w:tcW w:w="2296" w:type="dxa"/>
          </w:tcPr>
          <w:p w14:paraId="4B8D1100">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p>
        </w:tc>
      </w:tr>
      <w:tr w14:paraId="4B2FA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1719" w:type="dxa"/>
          </w:tcPr>
          <w:p w14:paraId="7BBF4A66">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Inferior pharyngeal constrictor</w:t>
            </w:r>
          </w:p>
        </w:tc>
        <w:tc>
          <w:tcPr>
            <w:tcW w:w="2040" w:type="dxa"/>
          </w:tcPr>
          <w:p w14:paraId="3CECF86B">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Caudal edge of hyoid bone</w:t>
            </w:r>
          </w:p>
        </w:tc>
        <w:tc>
          <w:tcPr>
            <w:tcW w:w="2185" w:type="dxa"/>
          </w:tcPr>
          <w:p w14:paraId="6A02F3D1">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Caudal edge of cricoid cartilage</w:t>
            </w:r>
          </w:p>
        </w:tc>
        <w:tc>
          <w:tcPr>
            <w:tcW w:w="1989" w:type="dxa"/>
          </w:tcPr>
          <w:p w14:paraId="0E5075B1">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Laryngopharynx or cricoids cartilage</w:t>
            </w:r>
          </w:p>
        </w:tc>
        <w:tc>
          <w:tcPr>
            <w:tcW w:w="2268" w:type="dxa"/>
          </w:tcPr>
          <w:p w14:paraId="3FBFB5D5">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Longus capitis m., longus colli m., body of cervical vertebra</w:t>
            </w:r>
          </w:p>
        </w:tc>
        <w:tc>
          <w:tcPr>
            <w:tcW w:w="2127" w:type="dxa"/>
          </w:tcPr>
          <w:p w14:paraId="38AF7E80">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Thyroid cartilage or thyroid gland</w:t>
            </w:r>
          </w:p>
        </w:tc>
        <w:tc>
          <w:tcPr>
            <w:tcW w:w="2296" w:type="dxa"/>
          </w:tcPr>
          <w:p w14:paraId="3F94D156">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p>
        </w:tc>
      </w:tr>
      <w:tr w14:paraId="0E991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1719" w:type="dxa"/>
          </w:tcPr>
          <w:p w14:paraId="7EEA55CE">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Trachea</w:t>
            </w:r>
          </w:p>
        </w:tc>
        <w:tc>
          <w:tcPr>
            <w:tcW w:w="2040" w:type="dxa"/>
          </w:tcPr>
          <w:p w14:paraId="0F576B7D">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Caudal edge of cricoid cartilage</w:t>
            </w:r>
          </w:p>
        </w:tc>
        <w:tc>
          <w:tcPr>
            <w:tcW w:w="2185" w:type="dxa"/>
          </w:tcPr>
          <w:p w14:paraId="27C353E2">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AdvGulliv-R" w:cs="Times New Roman"/>
                <w:sz w:val="18"/>
                <w:szCs w:val="18"/>
                <w:highlight w:val="none"/>
              </w:rPr>
              <w:t xml:space="preserve">Two centimeters below the caudal edge of the </w:t>
            </w:r>
            <w:r>
              <w:rPr>
                <w:rFonts w:hint="eastAsia" w:ascii="Times New Roman" w:hAnsi="Times New Roman" w:eastAsia="Times New Roman" w:cs="Times New Roman"/>
                <w:sz w:val="18"/>
                <w:szCs w:val="18"/>
                <w:highlight w:val="none"/>
              </w:rPr>
              <w:t xml:space="preserve">clavicular  </w:t>
            </w:r>
            <w:r>
              <w:rPr>
                <w:rFonts w:hint="eastAsia" w:ascii="Times New Roman" w:hAnsi="Times New Roman" w:eastAsia="AdvGulliv-R" w:cs="Times New Roman"/>
                <w:sz w:val="18"/>
                <w:szCs w:val="18"/>
                <w:highlight w:val="none"/>
              </w:rPr>
              <w:t>head</w:t>
            </w:r>
          </w:p>
        </w:tc>
        <w:tc>
          <w:tcPr>
            <w:tcW w:w="1989" w:type="dxa"/>
          </w:tcPr>
          <w:p w14:paraId="0B75C4CB">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Post. edge of isthmus of thyroid gland</w:t>
            </w:r>
          </w:p>
        </w:tc>
        <w:tc>
          <w:tcPr>
            <w:tcW w:w="2268" w:type="dxa"/>
          </w:tcPr>
          <w:p w14:paraId="400B625C">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Ant. edge of esophagus</w:t>
            </w:r>
          </w:p>
        </w:tc>
        <w:tc>
          <w:tcPr>
            <w:tcW w:w="2127" w:type="dxa"/>
          </w:tcPr>
          <w:p w14:paraId="0FC92942">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Lateral thyroid gland</w:t>
            </w:r>
          </w:p>
          <w:p w14:paraId="3340878B">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p>
        </w:tc>
        <w:tc>
          <w:tcPr>
            <w:tcW w:w="2296" w:type="dxa"/>
          </w:tcPr>
          <w:p w14:paraId="4D9CACAC">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One-two millimeters expanded from the lumen of trachea</w:t>
            </w:r>
          </w:p>
        </w:tc>
      </w:tr>
      <w:tr w14:paraId="3D618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1719" w:type="dxa"/>
          </w:tcPr>
          <w:p w14:paraId="67891803">
            <w:pPr>
              <w:keepNext w:val="0"/>
              <w:keepLines w:val="0"/>
              <w:suppressLineNumbers w:val="0"/>
              <w:spacing w:before="0" w:beforeAutospacing="0" w:after="0" w:afterAutospacing="0"/>
              <w:ind w:left="0" w:right="0"/>
              <w:rPr>
                <w:rFonts w:hint="eastAsia" w:ascii="Times New Roman" w:hAnsi="Times New Roman" w:eastAsia="宋体" w:cs="Times New Roman"/>
                <w:sz w:val="18"/>
                <w:szCs w:val="18"/>
                <w:highlight w:val="none"/>
                <w:lang w:val="en-US" w:eastAsia="zh-CN"/>
              </w:rPr>
            </w:pPr>
            <w:r>
              <w:rPr>
                <w:rFonts w:hint="eastAsia" w:ascii="Times New Roman" w:hAnsi="Times New Roman" w:eastAsia="Times New Roman" w:cs="Times New Roman"/>
                <w:sz w:val="18"/>
                <w:szCs w:val="18"/>
                <w:highlight w:val="none"/>
              </w:rPr>
              <w:t>Submandibular gland</w:t>
            </w:r>
            <w:r>
              <w:rPr>
                <w:rFonts w:hint="eastAsia" w:ascii="Times New Roman" w:hAnsi="Times New Roman" w:eastAsia="宋体" w:cs="Times New Roman"/>
                <w:sz w:val="18"/>
                <w:szCs w:val="18"/>
                <w:highlight w:val="none"/>
                <w:vertAlign w:val="superscript"/>
                <w:lang w:val="en-US" w:eastAsia="zh-CN"/>
              </w:rPr>
              <w:t>b</w:t>
            </w:r>
          </w:p>
        </w:tc>
        <w:tc>
          <w:tcPr>
            <w:tcW w:w="2040" w:type="dxa"/>
          </w:tcPr>
          <w:p w14:paraId="5280866F">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Inferior edge of medial pterygoid or the level of C3</w:t>
            </w:r>
          </w:p>
        </w:tc>
        <w:tc>
          <w:tcPr>
            <w:tcW w:w="2185" w:type="dxa"/>
          </w:tcPr>
          <w:p w14:paraId="27B2278B">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Appearance of fat space of submandibular triangle</w:t>
            </w:r>
          </w:p>
        </w:tc>
        <w:tc>
          <w:tcPr>
            <w:tcW w:w="1989" w:type="dxa"/>
          </w:tcPr>
          <w:p w14:paraId="78A3C374">
            <w:pPr>
              <w:keepNext w:val="0"/>
              <w:keepLines w:val="0"/>
              <w:suppressLineNumbers w:val="0"/>
              <w:autoSpaceDE w:val="0"/>
              <w:autoSpaceDN w:val="0"/>
              <w:adjustRightInd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AdvGulliv-R" w:cs="Times New Roman"/>
                <w:sz w:val="18"/>
                <w:szCs w:val="18"/>
                <w:highlight w:val="none"/>
              </w:rPr>
              <w:t>surface of mylohyoid m. or hyoglossus m.</w:t>
            </w:r>
          </w:p>
        </w:tc>
        <w:tc>
          <w:tcPr>
            <w:tcW w:w="2268" w:type="dxa"/>
          </w:tcPr>
          <w:p w14:paraId="3D8E2FAD">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AdvGulliv-R" w:cs="Times New Roman"/>
                <w:sz w:val="18"/>
                <w:szCs w:val="18"/>
                <w:highlight w:val="none"/>
              </w:rPr>
              <w:t>Parapharyngeal space, cervical vessels and post. belly of digastric m., sternocleidomastoid m.</w:t>
            </w:r>
          </w:p>
        </w:tc>
        <w:tc>
          <w:tcPr>
            <w:tcW w:w="2127" w:type="dxa"/>
          </w:tcPr>
          <w:p w14:paraId="12C7E77A">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 xml:space="preserve">Ramus of the mandible, </w:t>
            </w:r>
            <w:r>
              <w:rPr>
                <w:rFonts w:hint="eastAsia" w:ascii="Times New Roman" w:hAnsi="Times New Roman" w:eastAsia="AdvGulliv-R" w:cs="Times New Roman"/>
                <w:sz w:val="18"/>
                <w:szCs w:val="18"/>
                <w:highlight w:val="none"/>
              </w:rPr>
              <w:t>subcutaneous fat or platysma</w:t>
            </w:r>
          </w:p>
        </w:tc>
        <w:tc>
          <w:tcPr>
            <w:tcW w:w="2296" w:type="dxa"/>
          </w:tcPr>
          <w:p w14:paraId="1A07EED1">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AdvGulliv-R" w:cs="Times New Roman"/>
                <w:sz w:val="18"/>
                <w:szCs w:val="18"/>
                <w:highlight w:val="none"/>
              </w:rPr>
              <w:t>Cervical vessels, superior and middle pharyngeal constrictor m., hyoid bone, post. belly of the digastric m., mylohyoid m. or hyoglossus m.</w:t>
            </w:r>
          </w:p>
        </w:tc>
      </w:tr>
      <w:tr w14:paraId="498A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1719" w:type="dxa"/>
          </w:tcPr>
          <w:p w14:paraId="610FA158">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Esophagus</w:t>
            </w:r>
          </w:p>
        </w:tc>
        <w:tc>
          <w:tcPr>
            <w:tcW w:w="2040" w:type="dxa"/>
          </w:tcPr>
          <w:p w14:paraId="335DD3BA">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Caudal edge of cricoid cartilage</w:t>
            </w:r>
          </w:p>
        </w:tc>
        <w:tc>
          <w:tcPr>
            <w:tcW w:w="2185" w:type="dxa"/>
          </w:tcPr>
          <w:p w14:paraId="319066DB">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AdvGulliv-R" w:cs="Times New Roman"/>
                <w:sz w:val="18"/>
                <w:szCs w:val="18"/>
                <w:highlight w:val="none"/>
              </w:rPr>
              <w:t xml:space="preserve">Two centimeters below the caudal edge of the </w:t>
            </w:r>
            <w:r>
              <w:rPr>
                <w:rFonts w:hint="eastAsia" w:ascii="Times New Roman" w:hAnsi="Times New Roman" w:eastAsia="Times New Roman" w:cs="Times New Roman"/>
                <w:sz w:val="18"/>
                <w:szCs w:val="18"/>
                <w:highlight w:val="none"/>
              </w:rPr>
              <w:t xml:space="preserve">clavicular </w:t>
            </w:r>
            <w:r>
              <w:rPr>
                <w:rFonts w:hint="eastAsia" w:ascii="Times New Roman" w:hAnsi="Times New Roman" w:eastAsia="AdvGulliv-R" w:cs="Times New Roman"/>
                <w:sz w:val="18"/>
                <w:szCs w:val="18"/>
                <w:highlight w:val="none"/>
              </w:rPr>
              <w:t>head</w:t>
            </w:r>
          </w:p>
        </w:tc>
        <w:tc>
          <w:tcPr>
            <w:tcW w:w="1989" w:type="dxa"/>
          </w:tcPr>
          <w:p w14:paraId="0BC6A2B3">
            <w:pPr>
              <w:keepNext w:val="0"/>
              <w:keepLines w:val="0"/>
              <w:suppressLineNumbers w:val="0"/>
              <w:autoSpaceDE w:val="0"/>
              <w:autoSpaceDN w:val="0"/>
              <w:adjustRightInd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Trachea</w:t>
            </w:r>
          </w:p>
        </w:tc>
        <w:tc>
          <w:tcPr>
            <w:tcW w:w="2268" w:type="dxa"/>
          </w:tcPr>
          <w:p w14:paraId="5E5C56E9">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Vertebral body or longus colli m.</w:t>
            </w:r>
          </w:p>
        </w:tc>
        <w:tc>
          <w:tcPr>
            <w:tcW w:w="2127" w:type="dxa"/>
          </w:tcPr>
          <w:p w14:paraId="177F1717">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Fat space or thyroid gland</w:t>
            </w:r>
          </w:p>
        </w:tc>
        <w:tc>
          <w:tcPr>
            <w:tcW w:w="2296" w:type="dxa"/>
          </w:tcPr>
          <w:p w14:paraId="01A59D29">
            <w:pPr>
              <w:keepNext w:val="0"/>
              <w:keepLines w:val="0"/>
              <w:suppressLineNumbers w:val="0"/>
              <w:spacing w:before="0" w:beforeAutospacing="0" w:after="0" w:afterAutospacing="0"/>
              <w:ind w:left="0" w:right="0"/>
              <w:rPr>
                <w:rFonts w:hint="eastAsia" w:ascii="Times New Roman" w:hAnsi="Times New Roman" w:eastAsia="AdvGulliv-R" w:cs="Times New Roman"/>
                <w:sz w:val="18"/>
                <w:szCs w:val="18"/>
                <w:highlight w:val="none"/>
              </w:rPr>
            </w:pPr>
          </w:p>
        </w:tc>
      </w:tr>
      <w:tr w14:paraId="1D8BD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 w:hRule="atLeast"/>
        </w:trPr>
        <w:tc>
          <w:tcPr>
            <w:tcW w:w="1719" w:type="dxa"/>
          </w:tcPr>
          <w:p w14:paraId="6CC74FC8">
            <w:pPr>
              <w:keepNext w:val="0"/>
              <w:keepLines w:val="0"/>
              <w:suppressLineNumbers w:val="0"/>
              <w:spacing w:before="0" w:beforeAutospacing="0" w:after="0" w:afterAutospacing="0"/>
              <w:ind w:left="0" w:right="0"/>
              <w:rPr>
                <w:rFonts w:hint="eastAsia" w:ascii="Times New Roman" w:hAnsi="Times New Roman" w:eastAsia="宋体" w:cs="Times New Roman"/>
                <w:sz w:val="18"/>
                <w:szCs w:val="18"/>
                <w:highlight w:val="none"/>
                <w:lang w:val="en-US" w:eastAsia="zh-CN"/>
              </w:rPr>
            </w:pPr>
            <w:r>
              <w:rPr>
                <w:rFonts w:hint="eastAsia" w:ascii="Times New Roman" w:hAnsi="Times New Roman" w:eastAsia="Times New Roman" w:cs="Times New Roman"/>
                <w:sz w:val="18"/>
                <w:szCs w:val="18"/>
                <w:highlight w:val="none"/>
              </w:rPr>
              <w:t>Parotid gland</w:t>
            </w:r>
            <w:r>
              <w:rPr>
                <w:rFonts w:hint="eastAsia" w:ascii="Times New Roman" w:hAnsi="Times New Roman" w:eastAsia="宋体" w:cs="Times New Roman"/>
                <w:sz w:val="18"/>
                <w:szCs w:val="18"/>
                <w:highlight w:val="none"/>
                <w:vertAlign w:val="superscript"/>
                <w:lang w:val="en-US" w:eastAsia="zh-CN"/>
              </w:rPr>
              <w:t>b</w:t>
            </w:r>
          </w:p>
        </w:tc>
        <w:tc>
          <w:tcPr>
            <w:tcW w:w="2040" w:type="dxa"/>
          </w:tcPr>
          <w:p w14:paraId="579DFD5C">
            <w:pPr>
              <w:keepNext w:val="0"/>
              <w:keepLines w:val="0"/>
              <w:suppressLineNumbers w:val="0"/>
              <w:autoSpaceDE w:val="0"/>
              <w:autoSpaceDN w:val="0"/>
              <w:adjustRightInd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 xml:space="preserve">External auditory canal, mastoid process </w:t>
            </w:r>
          </w:p>
        </w:tc>
        <w:tc>
          <w:tcPr>
            <w:tcW w:w="2185" w:type="dxa"/>
          </w:tcPr>
          <w:p w14:paraId="630D99F9">
            <w:pPr>
              <w:keepNext w:val="0"/>
              <w:keepLines w:val="0"/>
              <w:suppressLineNumbers w:val="0"/>
              <w:autoSpaceDE w:val="0"/>
              <w:autoSpaceDN w:val="0"/>
              <w:adjustRightInd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Appearance post. part submandibular space</w:t>
            </w:r>
          </w:p>
        </w:tc>
        <w:tc>
          <w:tcPr>
            <w:tcW w:w="1989" w:type="dxa"/>
          </w:tcPr>
          <w:p w14:paraId="1BD8C059">
            <w:pPr>
              <w:keepNext w:val="0"/>
              <w:keepLines w:val="0"/>
              <w:suppressLineNumbers w:val="0"/>
              <w:autoSpaceDE w:val="0"/>
              <w:autoSpaceDN w:val="0"/>
              <w:adjustRightInd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Masseter m. post. border mandibular bone, medial pterygoid m.</w:t>
            </w:r>
          </w:p>
        </w:tc>
        <w:tc>
          <w:tcPr>
            <w:tcW w:w="2268" w:type="dxa"/>
          </w:tcPr>
          <w:p w14:paraId="6557D678">
            <w:pPr>
              <w:keepNext w:val="0"/>
              <w:keepLines w:val="0"/>
              <w:suppressLineNumbers w:val="0"/>
              <w:autoSpaceDE w:val="0"/>
              <w:autoSpaceDN w:val="0"/>
              <w:adjustRightInd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Ant. belly sternocleidomastoid m., lat. side post. belly of the digastric m. (posterior medial)</w:t>
            </w:r>
            <w:r>
              <w:rPr>
                <w:rFonts w:hint="eastAsia" w:ascii="Times New Roman" w:hAnsi="Times New Roman" w:eastAsia="宋体" w:cs="Times New Roman"/>
                <w:sz w:val="18"/>
                <w:szCs w:val="18"/>
                <w:highlight w:val="none"/>
                <w:lang w:val="en-GB"/>
              </w:rPr>
              <w:t xml:space="preserve">, </w:t>
            </w:r>
            <w:r>
              <w:rPr>
                <w:rFonts w:hint="eastAsia" w:ascii="Times New Roman" w:hAnsi="Times New Roman" w:eastAsia="Times New Roman" w:cs="Times New Roman"/>
                <w:sz w:val="18"/>
                <w:szCs w:val="18"/>
                <w:highlight w:val="none"/>
              </w:rPr>
              <w:t>mastoid process</w:t>
            </w:r>
          </w:p>
        </w:tc>
        <w:tc>
          <w:tcPr>
            <w:tcW w:w="2127" w:type="dxa"/>
          </w:tcPr>
          <w:p w14:paraId="75CBA603">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Submandibular fat, platysma</w:t>
            </w:r>
          </w:p>
        </w:tc>
        <w:tc>
          <w:tcPr>
            <w:tcW w:w="2296" w:type="dxa"/>
          </w:tcPr>
          <w:p w14:paraId="20ACBAED">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AdvGulliv-R" w:cs="Times New Roman"/>
                <w:sz w:val="18"/>
                <w:szCs w:val="18"/>
                <w:highlight w:val="none"/>
              </w:rPr>
              <w:t>Post. belly of the digastric m., styloid process, parapharyngeal space</w:t>
            </w:r>
            <w:r>
              <w:rPr>
                <w:rFonts w:hint="eastAsia" w:ascii="Times New Roman" w:hAnsi="Times New Roman" w:eastAsia="AdvGulliv-R" w:cs="Times New Roman"/>
                <w:sz w:val="18"/>
                <w:szCs w:val="18"/>
                <w:highlight w:val="none"/>
                <w:lang w:val="en-GB"/>
              </w:rPr>
              <w:t>，</w:t>
            </w:r>
            <w:r>
              <w:rPr>
                <w:rFonts w:hint="eastAsia" w:ascii="Times New Roman" w:hAnsi="Times New Roman" w:eastAsia="AdvGulliv-R" w:cs="Times New Roman"/>
                <w:sz w:val="18"/>
                <w:szCs w:val="18"/>
                <w:highlight w:val="none"/>
              </w:rPr>
              <w:t xml:space="preserve"> sternocleidomastoid</w:t>
            </w:r>
          </w:p>
        </w:tc>
      </w:tr>
      <w:tr w14:paraId="48185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19" w:type="dxa"/>
          </w:tcPr>
          <w:p w14:paraId="18C646CC">
            <w:pPr>
              <w:keepNext w:val="0"/>
              <w:keepLines w:val="0"/>
              <w:suppressLineNumbers w:val="0"/>
              <w:spacing w:before="0" w:beforeAutospacing="0" w:after="0" w:afterAutospacing="0"/>
              <w:ind w:left="0" w:right="0"/>
              <w:rPr>
                <w:rFonts w:hint="eastAsia" w:ascii="Times New Roman" w:hAnsi="Times New Roman" w:eastAsia="宋体" w:cs="Times New Roman"/>
                <w:sz w:val="18"/>
                <w:szCs w:val="18"/>
                <w:highlight w:val="none"/>
                <w:lang w:val="en-US" w:eastAsia="zh-CN"/>
              </w:rPr>
            </w:pPr>
            <w:r>
              <w:rPr>
                <w:rFonts w:hint="eastAsia" w:ascii="Times New Roman" w:hAnsi="Times New Roman" w:eastAsia="Times New Roman" w:cs="Times New Roman"/>
                <w:sz w:val="18"/>
                <w:szCs w:val="18"/>
                <w:highlight w:val="none"/>
              </w:rPr>
              <w:t>Thyroid gland</w:t>
            </w:r>
            <w:r>
              <w:rPr>
                <w:rFonts w:hint="eastAsia" w:ascii="Times New Roman" w:hAnsi="Times New Roman" w:eastAsia="宋体" w:cs="Times New Roman"/>
                <w:sz w:val="18"/>
                <w:szCs w:val="18"/>
                <w:highlight w:val="none"/>
                <w:vertAlign w:val="superscript"/>
                <w:lang w:val="en-US" w:eastAsia="zh-CN"/>
              </w:rPr>
              <w:t>b</w:t>
            </w:r>
          </w:p>
        </w:tc>
        <w:tc>
          <w:tcPr>
            <w:tcW w:w="2040" w:type="dxa"/>
          </w:tcPr>
          <w:p w14:paraId="793467F7">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Caudal edge of pyriform sinus or midpoint of thyroid cartilage</w:t>
            </w:r>
          </w:p>
        </w:tc>
        <w:tc>
          <w:tcPr>
            <w:tcW w:w="2185" w:type="dxa"/>
          </w:tcPr>
          <w:p w14:paraId="6A857320">
            <w:pPr>
              <w:keepNext w:val="0"/>
              <w:keepLines w:val="0"/>
              <w:suppressLineNumbers w:val="0"/>
              <w:autoSpaceDE w:val="0"/>
              <w:autoSpaceDN w:val="0"/>
              <w:adjustRightInd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Times New Roman" w:cs="Times New Roman"/>
                <w:sz w:val="18"/>
                <w:szCs w:val="18"/>
                <w:highlight w:val="none"/>
              </w:rPr>
              <w:t>Body of fifth to seventh cervical vertebra</w:t>
            </w:r>
          </w:p>
        </w:tc>
        <w:tc>
          <w:tcPr>
            <w:tcW w:w="1989" w:type="dxa"/>
          </w:tcPr>
          <w:p w14:paraId="1C9E9155">
            <w:pPr>
              <w:keepNext w:val="0"/>
              <w:keepLines w:val="0"/>
              <w:suppressLineNumbers w:val="0"/>
              <w:autoSpaceDE w:val="0"/>
              <w:autoSpaceDN w:val="0"/>
              <w:adjustRightInd w:val="0"/>
              <w:spacing w:before="0" w:beforeAutospacing="0" w:after="0" w:afterAutospacing="0"/>
              <w:ind w:left="0" w:right="0"/>
              <w:rPr>
                <w:rFonts w:hint="eastAsia" w:ascii="Times New Roman" w:hAnsi="Times New Roman" w:eastAsia="AdvGulliv-R" w:cs="Times New Roman"/>
                <w:sz w:val="18"/>
                <w:szCs w:val="18"/>
                <w:highlight w:val="none"/>
              </w:rPr>
            </w:pPr>
            <w:r>
              <w:rPr>
                <w:rFonts w:hint="eastAsia" w:ascii="Times New Roman" w:hAnsi="Times New Roman" w:eastAsia="AdvGulliv-R" w:cs="Times New Roman"/>
                <w:sz w:val="18"/>
                <w:szCs w:val="18"/>
                <w:highlight w:val="none"/>
              </w:rPr>
              <w:t>Sternohyoid or sternocleidomastoid</w:t>
            </w:r>
          </w:p>
          <w:p w14:paraId="0A3A2347">
            <w:pPr>
              <w:keepNext w:val="0"/>
              <w:keepLines w:val="0"/>
              <w:suppressLineNumbers w:val="0"/>
              <w:spacing w:before="0" w:beforeAutospacing="0" w:after="0" w:afterAutospacing="0"/>
              <w:ind w:left="0" w:right="0"/>
              <w:rPr>
                <w:rFonts w:hint="eastAsia" w:ascii="Times New Roman" w:hAnsi="Times New Roman" w:eastAsia="AdvGulliv-R" w:cs="Times New Roman"/>
                <w:sz w:val="18"/>
                <w:szCs w:val="18"/>
                <w:highlight w:val="none"/>
              </w:rPr>
            </w:pPr>
          </w:p>
        </w:tc>
        <w:tc>
          <w:tcPr>
            <w:tcW w:w="2268" w:type="dxa"/>
          </w:tcPr>
          <w:p w14:paraId="73681383">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lang w:val="fr-FR"/>
              </w:rPr>
            </w:pPr>
            <w:r>
              <w:rPr>
                <w:rFonts w:hint="eastAsia" w:ascii="Times New Roman" w:hAnsi="Times New Roman" w:eastAsia="AdvGulliv-R" w:cs="Times New Roman"/>
                <w:sz w:val="18"/>
                <w:szCs w:val="18"/>
                <w:highlight w:val="none"/>
                <w:lang w:val="fr-FR"/>
              </w:rPr>
              <w:t>Cervical vessels or longus colli m.</w:t>
            </w:r>
          </w:p>
        </w:tc>
        <w:tc>
          <w:tcPr>
            <w:tcW w:w="2127" w:type="dxa"/>
          </w:tcPr>
          <w:p w14:paraId="7AC175AF">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AdvGulliv-R" w:cs="Times New Roman"/>
                <w:sz w:val="18"/>
                <w:szCs w:val="18"/>
                <w:highlight w:val="none"/>
              </w:rPr>
              <w:t>Cervical vessels or sternocleidomastoid</w:t>
            </w:r>
          </w:p>
        </w:tc>
        <w:tc>
          <w:tcPr>
            <w:tcW w:w="2296" w:type="dxa"/>
          </w:tcPr>
          <w:p w14:paraId="6ACCA665">
            <w:pPr>
              <w:keepNext w:val="0"/>
              <w:keepLines w:val="0"/>
              <w:suppressLineNumbers w:val="0"/>
              <w:spacing w:before="0" w:beforeAutospacing="0" w:after="0" w:afterAutospacing="0"/>
              <w:ind w:left="0" w:right="0"/>
              <w:rPr>
                <w:rFonts w:hint="eastAsia" w:ascii="Times New Roman" w:hAnsi="Times New Roman" w:eastAsia="Times New Roman" w:cs="Times New Roman"/>
                <w:sz w:val="18"/>
                <w:szCs w:val="18"/>
                <w:highlight w:val="none"/>
              </w:rPr>
            </w:pPr>
            <w:r>
              <w:rPr>
                <w:rFonts w:hint="eastAsia" w:ascii="Times New Roman" w:hAnsi="Times New Roman" w:eastAsia="AdvGulliv-R" w:cs="Times New Roman"/>
                <w:sz w:val="18"/>
                <w:szCs w:val="18"/>
                <w:highlight w:val="none"/>
              </w:rPr>
              <w:t>Thyroid cartilage or cricoids cartilage or esophagus or pharyngeal constrictor</w:t>
            </w:r>
          </w:p>
        </w:tc>
      </w:tr>
    </w:tbl>
    <w:p w14:paraId="69237BCE">
      <w:pPr>
        <w:widowControl/>
        <w:jc w:val="left"/>
        <w:rPr>
          <w:rFonts w:ascii="Times New Roman" w:hAnsi="Times New Roman" w:eastAsia="幼圆" w:cs="Times New Roman"/>
          <w:sz w:val="18"/>
          <w:szCs w:val="18"/>
          <w:highlight w:val="none"/>
        </w:rPr>
      </w:pPr>
      <w:r>
        <w:rPr>
          <w:rFonts w:ascii="Times New Roman" w:hAnsi="Times New Roman" w:eastAsia="幼圆" w:cs="Times New Roman"/>
          <w:sz w:val="18"/>
          <w:szCs w:val="18"/>
          <w:highlight w:val="none"/>
        </w:rPr>
        <w:t xml:space="preserve">Abbreviations: TMJ, temporomandibular joint; ET, Eustachian tube; IAC, internal auditory canal; m., muscle. </w:t>
      </w:r>
    </w:p>
    <w:p w14:paraId="069C8B9A">
      <w:pPr>
        <w:widowControl/>
        <w:jc w:val="left"/>
        <w:rPr>
          <w:rFonts w:ascii="Times New Roman" w:hAnsi="Times New Roman" w:eastAsia="幼圆" w:cs="Times New Roman"/>
          <w:sz w:val="18"/>
          <w:szCs w:val="18"/>
          <w:highlight w:val="none"/>
        </w:rPr>
      </w:pPr>
      <w:r>
        <w:rPr>
          <w:rFonts w:hint="eastAsia" w:ascii="Times New Roman" w:hAnsi="Times New Roman" w:eastAsia="幼圆" w:cs="Times New Roman"/>
          <w:sz w:val="18"/>
          <w:szCs w:val="18"/>
          <w:highlight w:val="none"/>
          <w:lang w:val="en-US" w:eastAsia="zh-CN"/>
        </w:rPr>
        <w:t>a</w:t>
      </w:r>
      <w:r>
        <w:rPr>
          <w:rFonts w:ascii="Times New Roman" w:hAnsi="Times New Roman" w:eastAsia="幼圆" w:cs="Times New Roman"/>
          <w:sz w:val="18"/>
          <w:szCs w:val="18"/>
          <w:highlight w:val="none"/>
        </w:rPr>
        <w:t>: includes the base of the tongue, body of tongue and mouth floor.</w:t>
      </w:r>
    </w:p>
    <w:p w14:paraId="7B512187">
      <w:pPr>
        <w:widowControl/>
        <w:jc w:val="left"/>
        <w:rPr>
          <w:rFonts w:ascii="Times New Roman" w:hAnsi="Times New Roman" w:eastAsia="幼圆" w:cs="Times New Roman"/>
          <w:sz w:val="18"/>
          <w:szCs w:val="18"/>
          <w:highlight w:val="none"/>
        </w:rPr>
      </w:pPr>
      <w:r>
        <w:rPr>
          <w:rFonts w:hint="eastAsia" w:ascii="Times New Roman" w:hAnsi="Times New Roman" w:eastAsia="幼圆" w:cs="Times New Roman"/>
          <w:sz w:val="18"/>
          <w:szCs w:val="18"/>
          <w:highlight w:val="none"/>
          <w:lang w:val="en-US" w:eastAsia="zh-CN"/>
        </w:rPr>
        <w:t>b</w:t>
      </w:r>
      <w:r>
        <w:rPr>
          <w:rFonts w:ascii="Times New Roman" w:hAnsi="Times New Roman" w:eastAsia="幼圆" w:cs="Times New Roman"/>
          <w:sz w:val="18"/>
          <w:szCs w:val="18"/>
          <w:highlight w:val="none"/>
        </w:rPr>
        <w:t xml:space="preserve">: The organs should be divided into left and right, and the standard TPS name of laterality is indicated by appending an underscore character (_), followed by L or R, respectively. For example, the left parotid is named Parotid_L. the right parotid is named Parotid_R. </w:t>
      </w:r>
    </w:p>
    <w:p w14:paraId="5946A726">
      <w:pPr>
        <w:widowControl/>
        <w:jc w:val="left"/>
        <w:rPr>
          <w:rFonts w:ascii="Times New Roman" w:hAnsi="Times New Roman" w:eastAsia="幼圆" w:cs="Times New Roman"/>
          <w:sz w:val="18"/>
          <w:szCs w:val="18"/>
          <w:highlight w:val="none"/>
        </w:rPr>
        <w:sectPr>
          <w:headerReference r:id="rId4" w:type="default"/>
          <w:pgSz w:w="16838" w:h="11906" w:orient="landscape"/>
          <w:pgMar w:top="1797" w:right="1440" w:bottom="1797" w:left="1440" w:header="851" w:footer="992" w:gutter="0"/>
          <w:lnNumType w:countBy="0" w:restart="continuous"/>
          <w:cols w:space="0" w:num="1"/>
          <w:rtlGutter w:val="0"/>
          <w:docGrid w:type="linesAndChars" w:linePitch="319" w:charSpace="0"/>
        </w:sectPr>
      </w:pPr>
    </w:p>
    <w:p w14:paraId="6B9BEC6A">
      <w:pPr>
        <w:widowControl/>
        <w:jc w:val="left"/>
        <w:rPr>
          <w:rFonts w:ascii="Times New Roman" w:hAnsi="Times New Roman" w:eastAsia="幼圆" w:cs="Times New Roman"/>
          <w:sz w:val="18"/>
          <w:szCs w:val="18"/>
          <w:highlight w:val="none"/>
        </w:rPr>
      </w:pPr>
    </w:p>
    <w:p w14:paraId="5FCDEC2D">
      <w:pPr>
        <w:keepNext w:val="0"/>
        <w:keepLines w:val="0"/>
        <w:widowControl w:val="0"/>
        <w:suppressLineNumbers w:val="0"/>
        <w:spacing w:before="0" w:beforeAutospacing="0" w:after="0" w:afterAutospacing="0"/>
        <w:ind w:left="0" w:right="0"/>
        <w:jc w:val="both"/>
        <w:rPr>
          <w:rFonts w:hint="default" w:ascii="Times New Roman" w:hAnsi="Times New Roman" w:cs="Times New Roman"/>
          <w:b/>
          <w:bCs/>
          <w:sz w:val="22"/>
          <w:szCs w:val="22"/>
          <w:highlight w:val="none"/>
          <w:lang w:val="en-US"/>
        </w:rPr>
      </w:pPr>
      <w:r>
        <w:rPr>
          <w:rFonts w:hint="default" w:ascii="Times New Roman" w:hAnsi="Times New Roman" w:eastAsia="等线" w:cs="Times New Roman"/>
          <w:b/>
          <w:bCs w:val="0"/>
          <w:kern w:val="2"/>
          <w:sz w:val="22"/>
          <w:szCs w:val="22"/>
          <w:highlight w:val="none"/>
          <w:lang w:val="en-US" w:eastAsia="zh-CN" w:bidi="ar"/>
        </w:rPr>
        <w:drawing>
          <wp:inline distT="0" distB="0" distL="114300" distR="114300">
            <wp:extent cx="5273040" cy="7909560"/>
            <wp:effectExtent l="0" t="0" r="0" b="0"/>
            <wp:docPr id="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8"/>
                    <pic:cNvPicPr>
                      <a:picLocks noChangeAspect="1"/>
                    </pic:cNvPicPr>
                  </pic:nvPicPr>
                  <pic:blipFill>
                    <a:blip r:embed="rId6"/>
                    <a:stretch>
                      <a:fillRect/>
                    </a:stretch>
                  </pic:blipFill>
                  <pic:spPr>
                    <a:xfrm>
                      <a:off x="0" y="0"/>
                      <a:ext cx="5273040" cy="7909560"/>
                    </a:xfrm>
                    <a:prstGeom prst="rect">
                      <a:avLst/>
                    </a:prstGeom>
                    <a:noFill/>
                    <a:ln>
                      <a:noFill/>
                    </a:ln>
                  </pic:spPr>
                </pic:pic>
              </a:graphicData>
            </a:graphic>
          </wp:inline>
        </w:drawing>
      </w:r>
      <w:r>
        <w:rPr>
          <w:rFonts w:hint="default" w:ascii="Times New Roman" w:hAnsi="Times New Roman" w:eastAsia="等线" w:cs="Times New Roman"/>
          <w:b/>
          <w:bCs w:val="0"/>
          <w:kern w:val="2"/>
          <w:sz w:val="22"/>
          <w:szCs w:val="22"/>
          <w:highlight w:val="none"/>
          <w:lang w:val="en-US" w:eastAsia="zh-CN" w:bidi="ar"/>
        </w:rPr>
        <w:drawing>
          <wp:inline distT="0" distB="0" distL="114300" distR="114300">
            <wp:extent cx="5097780" cy="8869680"/>
            <wp:effectExtent l="0" t="0" r="7620" b="0"/>
            <wp:docPr id="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7"/>
                    <pic:cNvPicPr>
                      <a:picLocks noChangeAspect="1"/>
                    </pic:cNvPicPr>
                  </pic:nvPicPr>
                  <pic:blipFill>
                    <a:blip r:embed="rId7"/>
                    <a:stretch>
                      <a:fillRect/>
                    </a:stretch>
                  </pic:blipFill>
                  <pic:spPr>
                    <a:xfrm>
                      <a:off x="0" y="0"/>
                      <a:ext cx="5097780" cy="8869680"/>
                    </a:xfrm>
                    <a:prstGeom prst="rect">
                      <a:avLst/>
                    </a:prstGeom>
                    <a:noFill/>
                    <a:ln>
                      <a:noFill/>
                    </a:ln>
                  </pic:spPr>
                </pic:pic>
              </a:graphicData>
            </a:graphic>
          </wp:inline>
        </w:drawing>
      </w:r>
    </w:p>
    <w:p w14:paraId="5614E8FC">
      <w:pPr>
        <w:keepNext w:val="0"/>
        <w:keepLines w:val="0"/>
        <w:widowControl w:val="0"/>
        <w:suppressLineNumbers w:val="0"/>
        <w:spacing w:before="0" w:beforeAutospacing="0" w:after="0" w:afterAutospacing="0"/>
        <w:ind w:left="0" w:right="0"/>
        <w:jc w:val="both"/>
        <w:rPr>
          <w:rFonts w:hint="default" w:ascii="Times New Roman" w:hAnsi="Times New Roman" w:cs="Times New Roman"/>
          <w:b/>
          <w:bCs/>
          <w:highlight w:val="none"/>
          <w:lang w:val="en-US"/>
        </w:rPr>
      </w:pPr>
      <w:r>
        <w:rPr>
          <w:rFonts w:hint="default" w:ascii="Times New Roman" w:hAnsi="Times New Roman" w:eastAsia="等线" w:cs="Times New Roman"/>
          <w:b/>
          <w:bCs/>
          <w:kern w:val="2"/>
          <w:sz w:val="22"/>
          <w:szCs w:val="22"/>
          <w:highlight w:val="none"/>
          <w:lang w:val="en-US" w:eastAsia="zh-CN" w:bidi="ar"/>
        </w:rPr>
        <w:t xml:space="preserve">Figure </w:t>
      </w:r>
      <w:r>
        <w:rPr>
          <w:rFonts w:hint="default" w:ascii="Times New Roman" w:hAnsi="Times New Roman" w:eastAsia="等线" w:cs="Times New Roman"/>
          <w:b/>
          <w:bCs/>
          <w:kern w:val="2"/>
          <w:sz w:val="22"/>
          <w:szCs w:val="22"/>
          <w:highlight w:val="none"/>
          <w:lang w:val="en-US" w:eastAsia="zh-CN" w:bidi="ar"/>
        </w:rPr>
        <w:t>S1</w:t>
      </w:r>
      <w:r>
        <w:rPr>
          <w:rFonts w:hint="default" w:ascii="Times New Roman" w:hAnsi="Times New Roman" w:eastAsia="等线" w:cs="Times New Roman"/>
          <w:b/>
          <w:bCs/>
          <w:kern w:val="2"/>
          <w:sz w:val="22"/>
          <w:szCs w:val="22"/>
          <w:highlight w:val="none"/>
          <w:lang w:val="en-US" w:eastAsia="zh-CN" w:bidi="ar"/>
        </w:rPr>
        <w:t xml:space="preserve">. </w:t>
      </w:r>
      <w:r>
        <w:rPr>
          <w:rFonts w:hint="default" w:ascii="Times New Roman" w:hAnsi="Times New Roman" w:eastAsia="等线" w:cs="Times New Roman"/>
          <w:b/>
          <w:bCs/>
          <w:kern w:val="0"/>
          <w:sz w:val="22"/>
          <w:szCs w:val="22"/>
          <w:highlight w:val="none"/>
          <w:lang w:val="en-US" w:eastAsia="zh-CN" w:bidi="ar"/>
        </w:rPr>
        <w:t>Detail distribution patterns of cervical lymph nodes in each level</w:t>
      </w:r>
    </w:p>
    <w:p w14:paraId="21FC00C1">
      <w:pPr>
        <w:keepNext w:val="0"/>
        <w:keepLines w:val="0"/>
        <w:widowControl/>
        <w:suppressLineNumbers w:val="0"/>
        <w:spacing w:before="0" w:beforeAutospacing="0" w:after="0" w:afterAutospacing="0"/>
        <w:ind w:left="0" w:right="0"/>
        <w:jc w:val="both"/>
        <w:rPr>
          <w:rFonts w:hint="default" w:ascii="Times New Roman" w:hAnsi="Times New Roman" w:cs="Times New Roman"/>
          <w:highlight w:val="none"/>
          <w:lang w:val="en-US"/>
        </w:rPr>
      </w:pPr>
      <w:r>
        <w:rPr>
          <w:rFonts w:hint="default" w:ascii="Times New Roman" w:hAnsi="Times New Roman" w:eastAsia="等线" w:cs="Times New Roman"/>
          <w:kern w:val="2"/>
          <w:sz w:val="21"/>
          <w:szCs w:val="21"/>
          <w:highlight w:val="none"/>
          <w:lang w:val="en-US" w:eastAsia="zh-CN" w:bidi="ar"/>
        </w:rPr>
        <w:t>Red area: lymphatic drainage region in level Ib. Orange area: lymphatic drainage region in level II. Yellow area: lymphatic drainage region in level III. Green area: lymphatic drainage region in level Via. Blue area: lymphatic drainage region in level V. Purple area: Lymphatic drainage region in level VII. Pink area: lymphatic drainage region in level VIII. Colored circles represent metastatic lymph nodes for each patient. The light green areas pointed by the red arrows are the target reduction areas in figures 1,21,25,33 and 45. In this study, the radiation field was inevitably extended to include the part of level VIIb due to extensive invasion of the primary nasopharyngeal lesion. Induction chemotherapy can be considered as a potential strategy for tumor volume reduction.</w:t>
      </w:r>
    </w:p>
    <w:p w14:paraId="5E2F397A">
      <w:pPr>
        <w:keepNext w:val="0"/>
        <w:keepLines w:val="0"/>
        <w:widowControl w:val="0"/>
        <w:suppressLineNumbers w:val="0"/>
        <w:spacing w:before="0" w:beforeAutospacing="0" w:after="0" w:afterAutospacing="0"/>
        <w:ind w:left="0" w:right="0"/>
        <w:jc w:val="both"/>
        <w:rPr>
          <w:highlight w:val="none"/>
          <w:lang w:val="en-US"/>
        </w:rPr>
      </w:pPr>
    </w:p>
    <w:p w14:paraId="38C89B32">
      <w:pPr>
        <w:spacing w:line="360" w:lineRule="auto"/>
        <w:outlineLvl w:val="0"/>
        <w:rPr>
          <w:rFonts w:ascii="Times New Roman" w:hAnsi="Times New Roman" w:eastAsia="宋体" w:cs="Times New Roman"/>
          <w:b/>
          <w:sz w:val="32"/>
          <w:szCs w:val="24"/>
          <w:highlight w:val="none"/>
        </w:rPr>
      </w:pPr>
      <w:r>
        <w:rPr>
          <w:rFonts w:ascii="Times New Roman" w:hAnsi="Times New Roman" w:eastAsia="宋体" w:cs="Times New Roman"/>
          <w:b/>
          <w:sz w:val="32"/>
          <w:szCs w:val="24"/>
          <w:highlight w:val="none"/>
        </w:rPr>
        <w:t>References</w:t>
      </w:r>
    </w:p>
    <w:p w14:paraId="1DC04B18">
      <w:pPr>
        <w:pStyle w:val="22"/>
        <w:rPr>
          <w:rFonts w:ascii="Times New Roman" w:hAnsi="Times New Roman" w:cs="Times New Roman"/>
          <w:highlight w:val="none"/>
        </w:rPr>
      </w:pPr>
      <w:r>
        <w:rPr>
          <w:rFonts w:ascii="Times New Roman" w:hAnsi="Times New Roman" w:eastAsia="宋体" w:cs="Times New Roman"/>
          <w:szCs w:val="21"/>
          <w:highlight w:val="none"/>
        </w:rPr>
        <w:fldChar w:fldCharType="begin"/>
      </w:r>
      <w:r>
        <w:rPr>
          <w:rFonts w:ascii="Times New Roman" w:hAnsi="Times New Roman" w:eastAsia="宋体" w:cs="Times New Roman"/>
          <w:szCs w:val="21"/>
          <w:highlight w:val="none"/>
        </w:rPr>
        <w:instrText xml:space="preserve"> ADDIN EN.REFLIST </w:instrText>
      </w:r>
      <w:r>
        <w:rPr>
          <w:rFonts w:ascii="Times New Roman" w:hAnsi="Times New Roman" w:eastAsia="宋体" w:cs="Times New Roman"/>
          <w:szCs w:val="21"/>
          <w:highlight w:val="none"/>
        </w:rPr>
        <w:fldChar w:fldCharType="separate"/>
      </w:r>
      <w:r>
        <w:rPr>
          <w:rFonts w:ascii="Times New Roman" w:hAnsi="Times New Roman" w:cs="Times New Roman"/>
          <w:highlight w:val="none"/>
        </w:rPr>
        <w:t>1.</w:t>
      </w:r>
      <w:r>
        <w:rPr>
          <w:rFonts w:ascii="Times New Roman" w:hAnsi="Times New Roman" w:cs="Times New Roman"/>
          <w:highlight w:val="none"/>
        </w:rPr>
        <w:tab/>
      </w:r>
      <w:r>
        <w:rPr>
          <w:rFonts w:ascii="Times New Roman" w:hAnsi="Times New Roman" w:cs="Times New Roman"/>
          <w:highlight w:val="none"/>
        </w:rPr>
        <w:t>Feuvret L, Noel G, Mazeron JJ, Bey P. Conformity index: a review. Int J Radiat Oncol Biol Phys. 2006;64(2):333-42.</w:t>
      </w:r>
    </w:p>
    <w:p w14:paraId="504BD22E">
      <w:pPr>
        <w:pStyle w:val="22"/>
        <w:rPr>
          <w:rFonts w:ascii="Times New Roman" w:hAnsi="Times New Roman" w:eastAsia="宋体" w:cs="Times New Roman"/>
          <w:szCs w:val="21"/>
          <w:highlight w:val="none"/>
        </w:rPr>
      </w:pPr>
      <w:r>
        <w:rPr>
          <w:rFonts w:ascii="Times New Roman" w:hAnsi="Times New Roman" w:cs="Times New Roman"/>
          <w:highlight w:val="none"/>
        </w:rPr>
        <w:t>2.</w:t>
      </w:r>
      <w:r>
        <w:rPr>
          <w:rFonts w:ascii="Times New Roman" w:hAnsi="Times New Roman" w:cs="Times New Roman"/>
          <w:highlight w:val="none"/>
        </w:rPr>
        <w:tab/>
      </w:r>
      <w:r>
        <w:rPr>
          <w:rFonts w:ascii="Times New Roman" w:hAnsi="Times New Roman" w:cs="Times New Roman"/>
          <w:highlight w:val="none"/>
        </w:rPr>
        <w:t>Semenenko VA, Reitz B, Day E, Qi XS, Miften M, Li XA. Evaluation of a commercial biologically based IMRT treatment planning system. Med Phys. 2008;35(12):5851-60.</w:t>
      </w:r>
      <w:r>
        <w:rPr>
          <w:rFonts w:ascii="Times New Roman" w:hAnsi="Times New Roman" w:eastAsia="宋体" w:cs="Times New Roman"/>
          <w:szCs w:val="21"/>
          <w:highlight w:val="none"/>
        </w:rPr>
        <w:fldChar w:fldCharType="end"/>
      </w:r>
      <w:bookmarkStart w:id="4" w:name="_GoBack"/>
      <w:bookmarkEnd w:id="4"/>
    </w:p>
    <w:sectPr>
      <w:pgSz w:w="11906" w:h="16838"/>
      <w:pgMar w:top="1440" w:right="1797" w:bottom="1440" w:left="1797" w:header="851" w:footer="992" w:gutter="0"/>
      <w:lnNumType w:countBy="0"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AdvP6975">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ScalaLancetPro-Italic">
    <w:altName w:val="Cambria"/>
    <w:panose1 w:val="00000000000000000000"/>
    <w:charset w:val="00"/>
    <w:family w:val="roman"/>
    <w:pitch w:val="default"/>
    <w:sig w:usb0="00000000" w:usb1="00000000" w:usb2="00000000" w:usb3="00000000" w:csb0="00000000" w:csb1="00000000"/>
  </w:font>
  <w:font w:name="ScalaLancetPro-Bold">
    <w:altName w:val="Cambria"/>
    <w:panose1 w:val="00000000000000000000"/>
    <w:charset w:val="00"/>
    <w:family w:val="roman"/>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Cambria Math">
    <w:panose1 w:val="02040503050406030204"/>
    <w:charset w:val="00"/>
    <w:family w:val="roman"/>
    <w:pitch w:val="default"/>
    <w:sig w:usb0="E00006FF" w:usb1="420024FF" w:usb2="02000000" w:usb3="00000000" w:csb0="2000019F" w:csb1="00000000"/>
  </w:font>
  <w:font w:name="幼圆">
    <w:panose1 w:val="02010509060101010101"/>
    <w:charset w:val="86"/>
    <w:family w:val="modern"/>
    <w:pitch w:val="default"/>
    <w:sig w:usb0="00000001" w:usb1="080E0000" w:usb2="00000000" w:usb3="00000000" w:csb0="00040000" w:csb1="00000000"/>
  </w:font>
  <w:font w:name="AdvGulliv-R">
    <w:altName w:val="微软雅黑"/>
    <w:panose1 w:val="00000000000000000000"/>
    <w:charset w:val="86"/>
    <w:family w:val="auto"/>
    <w:pitch w:val="default"/>
    <w:sig w:usb0="00000000" w:usb1="00000000" w:usb2="00000010" w:usb3="00000000" w:csb0="00000000" w:csb1="080E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85075643"/>
      <w:docPartObj>
        <w:docPartGallery w:val="autotext"/>
      </w:docPartObj>
    </w:sdtPr>
    <w:sdtContent>
      <w:p w14:paraId="506B9D89">
        <w:pPr>
          <w:pStyle w:val="4"/>
          <w:jc w:val="center"/>
          <w:rPr>
            <w:rFonts w:hint="eastAsia"/>
          </w:rPr>
        </w:pPr>
        <w:r>
          <w:fldChar w:fldCharType="begin"/>
        </w:r>
        <w:r>
          <w:instrText xml:space="preserve">PAGE   \* MERGEFORMAT</w:instrText>
        </w:r>
        <w:r>
          <w:fldChar w:fldCharType="separate"/>
        </w:r>
        <w:r>
          <w:t>2</w:t>
        </w:r>
        <w:r>
          <w:fldChar w:fldCharType="end"/>
        </w:r>
      </w:p>
    </w:sdtContent>
  </w:sdt>
  <w:p w14:paraId="4B875E3F">
    <w:pPr>
      <w:pStyle w:val="4"/>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71442">
    <w:pPr>
      <w:pStyle w:val="5"/>
      <w:pBdr>
        <w:bottom w:val="none" w:color="000000" w:sz="0" w:space="0"/>
      </w:pBdr>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Vancouver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 w:name="KY_MEDREF_DOCUID" w:val="{1CEEE895-254D-4106-9C0B-AD87EACE40FC}"/>
    <w:docVar w:name="KY_MEDREF_VERSION" w:val="3"/>
  </w:docVars>
  <w:rsids>
    <w:rsidRoot w:val="00FA7043"/>
    <w:rsid w:val="00023A22"/>
    <w:rsid w:val="00047DD2"/>
    <w:rsid w:val="00065537"/>
    <w:rsid w:val="00096909"/>
    <w:rsid w:val="000D04DB"/>
    <w:rsid w:val="000D67D6"/>
    <w:rsid w:val="001068EA"/>
    <w:rsid w:val="00107C81"/>
    <w:rsid w:val="001170E5"/>
    <w:rsid w:val="001D6BE8"/>
    <w:rsid w:val="00203824"/>
    <w:rsid w:val="00216643"/>
    <w:rsid w:val="00266FB8"/>
    <w:rsid w:val="002C6270"/>
    <w:rsid w:val="002E33D6"/>
    <w:rsid w:val="00311BC1"/>
    <w:rsid w:val="003638A9"/>
    <w:rsid w:val="0038125C"/>
    <w:rsid w:val="0038496B"/>
    <w:rsid w:val="00387C2D"/>
    <w:rsid w:val="003971EF"/>
    <w:rsid w:val="003B7199"/>
    <w:rsid w:val="003F5779"/>
    <w:rsid w:val="0040340D"/>
    <w:rsid w:val="00422D25"/>
    <w:rsid w:val="0046414D"/>
    <w:rsid w:val="004D7BE3"/>
    <w:rsid w:val="005315AD"/>
    <w:rsid w:val="00555230"/>
    <w:rsid w:val="005B6290"/>
    <w:rsid w:val="005B77C8"/>
    <w:rsid w:val="005D1AAE"/>
    <w:rsid w:val="005D43AA"/>
    <w:rsid w:val="00626C0C"/>
    <w:rsid w:val="00657C49"/>
    <w:rsid w:val="00667FEB"/>
    <w:rsid w:val="006C0B2A"/>
    <w:rsid w:val="006D60E3"/>
    <w:rsid w:val="00777503"/>
    <w:rsid w:val="007A1113"/>
    <w:rsid w:val="007D04CC"/>
    <w:rsid w:val="007D4817"/>
    <w:rsid w:val="007D7F4C"/>
    <w:rsid w:val="0085257C"/>
    <w:rsid w:val="008715DB"/>
    <w:rsid w:val="00880E21"/>
    <w:rsid w:val="008A269C"/>
    <w:rsid w:val="008B54E3"/>
    <w:rsid w:val="008C2990"/>
    <w:rsid w:val="009459F7"/>
    <w:rsid w:val="009B026E"/>
    <w:rsid w:val="009B65F4"/>
    <w:rsid w:val="009B7AA5"/>
    <w:rsid w:val="009C2A01"/>
    <w:rsid w:val="009C2C06"/>
    <w:rsid w:val="00A03347"/>
    <w:rsid w:val="00A34866"/>
    <w:rsid w:val="00A64705"/>
    <w:rsid w:val="00A67EB3"/>
    <w:rsid w:val="00A74EB3"/>
    <w:rsid w:val="00A928DB"/>
    <w:rsid w:val="00AC51C0"/>
    <w:rsid w:val="00AC7B26"/>
    <w:rsid w:val="00AD4297"/>
    <w:rsid w:val="00B2122D"/>
    <w:rsid w:val="00B21F7D"/>
    <w:rsid w:val="00B44910"/>
    <w:rsid w:val="00B65403"/>
    <w:rsid w:val="00BC22E7"/>
    <w:rsid w:val="00CC1069"/>
    <w:rsid w:val="00CD6D51"/>
    <w:rsid w:val="00CD70FA"/>
    <w:rsid w:val="00CE3C3B"/>
    <w:rsid w:val="00D7330C"/>
    <w:rsid w:val="00DC3E8E"/>
    <w:rsid w:val="00DE108C"/>
    <w:rsid w:val="00E23D72"/>
    <w:rsid w:val="00E6123C"/>
    <w:rsid w:val="00E75A28"/>
    <w:rsid w:val="00E93B52"/>
    <w:rsid w:val="00F148CE"/>
    <w:rsid w:val="00F20EE8"/>
    <w:rsid w:val="00FA7043"/>
    <w:rsid w:val="00FC6775"/>
    <w:rsid w:val="09CD45A7"/>
    <w:rsid w:val="206155F1"/>
    <w:rsid w:val="271909D4"/>
    <w:rsid w:val="528C2095"/>
    <w:rsid w:val="693E1E80"/>
    <w:rsid w:val="787632F6"/>
    <w:rsid w:val="7CF16C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pPr>
      <w:keepNext w:val="0"/>
      <w:keepLines w:val="0"/>
      <w:widowControl/>
      <w:suppressLineNumbers w:val="0"/>
      <w:spacing w:before="0" w:beforeAutospacing="0" w:after="0" w:afterAutospacing="0"/>
      <w:ind w:left="0" w:right="0"/>
    </w:pPr>
    <w:rPr>
      <w:rFonts w:hint="eastAsia" w:ascii="等线" w:hAnsi="等线" w:eastAsia="等线" w:cs="等线"/>
      <w:kern w:val="2"/>
      <w:sz w:val="21"/>
      <w:szCs w:val="22"/>
    </w:rPr>
    <w:tblPr>
      <w:tblCellMar>
        <w:top w:w="0" w:type="dxa"/>
        <w:left w:w="108" w:type="dxa"/>
        <w:bottom w:w="0" w:type="dxa"/>
        <w:right w:w="108" w:type="dxa"/>
      </w:tblCellMar>
    </w:tblPr>
  </w:style>
  <w:style w:type="paragraph" w:styleId="2">
    <w:name w:val="annotation text"/>
    <w:basedOn w:val="1"/>
    <w:link w:val="16"/>
    <w:unhideWhenUsed/>
    <w:qFormat/>
    <w:uiPriority w:val="99"/>
    <w:pPr>
      <w:jc w:val="left"/>
    </w:pPr>
    <w:rPr>
      <w:rFonts w:ascii="Tahoma" w:hAnsi="Tahoma" w:cs="Tahoma"/>
      <w:sz w:val="16"/>
    </w:rPr>
  </w:style>
  <w:style w:type="paragraph" w:styleId="3">
    <w:name w:val="Balloon Text"/>
    <w:basedOn w:val="1"/>
    <w:link w:val="17"/>
    <w:semiHidden/>
    <w:unhideWhenUsed/>
    <w:qFormat/>
    <w:uiPriority w:val="99"/>
    <w:rPr>
      <w:sz w:val="18"/>
      <w:szCs w:val="18"/>
    </w:r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2"/>
    <w:next w:val="2"/>
    <w:link w:val="18"/>
    <w:semiHidden/>
    <w:unhideWhenUsed/>
    <w:qFormat/>
    <w:uiPriority w:val="99"/>
    <w:rPr>
      <w:b/>
      <w:bCs/>
    </w:rPr>
  </w:style>
  <w:style w:type="table" w:styleId="9">
    <w:name w:val="Table Grid"/>
    <w:basedOn w:val="8"/>
    <w:qFormat/>
    <w:uiPriority w:val="3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line number"/>
    <w:basedOn w:val="10"/>
    <w:semiHidden/>
    <w:unhideWhenUsed/>
    <w:qFormat/>
    <w:uiPriority w:val="99"/>
  </w:style>
  <w:style w:type="character" w:styleId="12">
    <w:name w:val="Hyperlink"/>
    <w:basedOn w:val="10"/>
    <w:unhideWhenUsed/>
    <w:qFormat/>
    <w:uiPriority w:val="99"/>
    <w:rPr>
      <w:color w:val="0563C1" w:themeColor="hyperlink"/>
      <w:u w:val="single"/>
      <w14:textFill>
        <w14:solidFill>
          <w14:schemeClr w14:val="hlink"/>
        </w14:solidFill>
      </w14:textFill>
    </w:rPr>
  </w:style>
  <w:style w:type="character" w:styleId="13">
    <w:name w:val="annotation reference"/>
    <w:basedOn w:val="10"/>
    <w:semiHidden/>
    <w:unhideWhenUsed/>
    <w:qFormat/>
    <w:uiPriority w:val="99"/>
    <w:rPr>
      <w:rFonts w:ascii="Tahoma" w:hAnsi="Tahoma" w:cs="Tahoma"/>
      <w:sz w:val="16"/>
      <w:szCs w:val="21"/>
      <w:u w:val="none"/>
    </w:rPr>
  </w:style>
  <w:style w:type="character" w:customStyle="1" w:styleId="14">
    <w:name w:val="页眉 字符"/>
    <w:basedOn w:val="10"/>
    <w:link w:val="5"/>
    <w:qFormat/>
    <w:uiPriority w:val="99"/>
    <w:rPr>
      <w:sz w:val="18"/>
      <w:szCs w:val="18"/>
    </w:rPr>
  </w:style>
  <w:style w:type="character" w:customStyle="1" w:styleId="15">
    <w:name w:val="页脚 字符"/>
    <w:basedOn w:val="10"/>
    <w:link w:val="4"/>
    <w:qFormat/>
    <w:uiPriority w:val="99"/>
    <w:rPr>
      <w:sz w:val="18"/>
      <w:szCs w:val="18"/>
    </w:rPr>
  </w:style>
  <w:style w:type="character" w:customStyle="1" w:styleId="16">
    <w:name w:val="批注文字 字符"/>
    <w:basedOn w:val="10"/>
    <w:link w:val="2"/>
    <w:qFormat/>
    <w:uiPriority w:val="99"/>
    <w:rPr>
      <w:rFonts w:ascii="Tahoma" w:hAnsi="Tahoma" w:cs="Tahoma"/>
      <w:sz w:val="16"/>
    </w:rPr>
  </w:style>
  <w:style w:type="character" w:customStyle="1" w:styleId="17">
    <w:name w:val="批注框文本 字符"/>
    <w:basedOn w:val="10"/>
    <w:link w:val="3"/>
    <w:semiHidden/>
    <w:qFormat/>
    <w:uiPriority w:val="99"/>
    <w:rPr>
      <w:sz w:val="18"/>
      <w:szCs w:val="18"/>
    </w:rPr>
  </w:style>
  <w:style w:type="character" w:customStyle="1" w:styleId="18">
    <w:name w:val="批注主题 字符"/>
    <w:basedOn w:val="16"/>
    <w:link w:val="7"/>
    <w:semiHidden/>
    <w:qFormat/>
    <w:uiPriority w:val="99"/>
    <w:rPr>
      <w:rFonts w:ascii="Tahoma" w:hAnsi="Tahoma" w:cs="Tahoma"/>
      <w:b/>
      <w:bCs/>
      <w:sz w:val="16"/>
    </w:rPr>
  </w:style>
  <w:style w:type="character" w:customStyle="1" w:styleId="19">
    <w:name w:val="fontstyle01"/>
    <w:basedOn w:val="10"/>
    <w:qFormat/>
    <w:uiPriority w:val="0"/>
    <w:rPr>
      <w:rFonts w:hint="default" w:ascii="AdvP6975" w:hAnsi="AdvP6975"/>
      <w:color w:val="231F20"/>
      <w:sz w:val="20"/>
      <w:szCs w:val="20"/>
    </w:rPr>
  </w:style>
  <w:style w:type="paragraph" w:customStyle="1" w:styleId="20">
    <w:name w:val="EndNote Bibliography Title"/>
    <w:basedOn w:val="1"/>
    <w:link w:val="21"/>
    <w:qFormat/>
    <w:uiPriority w:val="0"/>
    <w:pPr>
      <w:jc w:val="center"/>
    </w:pPr>
    <w:rPr>
      <w:rFonts w:ascii="等线" w:hAnsi="等线" w:eastAsia="等线"/>
      <w:sz w:val="20"/>
    </w:rPr>
  </w:style>
  <w:style w:type="character" w:customStyle="1" w:styleId="21">
    <w:name w:val="EndNote Bibliography Title 字符"/>
    <w:basedOn w:val="10"/>
    <w:link w:val="20"/>
    <w:qFormat/>
    <w:uiPriority w:val="0"/>
    <w:rPr>
      <w:rFonts w:ascii="等线" w:hAnsi="等线" w:eastAsia="等线"/>
      <w:sz w:val="20"/>
    </w:rPr>
  </w:style>
  <w:style w:type="paragraph" w:customStyle="1" w:styleId="22">
    <w:name w:val="EndNote Bibliography"/>
    <w:basedOn w:val="1"/>
    <w:link w:val="23"/>
    <w:qFormat/>
    <w:uiPriority w:val="0"/>
    <w:rPr>
      <w:rFonts w:ascii="等线" w:hAnsi="等线" w:eastAsia="等线"/>
      <w:sz w:val="20"/>
    </w:rPr>
  </w:style>
  <w:style w:type="character" w:customStyle="1" w:styleId="23">
    <w:name w:val="EndNote Bibliography 字符"/>
    <w:basedOn w:val="10"/>
    <w:link w:val="22"/>
    <w:qFormat/>
    <w:uiPriority w:val="0"/>
    <w:rPr>
      <w:rFonts w:ascii="等线" w:hAnsi="等线" w:eastAsia="等线"/>
      <w:sz w:val="20"/>
    </w:rPr>
  </w:style>
  <w:style w:type="character" w:customStyle="1" w:styleId="24">
    <w:name w:val="fontstyle21"/>
    <w:basedOn w:val="10"/>
    <w:qFormat/>
    <w:uiPriority w:val="0"/>
    <w:rPr>
      <w:rFonts w:hint="default" w:ascii="ScalaLancetPro-Italic" w:hAnsi="ScalaLancetPro-Italic"/>
      <w:i/>
      <w:iCs/>
      <w:color w:val="000000"/>
      <w:sz w:val="14"/>
      <w:szCs w:val="14"/>
    </w:rPr>
  </w:style>
  <w:style w:type="character" w:customStyle="1" w:styleId="25">
    <w:name w:val="fontstyle31"/>
    <w:basedOn w:val="10"/>
    <w:qFormat/>
    <w:uiPriority w:val="0"/>
    <w:rPr>
      <w:rFonts w:hint="default" w:ascii="ScalaLancetPro-Bold" w:hAnsi="ScalaLancetPro-Bold"/>
      <w:b/>
      <w:bCs/>
      <w:color w:val="000000"/>
      <w:sz w:val="14"/>
      <w:szCs w:val="14"/>
    </w:rPr>
  </w:style>
  <w:style w:type="paragraph" w:styleId="26">
    <w:name w:val="List Paragraph"/>
    <w:basedOn w:val="1"/>
    <w:qFormat/>
    <w:uiPriority w:val="34"/>
    <w:pPr>
      <w:ind w:firstLine="420" w:firstLineChars="200"/>
    </w:pPr>
  </w:style>
  <w:style w:type="character" w:customStyle="1" w:styleId="27">
    <w:name w:val="Unresolved Mention1"/>
    <w:basedOn w:val="10"/>
    <w:qFormat/>
    <w:uiPriority w:val="99"/>
    <w:rPr>
      <w:color w:val="605E5C"/>
      <w:shd w:val="clear" w:color="auto" w:fill="E1DFDD"/>
    </w:rPr>
  </w:style>
  <w:style w:type="paragraph" w:customStyle="1" w:styleId="28">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9">
    <w:name w:val="Default"/>
    <w:qFormat/>
    <w:uiPriority w:val="0"/>
    <w:pPr>
      <w:widowControl w:val="0"/>
      <w:autoSpaceDE w:val="0"/>
      <w:autoSpaceDN w:val="0"/>
      <w:adjustRightInd w:val="0"/>
    </w:pPr>
    <w:rPr>
      <w:rFonts w:ascii="宋体" w:eastAsia="宋体" w:cs="宋体" w:hAnsiTheme="minorHAnsi"/>
      <w:color w:val="000000"/>
      <w:kern w:val="0"/>
      <w:sz w:val="24"/>
      <w:szCs w:val="24"/>
      <w:lang w:val="en-US" w:eastAsia="zh-CN" w:bidi="ar-SA"/>
    </w:rPr>
  </w:style>
  <w:style w:type="character" w:customStyle="1" w:styleId="30">
    <w:name w:val="ts-alignment-element"/>
    <w:basedOn w:val="10"/>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15</Pages>
  <Words>1110</Words>
  <Characters>4930</Characters>
  <Lines>132</Lines>
  <Paragraphs>37</Paragraphs>
  <TotalTime>96</TotalTime>
  <ScaleCrop>false</ScaleCrop>
  <LinksUpToDate>false</LinksUpToDate>
  <CharactersWithSpaces>5281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2021-10-28T16:05:00Z</dcterms:created>
  <dc:creator>wang zhiqiang</dc:creator>
  <cp:lastModifiedBy>wzqsg101</cp:lastModifiedBy>
  <dcterms:modified xsi:type="dcterms:W3CDTF">2025-01-09T07:58:00Z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219CBC2194F94B8EAB5B338E10706902_13</vt:lpwstr>
  </property>
  <property fmtid="{D5CDD505-2E9C-101B-9397-08002B2CF9AE}" pid="4" name="KSOTemplateDocerSaveRecord">
    <vt:lpwstr>eyJoZGlkIjoiMzMwOGNmMGNhZDcyMDU1YWI4YmE1YWQwNmRiYjEyNTEiLCJ1c2VySWQiOiIyNTk4NjM4NzIifQ==</vt:lpwstr>
  </property>
</Properties>
</file>