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94A7B" w:rsidRDefault="00C94A7B">
      <w:r>
        <w:rPr>
          <w:noProof/>
        </w:rPr>
        <w:drawing>
          <wp:inline distT="0" distB="0" distL="0" distR="0" wp14:anchorId="520DF4E5" wp14:editId="7C78DD30">
            <wp:extent cx="5943600" cy="3343275"/>
            <wp:effectExtent l="0" t="0" r="0" b="0"/>
            <wp:docPr id="14061943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A7B" w:rsidRDefault="00C94A7B"/>
    <w:p w:rsidR="00C94A7B" w:rsidRPr="00C94A7B" w:rsidRDefault="00C94A7B" w:rsidP="00C94A7B">
      <w:pPr>
        <w:spacing w:line="360" w:lineRule="auto"/>
        <w:rPr>
          <w:rFonts w:ascii="Times New Roman" w:hAnsi="Times New Roman" w:cs="Times New Roman"/>
          <w:szCs w:val="24"/>
        </w:rPr>
      </w:pPr>
      <w:r w:rsidRPr="00C94A7B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Supplement Figure 1. </w:t>
      </w:r>
      <w:r w:rsidRPr="00C94A7B">
        <w:rPr>
          <w:rFonts w:ascii="Times New Roman" w:hAnsi="Times New Roman" w:cs="Times New Roman"/>
          <w:color w:val="000000" w:themeColor="text1"/>
          <w:szCs w:val="24"/>
        </w:rPr>
        <w:t xml:space="preserve">The </w:t>
      </w:r>
      <w:r w:rsidRPr="00C94A7B">
        <w:rPr>
          <w:rFonts w:ascii="Times New Roman" w:hAnsi="Times New Roman" w:cs="Times New Roman"/>
          <w:szCs w:val="24"/>
        </w:rPr>
        <w:t xml:space="preserve">T-cell receptor convergence ratio throughout the course of treatment. </w:t>
      </w:r>
    </w:p>
    <w:p w:rsidR="00C94A7B" w:rsidRPr="00C94A7B" w:rsidRDefault="00C94A7B" w:rsidP="00C94A7B">
      <w:pPr>
        <w:spacing w:line="360" w:lineRule="auto"/>
        <w:rPr>
          <w:rFonts w:ascii="Times New Roman" w:hAnsi="Times New Roman" w:cs="Times New Roman"/>
          <w:szCs w:val="24"/>
        </w:rPr>
      </w:pPr>
      <w:r w:rsidRPr="00C94A7B">
        <w:rPr>
          <w:rFonts w:ascii="Times New Roman" w:hAnsi="Times New Roman" w:cs="Times New Roman"/>
          <w:szCs w:val="24"/>
        </w:rPr>
        <w:t>The convergence ratio represents how frequently different TCR sequences converge to recognize similar antigens, which may correlate with immune response dynamics.</w:t>
      </w:r>
    </w:p>
    <w:p w:rsidR="00C94A7B" w:rsidRPr="00C94A7B" w:rsidRDefault="00C94A7B" w:rsidP="00C94A7B">
      <w:pPr>
        <w:pStyle w:val="ListParagraph"/>
        <w:numPr>
          <w:ilvl w:val="0"/>
          <w:numId w:val="1"/>
        </w:numPr>
        <w:spacing w:line="360" w:lineRule="auto"/>
      </w:pPr>
      <w:r w:rsidRPr="00C94A7B">
        <w:t>non-progressive disease patient No. P2, P3, P5, P6, P7, P11, P13</w:t>
      </w:r>
    </w:p>
    <w:p w:rsidR="00C94A7B" w:rsidRPr="00C94A7B" w:rsidRDefault="00C94A7B" w:rsidP="00C94A7B">
      <w:pPr>
        <w:pStyle w:val="ListParagraph"/>
        <w:numPr>
          <w:ilvl w:val="0"/>
          <w:numId w:val="1"/>
        </w:numPr>
        <w:spacing w:line="360" w:lineRule="auto"/>
      </w:pPr>
      <w:r w:rsidRPr="00C94A7B">
        <w:t xml:space="preserve">progressive disease patient No. P1, P8, P9, P14, P15 </w:t>
      </w:r>
    </w:p>
    <w:p w:rsidR="00C94A7B" w:rsidRPr="00C94A7B" w:rsidRDefault="00C94A7B">
      <w:pPr>
        <w:rPr>
          <w:lang w:val="en-US"/>
        </w:rPr>
      </w:pPr>
    </w:p>
    <w:sectPr w:rsidR="00C94A7B" w:rsidRPr="00C94A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7F2E76"/>
    <w:multiLevelType w:val="hybridMultilevel"/>
    <w:tmpl w:val="FB8E2D8A"/>
    <w:lvl w:ilvl="0" w:tplc="47AACF2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465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A7B"/>
    <w:rsid w:val="000D0225"/>
    <w:rsid w:val="00C9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DC2E6C"/>
  <w15:chartTrackingRefBased/>
  <w15:docId w15:val="{9800C994-A206-3D4E-A035-27EC600B1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4A7B"/>
    <w:pPr>
      <w:ind w:left="720"/>
      <w:contextualSpacing/>
    </w:pPr>
    <w:rPr>
      <w:rFonts w:ascii="Times New Roman" w:eastAsia="Times New Roman" w:hAnsi="Times New Roman" w:cs="Times New Roman"/>
      <w:kern w:val="0"/>
      <w:szCs w:val="24"/>
      <w:lang w:val="en-US" w:eastAsia="zh-CN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Narumol Trachu</dc:creator>
  <cp:keywords/>
  <dc:description/>
  <cp:lastModifiedBy>Narumol Trachu</cp:lastModifiedBy>
  <cp:revision>1</cp:revision>
  <dcterms:created xsi:type="dcterms:W3CDTF">2024-12-27T08:53:00Z</dcterms:created>
  <dcterms:modified xsi:type="dcterms:W3CDTF">2024-12-27T08:54:00Z</dcterms:modified>
</cp:coreProperties>
</file>