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9DB9" w14:textId="4B5926C8" w:rsidR="003B6034" w:rsidRDefault="001C7144" w:rsidP="003B6034">
      <w:pPr>
        <w:keepNext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2D07C30" wp14:editId="6524CC5D">
            <wp:extent cx="5274310" cy="6412230"/>
            <wp:effectExtent l="0" t="0" r="2540" b="7620"/>
            <wp:docPr id="5629990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1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1CF44" w14:textId="22BB0885" w:rsidR="003B6034" w:rsidRPr="007C6274" w:rsidRDefault="003B6034" w:rsidP="003B6034">
      <w:pPr>
        <w:pStyle w:val="ae"/>
        <w:spacing w:line="480" w:lineRule="auto"/>
        <w:rPr>
          <w:rFonts w:ascii="Arial" w:eastAsiaTheme="minorHAnsi" w:hAnsi="Arial" w:cs="Arial"/>
          <w:sz w:val="24"/>
          <w:szCs w:val="24"/>
        </w:rPr>
      </w:pPr>
      <w:r w:rsidRPr="006F16D9">
        <w:rPr>
          <w:rFonts w:ascii="Arial" w:eastAsiaTheme="minorHAnsi" w:hAnsi="Arial" w:cs="Arial" w:hint="eastAsia"/>
          <w:b/>
          <w:bCs/>
          <w:sz w:val="24"/>
          <w:szCs w:val="24"/>
        </w:rPr>
        <w:t>Additional file</w:t>
      </w:r>
      <w:r w:rsidR="005831A8" w:rsidRPr="006F16D9">
        <w:rPr>
          <w:rFonts w:ascii="Arial" w:eastAsiaTheme="minorHAnsi" w:hAnsi="Arial" w:cs="Arial" w:hint="eastAsia"/>
          <w:b/>
          <w:bCs/>
          <w:sz w:val="24"/>
          <w:szCs w:val="24"/>
        </w:rPr>
        <w:t xml:space="preserve"> 2</w:t>
      </w:r>
      <w:r w:rsidRPr="006F16D9">
        <w:rPr>
          <w:rFonts w:ascii="Arial" w:eastAsiaTheme="minorHAnsi" w:hAnsi="Arial" w:cs="Arial" w:hint="eastAsia"/>
          <w:b/>
          <w:bCs/>
          <w:sz w:val="24"/>
          <w:szCs w:val="24"/>
        </w:rPr>
        <w:t>:</w:t>
      </w:r>
      <w:r w:rsidR="006F16D9" w:rsidRPr="006F16D9">
        <w:rPr>
          <w:rFonts w:ascii="Arial" w:eastAsiaTheme="minorHAnsi" w:hAnsi="Arial" w:cs="Arial" w:hint="eastAsia"/>
          <w:b/>
          <w:bCs/>
          <w:sz w:val="24"/>
          <w:szCs w:val="24"/>
        </w:rPr>
        <w:t xml:space="preserve"> </w:t>
      </w:r>
      <w:r w:rsidR="006F16D9" w:rsidRPr="009A616F">
        <w:rPr>
          <w:rFonts w:ascii="Arial" w:eastAsiaTheme="minorHAnsi" w:hAnsi="Arial" w:cs="Arial"/>
          <w:b/>
          <w:bCs/>
          <w:sz w:val="24"/>
          <w:szCs w:val="24"/>
        </w:rPr>
        <w:t xml:space="preserve">Celastrol facilitates mitochondrial fission. (a, </w:t>
      </w:r>
      <w:r w:rsidR="006F16D9">
        <w:rPr>
          <w:rFonts w:ascii="Arial" w:eastAsiaTheme="minorHAnsi" w:hAnsi="Arial" w:cs="Arial" w:hint="eastAsia"/>
          <w:b/>
          <w:bCs/>
          <w:sz w:val="24"/>
          <w:szCs w:val="24"/>
        </w:rPr>
        <w:t>d</w:t>
      </w:r>
      <w:r w:rsidR="006F16D9" w:rsidRPr="009A616F">
        <w:rPr>
          <w:rFonts w:ascii="Arial" w:eastAsiaTheme="minorHAnsi" w:hAnsi="Arial" w:cs="Arial"/>
          <w:b/>
          <w:bCs/>
          <w:sz w:val="24"/>
          <w:szCs w:val="24"/>
        </w:rPr>
        <w:t>)</w:t>
      </w:r>
      <w:r w:rsidR="006F16D9" w:rsidRPr="009A616F">
        <w:rPr>
          <w:rFonts w:ascii="Arial" w:eastAsiaTheme="minorHAnsi" w:hAnsi="Arial" w:cs="Arial"/>
          <w:sz w:val="24"/>
          <w:szCs w:val="24"/>
        </w:rPr>
        <w:t xml:space="preserve"> </w:t>
      </w:r>
      <w:bookmarkStart w:id="0" w:name="OLE_LINK36"/>
      <w:r w:rsidR="006F16D9" w:rsidRPr="009A616F">
        <w:rPr>
          <w:rFonts w:ascii="Arial" w:eastAsiaTheme="minorHAnsi" w:hAnsi="Arial" w:cs="Arial"/>
          <w:sz w:val="24"/>
          <w:szCs w:val="24"/>
        </w:rPr>
        <w:t>Confocal micrographs of mitochondria in U</w:t>
      </w:r>
      <w:r w:rsidR="006F16D9">
        <w:rPr>
          <w:rFonts w:ascii="Arial" w:eastAsiaTheme="minorHAnsi" w:hAnsi="Arial" w:cs="Arial" w:hint="eastAsia"/>
          <w:sz w:val="24"/>
          <w:szCs w:val="24"/>
        </w:rPr>
        <w:t>87</w:t>
      </w:r>
      <w:r w:rsidR="00771B82">
        <w:rPr>
          <w:rFonts w:ascii="Arial" w:eastAsiaTheme="minorHAnsi" w:hAnsi="Arial" w:cs="Arial" w:hint="eastAsia"/>
          <w:sz w:val="24"/>
          <w:szCs w:val="24"/>
        </w:rPr>
        <w:t>-MG</w:t>
      </w:r>
      <w:r w:rsidR="006F16D9" w:rsidRPr="009A616F">
        <w:rPr>
          <w:rFonts w:ascii="Arial" w:eastAsiaTheme="minorHAnsi" w:hAnsi="Arial" w:cs="Arial"/>
          <w:sz w:val="24"/>
          <w:szCs w:val="24"/>
        </w:rPr>
        <w:t xml:space="preserve"> and LN229 cells exposed to Celastrol</w:t>
      </w:r>
      <w:r w:rsidR="00487917">
        <w:rPr>
          <w:rFonts w:ascii="Arial" w:eastAsiaTheme="minorHAnsi" w:hAnsi="Arial" w:cs="Arial" w:hint="eastAsia"/>
          <w:sz w:val="24"/>
          <w:szCs w:val="24"/>
        </w:rPr>
        <w:t xml:space="preserve"> for 24 hours and 8 hours, respectively</w:t>
      </w:r>
      <w:r w:rsidR="006F16D9" w:rsidRPr="009A616F">
        <w:rPr>
          <w:rFonts w:ascii="Arial" w:eastAsiaTheme="minorHAnsi" w:hAnsi="Arial" w:cs="Arial"/>
          <w:sz w:val="24"/>
          <w:szCs w:val="24"/>
        </w:rPr>
        <w:t>.</w:t>
      </w:r>
      <w:bookmarkEnd w:id="0"/>
      <w:r w:rsidR="006F16D9" w:rsidRPr="009A616F">
        <w:rPr>
          <w:rFonts w:ascii="Arial" w:eastAsiaTheme="minorHAnsi" w:hAnsi="Arial" w:cs="Arial"/>
          <w:sz w:val="24"/>
          <w:szCs w:val="24"/>
        </w:rPr>
        <w:t xml:space="preserve"> The micrographs represent n = 3 independent experiments. "Confocal" refers to the original confocal micrographs, while "Skeleton" denotes the corresponding mitochondrial skeleton graphs generated by </w:t>
      </w:r>
      <w:r w:rsidR="006F16D9">
        <w:rPr>
          <w:rFonts w:ascii="Arial" w:eastAsiaTheme="minorHAnsi" w:hAnsi="Arial" w:cs="Arial" w:hint="eastAsia"/>
          <w:sz w:val="24"/>
          <w:szCs w:val="24"/>
        </w:rPr>
        <w:t>Fiji</w:t>
      </w:r>
      <w:r w:rsidR="006F16D9" w:rsidRPr="009A616F">
        <w:rPr>
          <w:rFonts w:ascii="Arial" w:eastAsiaTheme="minorHAnsi" w:hAnsi="Arial" w:cs="Arial"/>
          <w:sz w:val="24"/>
          <w:szCs w:val="24"/>
        </w:rPr>
        <w:t xml:space="preserve">. The scale bar represents a length of 10 µm. </w:t>
      </w:r>
      <w:r w:rsidR="006F16D9" w:rsidRPr="009A616F">
        <w:rPr>
          <w:rFonts w:ascii="Arial" w:eastAsiaTheme="minorHAnsi" w:hAnsi="Arial" w:cs="Arial"/>
          <w:b/>
          <w:bCs/>
          <w:sz w:val="24"/>
          <w:szCs w:val="24"/>
        </w:rPr>
        <w:lastRenderedPageBreak/>
        <w:t>(</w:t>
      </w:r>
      <w:r w:rsidR="006F16D9">
        <w:rPr>
          <w:rFonts w:ascii="Arial" w:eastAsiaTheme="minorHAnsi" w:hAnsi="Arial" w:cs="Arial" w:hint="eastAsia"/>
          <w:b/>
          <w:bCs/>
          <w:sz w:val="24"/>
          <w:szCs w:val="24"/>
        </w:rPr>
        <w:t>b, c</w:t>
      </w:r>
      <w:r w:rsidR="006F16D9" w:rsidRPr="009A616F">
        <w:rPr>
          <w:rFonts w:ascii="Arial" w:eastAsiaTheme="minorHAnsi" w:hAnsi="Arial" w:cs="Arial"/>
          <w:b/>
          <w:bCs/>
          <w:sz w:val="24"/>
          <w:szCs w:val="24"/>
        </w:rPr>
        <w:t xml:space="preserve">, </w:t>
      </w:r>
      <w:r w:rsidR="006F16D9">
        <w:rPr>
          <w:rFonts w:ascii="Arial" w:eastAsiaTheme="minorHAnsi" w:hAnsi="Arial" w:cs="Arial" w:hint="eastAsia"/>
          <w:b/>
          <w:bCs/>
          <w:sz w:val="24"/>
          <w:szCs w:val="24"/>
        </w:rPr>
        <w:t>e</w:t>
      </w:r>
      <w:r w:rsidR="006F16D9" w:rsidRPr="009A616F">
        <w:rPr>
          <w:rFonts w:ascii="Arial" w:eastAsiaTheme="minorHAnsi" w:hAnsi="Arial" w:cs="Arial"/>
          <w:b/>
          <w:bCs/>
          <w:sz w:val="24"/>
          <w:szCs w:val="24"/>
        </w:rPr>
        <w:t xml:space="preserve">, </w:t>
      </w:r>
      <w:r w:rsidR="006F16D9">
        <w:rPr>
          <w:rFonts w:ascii="Arial" w:eastAsiaTheme="minorHAnsi" w:hAnsi="Arial" w:cs="Arial" w:hint="eastAsia"/>
          <w:b/>
          <w:bCs/>
          <w:sz w:val="24"/>
          <w:szCs w:val="24"/>
        </w:rPr>
        <w:t>f</w:t>
      </w:r>
      <w:r w:rsidR="006F16D9" w:rsidRPr="009A616F">
        <w:rPr>
          <w:rFonts w:ascii="Arial" w:eastAsiaTheme="minorHAnsi" w:hAnsi="Arial" w:cs="Arial"/>
          <w:b/>
          <w:bCs/>
          <w:sz w:val="24"/>
          <w:szCs w:val="24"/>
        </w:rPr>
        <w:t>)</w:t>
      </w:r>
      <w:r w:rsidR="006F16D9" w:rsidRPr="009A616F">
        <w:rPr>
          <w:rFonts w:ascii="Arial" w:eastAsiaTheme="minorHAnsi" w:hAnsi="Arial" w:cs="Arial"/>
          <w:sz w:val="24"/>
          <w:szCs w:val="24"/>
        </w:rPr>
        <w:t xml:space="preserve"> Quantification of mean mitochondrial length and mean mitochondrial area in </w:t>
      </w:r>
      <w:r w:rsidR="00487917" w:rsidRPr="009A616F">
        <w:rPr>
          <w:rFonts w:ascii="Arial" w:eastAsiaTheme="minorHAnsi" w:hAnsi="Arial" w:cs="Arial"/>
          <w:sz w:val="24"/>
          <w:szCs w:val="24"/>
        </w:rPr>
        <w:t>U</w:t>
      </w:r>
      <w:r w:rsidR="00487917">
        <w:rPr>
          <w:rFonts w:ascii="Arial" w:eastAsiaTheme="minorHAnsi" w:hAnsi="Arial" w:cs="Arial" w:hint="eastAsia"/>
          <w:sz w:val="24"/>
          <w:szCs w:val="24"/>
        </w:rPr>
        <w:t>87-MG</w:t>
      </w:r>
      <w:r w:rsidR="006F16D9" w:rsidRPr="009A616F">
        <w:rPr>
          <w:rFonts w:ascii="Arial" w:eastAsiaTheme="minorHAnsi" w:hAnsi="Arial" w:cs="Arial"/>
          <w:sz w:val="24"/>
          <w:szCs w:val="24"/>
        </w:rPr>
        <w:t xml:space="preserve"> and LN229 cells exposed to Celastrol. Data are expressed as mean ± SEM from three independent biological replicates, with statistical analysis performed using one-way ANOVA. </w:t>
      </w:r>
      <w:r w:rsidR="006F16D9" w:rsidRPr="009A616F">
        <w:rPr>
          <w:rFonts w:ascii="Arial" w:eastAsiaTheme="minorHAnsi" w:hAnsi="Arial" w:cs="Arial"/>
          <w:sz w:val="24"/>
          <w:szCs w:val="24"/>
          <w:vertAlign w:val="superscript"/>
        </w:rPr>
        <w:t>*</w:t>
      </w:r>
      <w:r w:rsidR="006F16D9" w:rsidRPr="009A616F">
        <w:rPr>
          <w:rFonts w:ascii="Arial" w:eastAsiaTheme="minorHAnsi" w:hAnsi="Arial" w:cs="Arial"/>
          <w:i/>
          <w:iCs/>
          <w:sz w:val="24"/>
          <w:szCs w:val="24"/>
        </w:rPr>
        <w:t xml:space="preserve">p </w:t>
      </w:r>
      <w:r w:rsidR="006F16D9" w:rsidRPr="009A616F">
        <w:rPr>
          <w:rFonts w:ascii="Arial" w:eastAsiaTheme="minorHAnsi" w:hAnsi="Arial" w:cs="Arial"/>
          <w:sz w:val="24"/>
          <w:szCs w:val="24"/>
        </w:rPr>
        <w:t xml:space="preserve">&lt; 0.05, </w:t>
      </w:r>
      <w:r w:rsidR="006F16D9" w:rsidRPr="009A616F">
        <w:rPr>
          <w:rFonts w:ascii="Arial" w:eastAsiaTheme="minorHAnsi" w:hAnsi="Arial" w:cs="Arial"/>
          <w:sz w:val="24"/>
          <w:szCs w:val="24"/>
          <w:vertAlign w:val="superscript"/>
        </w:rPr>
        <w:t>**</w:t>
      </w:r>
      <w:r w:rsidR="006F16D9" w:rsidRPr="009A616F">
        <w:rPr>
          <w:rFonts w:ascii="Arial" w:eastAsiaTheme="minorHAnsi" w:hAnsi="Arial" w:cs="Arial"/>
          <w:i/>
          <w:iCs/>
          <w:sz w:val="24"/>
          <w:szCs w:val="24"/>
        </w:rPr>
        <w:t xml:space="preserve">p </w:t>
      </w:r>
      <w:r w:rsidR="006F16D9" w:rsidRPr="009A616F">
        <w:rPr>
          <w:rFonts w:ascii="Arial" w:eastAsiaTheme="minorHAnsi" w:hAnsi="Arial" w:cs="Arial"/>
          <w:sz w:val="24"/>
          <w:szCs w:val="24"/>
        </w:rPr>
        <w:t>&lt; 0.01</w:t>
      </w:r>
      <w:r w:rsidR="006F16D9">
        <w:rPr>
          <w:rFonts w:ascii="Arial" w:eastAsiaTheme="minorHAnsi" w:hAnsi="Arial" w:cs="Arial" w:hint="eastAsia"/>
          <w:sz w:val="24"/>
          <w:szCs w:val="24"/>
        </w:rPr>
        <w:t>,</w:t>
      </w:r>
      <w:r w:rsidR="00F16A42" w:rsidRPr="00F16A42">
        <w:rPr>
          <w:rFonts w:ascii="Arial" w:eastAsiaTheme="minorHAnsi" w:hAnsi="Arial" w:cs="Arial"/>
          <w:sz w:val="24"/>
          <w:szCs w:val="24"/>
        </w:rPr>
        <w:t xml:space="preserve"> </w:t>
      </w:r>
      <w:r w:rsidR="00F16A42" w:rsidRPr="0047558F">
        <w:rPr>
          <w:rFonts w:ascii="Arial" w:eastAsiaTheme="minorHAnsi" w:hAnsi="Arial" w:cs="Arial"/>
          <w:bCs/>
          <w:sz w:val="24"/>
          <w:szCs w:val="24"/>
          <w:vertAlign w:val="superscript"/>
        </w:rPr>
        <w:t>***</w:t>
      </w:r>
      <w:r w:rsidR="00F16A42" w:rsidRPr="006F5D3E">
        <w:rPr>
          <w:rFonts w:ascii="Arial" w:eastAsiaTheme="minorHAnsi" w:hAnsi="Arial" w:cs="Arial"/>
          <w:i/>
          <w:iCs/>
          <w:sz w:val="24"/>
          <w:szCs w:val="24"/>
        </w:rPr>
        <w:t>p</w:t>
      </w:r>
      <w:r w:rsidR="00F16A42" w:rsidRPr="006F5D3E">
        <w:rPr>
          <w:rFonts w:ascii="Arial" w:eastAsiaTheme="minorHAnsi" w:hAnsi="Arial" w:cs="Arial"/>
          <w:sz w:val="24"/>
          <w:szCs w:val="24"/>
        </w:rPr>
        <w:t xml:space="preserve"> &lt; 0.001</w:t>
      </w:r>
      <w:r w:rsidR="00F16A42">
        <w:rPr>
          <w:rFonts w:ascii="Arial" w:eastAsiaTheme="minorHAnsi" w:hAnsi="Arial" w:cs="Arial" w:hint="eastAsia"/>
          <w:sz w:val="24"/>
          <w:szCs w:val="24"/>
        </w:rPr>
        <w:t>,</w:t>
      </w:r>
      <w:r w:rsidR="006F16D9" w:rsidRPr="006F16D9">
        <w:rPr>
          <w:rFonts w:ascii="Arial" w:eastAsiaTheme="minorHAnsi" w:hAnsi="Arial" w:cs="Arial"/>
          <w:bCs/>
          <w:sz w:val="24"/>
          <w:szCs w:val="24"/>
          <w:vertAlign w:val="superscript"/>
        </w:rPr>
        <w:t xml:space="preserve"> </w:t>
      </w:r>
      <w:r w:rsidR="006F16D9" w:rsidRPr="009A616F">
        <w:rPr>
          <w:rFonts w:ascii="Arial" w:eastAsiaTheme="minorHAnsi" w:hAnsi="Arial" w:cs="Arial"/>
          <w:bCs/>
          <w:sz w:val="24"/>
          <w:szCs w:val="24"/>
          <w:vertAlign w:val="superscript"/>
        </w:rPr>
        <w:t>****</w:t>
      </w:r>
      <w:r w:rsidR="006F16D9" w:rsidRPr="009A616F">
        <w:rPr>
          <w:rFonts w:ascii="Arial" w:eastAsiaTheme="minorHAnsi" w:hAnsi="Arial" w:cs="Arial"/>
          <w:bCs/>
          <w:i/>
          <w:iCs/>
          <w:sz w:val="24"/>
          <w:szCs w:val="24"/>
        </w:rPr>
        <w:t>p</w:t>
      </w:r>
      <w:r w:rsidR="006F16D9" w:rsidRPr="009A616F">
        <w:rPr>
          <w:rFonts w:ascii="Arial" w:eastAsiaTheme="minorHAnsi" w:hAnsi="Arial" w:cs="Arial"/>
          <w:bCs/>
          <w:sz w:val="24"/>
          <w:szCs w:val="24"/>
        </w:rPr>
        <w:t xml:space="preserve"> &lt; 0.0001, </w:t>
      </w:r>
      <w:r w:rsidR="006F16D9" w:rsidRPr="009A616F">
        <w:rPr>
          <w:rFonts w:ascii="Arial" w:eastAsiaTheme="minorHAnsi" w:hAnsi="Arial" w:cs="Arial"/>
          <w:bCs/>
          <w:sz w:val="24"/>
          <w:szCs w:val="24"/>
          <w:vertAlign w:val="superscript"/>
        </w:rPr>
        <w:t>n.s</w:t>
      </w:r>
      <w:r w:rsidR="006F16D9" w:rsidRPr="009A616F">
        <w:rPr>
          <w:rFonts w:ascii="Arial" w:eastAsiaTheme="minorHAnsi" w:hAnsi="Arial" w:cs="Arial"/>
          <w:bCs/>
          <w:i/>
          <w:iCs/>
          <w:sz w:val="24"/>
          <w:szCs w:val="24"/>
        </w:rPr>
        <w:t xml:space="preserve">p </w:t>
      </w:r>
      <w:r w:rsidR="006F16D9" w:rsidRPr="009A616F">
        <w:rPr>
          <w:rFonts w:ascii="Arial" w:eastAsiaTheme="minorHAnsi" w:hAnsi="Arial" w:cs="Arial"/>
          <w:bCs/>
          <w:sz w:val="24"/>
          <w:szCs w:val="24"/>
        </w:rPr>
        <w:t>＞</w:t>
      </w:r>
      <w:r w:rsidR="006F16D9" w:rsidRPr="009A616F">
        <w:rPr>
          <w:rFonts w:ascii="Arial" w:eastAsiaTheme="minorHAnsi" w:hAnsi="Arial" w:cs="Arial"/>
          <w:bCs/>
          <w:sz w:val="24"/>
          <w:szCs w:val="24"/>
        </w:rPr>
        <w:t xml:space="preserve"> 0.05</w:t>
      </w:r>
      <w:r w:rsidR="006F16D9" w:rsidRPr="009A616F">
        <w:rPr>
          <w:rFonts w:ascii="Arial" w:eastAsiaTheme="minorHAnsi" w:hAnsi="Arial" w:cs="Arial"/>
          <w:sz w:val="24"/>
          <w:szCs w:val="24"/>
        </w:rPr>
        <w:t xml:space="preserve">. </w:t>
      </w:r>
      <w:r w:rsidR="00F16A42" w:rsidRPr="009A616F">
        <w:rPr>
          <w:rFonts w:ascii="Arial" w:eastAsiaTheme="minorHAnsi" w:hAnsi="Arial" w:cs="Arial"/>
          <w:b/>
          <w:bCs/>
          <w:sz w:val="24"/>
          <w:szCs w:val="24"/>
        </w:rPr>
        <w:t>(</w:t>
      </w:r>
      <w:r w:rsidR="00572510">
        <w:rPr>
          <w:rFonts w:ascii="Arial" w:eastAsiaTheme="minorHAnsi" w:hAnsi="Arial" w:cs="Arial" w:hint="eastAsia"/>
          <w:b/>
          <w:bCs/>
          <w:sz w:val="24"/>
          <w:szCs w:val="24"/>
        </w:rPr>
        <w:t>g, i</w:t>
      </w:r>
      <w:r w:rsidR="00F16A42" w:rsidRPr="009A616F">
        <w:rPr>
          <w:rFonts w:ascii="Arial" w:eastAsiaTheme="minorHAnsi" w:hAnsi="Arial" w:cs="Arial"/>
          <w:b/>
          <w:bCs/>
          <w:sz w:val="24"/>
          <w:szCs w:val="24"/>
        </w:rPr>
        <w:t xml:space="preserve">) </w:t>
      </w:r>
      <w:r w:rsidR="00F16A42" w:rsidRPr="009A616F">
        <w:rPr>
          <w:rFonts w:ascii="Arial" w:eastAsiaTheme="minorHAnsi" w:hAnsi="Arial" w:cs="Arial"/>
          <w:sz w:val="24"/>
          <w:szCs w:val="24"/>
        </w:rPr>
        <w:t xml:space="preserve">Representative graphs of </w:t>
      </w:r>
      <w:bookmarkStart w:id="1" w:name="_Hlk184761769"/>
      <w:r w:rsidR="00F16A42" w:rsidRPr="009A616F">
        <w:rPr>
          <w:rFonts w:ascii="Arial" w:eastAsiaTheme="minorHAnsi" w:hAnsi="Arial" w:cs="Arial"/>
          <w:sz w:val="24"/>
          <w:szCs w:val="24"/>
        </w:rPr>
        <w:t>colony formation assay</w:t>
      </w:r>
      <w:bookmarkEnd w:id="1"/>
      <w:r w:rsidR="00F16A42" w:rsidRPr="009A616F">
        <w:rPr>
          <w:rFonts w:ascii="Arial" w:eastAsiaTheme="minorHAnsi" w:hAnsi="Arial" w:cs="Arial"/>
          <w:sz w:val="24"/>
          <w:szCs w:val="24"/>
        </w:rPr>
        <w:t xml:space="preserve"> of </w:t>
      </w:r>
      <w:r w:rsidR="00572510">
        <w:rPr>
          <w:rFonts w:ascii="Arial" w:eastAsiaTheme="minorHAnsi" w:hAnsi="Arial" w:cs="Arial" w:hint="eastAsia"/>
          <w:sz w:val="24"/>
          <w:szCs w:val="24"/>
        </w:rPr>
        <w:t>LN229</w:t>
      </w:r>
      <w:r w:rsidR="00F16A42" w:rsidRPr="009A616F">
        <w:rPr>
          <w:rFonts w:ascii="Arial" w:eastAsiaTheme="minorHAnsi" w:hAnsi="Arial" w:cs="Arial"/>
          <w:sz w:val="24"/>
          <w:szCs w:val="24"/>
        </w:rPr>
        <w:t xml:space="preserve"> treated with Celastrol (</w:t>
      </w:r>
      <w:r w:rsidR="00572510">
        <w:rPr>
          <w:rFonts w:ascii="Arial" w:eastAsiaTheme="minorHAnsi" w:hAnsi="Arial" w:cs="Arial" w:hint="eastAsia"/>
          <w:sz w:val="24"/>
          <w:szCs w:val="24"/>
        </w:rPr>
        <w:t>1.</w:t>
      </w:r>
      <w:r w:rsidR="00F16A42" w:rsidRPr="009A616F">
        <w:rPr>
          <w:rFonts w:ascii="Arial" w:eastAsiaTheme="minorHAnsi" w:hAnsi="Arial" w:cs="Arial"/>
          <w:sz w:val="24"/>
          <w:szCs w:val="24"/>
        </w:rPr>
        <w:t>0 µM, 1</w:t>
      </w:r>
      <w:r w:rsidR="00572510">
        <w:rPr>
          <w:rFonts w:ascii="Arial" w:eastAsiaTheme="minorHAnsi" w:hAnsi="Arial" w:cs="Arial" w:hint="eastAsia"/>
          <w:sz w:val="24"/>
          <w:szCs w:val="24"/>
        </w:rPr>
        <w:t>.5</w:t>
      </w:r>
      <w:r w:rsidR="00F16A42" w:rsidRPr="009A616F">
        <w:rPr>
          <w:rFonts w:ascii="Arial" w:eastAsiaTheme="minorHAnsi" w:hAnsi="Arial" w:cs="Arial"/>
          <w:sz w:val="24"/>
          <w:szCs w:val="24"/>
        </w:rPr>
        <w:t xml:space="preserve"> µM, 8 hours). The scale bar represents a length of 10 mm. </w:t>
      </w:r>
      <w:r w:rsidR="00F16A42" w:rsidRPr="009A616F">
        <w:rPr>
          <w:rFonts w:ascii="Arial" w:eastAsiaTheme="minorHAnsi" w:hAnsi="Arial" w:cs="Arial"/>
          <w:b/>
          <w:bCs/>
          <w:sz w:val="24"/>
          <w:szCs w:val="24"/>
        </w:rPr>
        <w:t>(</w:t>
      </w:r>
      <w:r w:rsidR="00572510">
        <w:rPr>
          <w:rFonts w:ascii="Arial" w:eastAsiaTheme="minorHAnsi" w:hAnsi="Arial" w:cs="Arial" w:hint="eastAsia"/>
          <w:b/>
          <w:bCs/>
          <w:sz w:val="24"/>
          <w:szCs w:val="24"/>
        </w:rPr>
        <w:t>h, j</w:t>
      </w:r>
      <w:r w:rsidR="00F16A42" w:rsidRPr="009A616F">
        <w:rPr>
          <w:rFonts w:ascii="Arial" w:eastAsiaTheme="minorHAnsi" w:hAnsi="Arial" w:cs="Arial"/>
          <w:b/>
          <w:bCs/>
          <w:sz w:val="24"/>
          <w:szCs w:val="24"/>
        </w:rPr>
        <w:t xml:space="preserve">) </w:t>
      </w:r>
      <w:r w:rsidR="00F16A42" w:rsidRPr="009A616F">
        <w:rPr>
          <w:rFonts w:ascii="Arial" w:eastAsiaTheme="minorHAnsi" w:hAnsi="Arial" w:cs="Arial"/>
          <w:sz w:val="24"/>
          <w:szCs w:val="24"/>
        </w:rPr>
        <w:t xml:space="preserve">Quantification of colony formation assay of </w:t>
      </w:r>
      <w:r w:rsidR="00572510">
        <w:rPr>
          <w:rFonts w:ascii="Arial" w:eastAsiaTheme="minorHAnsi" w:hAnsi="Arial" w:cs="Arial" w:hint="eastAsia"/>
          <w:sz w:val="24"/>
          <w:szCs w:val="24"/>
        </w:rPr>
        <w:t>LN229</w:t>
      </w:r>
      <w:r w:rsidR="00F16A42" w:rsidRPr="009A616F">
        <w:rPr>
          <w:rFonts w:ascii="Arial" w:eastAsiaTheme="minorHAnsi" w:hAnsi="Arial" w:cs="Arial"/>
          <w:sz w:val="24"/>
          <w:szCs w:val="24"/>
        </w:rPr>
        <w:t xml:space="preserve">. Data are mean ± SEM. A two-tailed independent-sample t-test was employed. </w:t>
      </w:r>
      <w:r w:rsidR="00F16A42" w:rsidRPr="009A616F">
        <w:rPr>
          <w:rFonts w:ascii="Arial" w:eastAsiaTheme="minorHAnsi" w:hAnsi="Arial" w:cs="Arial"/>
          <w:sz w:val="24"/>
          <w:szCs w:val="24"/>
          <w:vertAlign w:val="superscript"/>
        </w:rPr>
        <w:t>*</w:t>
      </w:r>
      <w:r w:rsidR="00F16A42" w:rsidRPr="009A616F">
        <w:rPr>
          <w:rFonts w:ascii="Arial" w:eastAsiaTheme="minorHAnsi" w:hAnsi="Arial" w:cs="Arial"/>
          <w:i/>
          <w:iCs/>
          <w:sz w:val="24"/>
          <w:szCs w:val="24"/>
        </w:rPr>
        <w:t>p</w:t>
      </w:r>
      <w:r w:rsidR="00F16A42" w:rsidRPr="009A616F">
        <w:rPr>
          <w:rFonts w:ascii="Arial" w:eastAsiaTheme="minorHAnsi" w:hAnsi="Arial" w:cs="Arial"/>
          <w:sz w:val="24"/>
          <w:szCs w:val="24"/>
        </w:rPr>
        <w:t xml:space="preserve"> &lt; 0.05.</w:t>
      </w:r>
      <w:r w:rsidR="00572510">
        <w:rPr>
          <w:rFonts w:ascii="Arial" w:eastAsiaTheme="minorHAnsi" w:hAnsi="Arial" w:cs="Arial" w:hint="eastAsia"/>
          <w:sz w:val="24"/>
          <w:szCs w:val="24"/>
        </w:rPr>
        <w:t xml:space="preserve"> </w:t>
      </w:r>
      <w:r w:rsidR="006F16D9" w:rsidRPr="009A616F">
        <w:rPr>
          <w:rFonts w:ascii="Arial" w:eastAsiaTheme="minorHAnsi" w:hAnsi="Arial" w:cs="Arial"/>
          <w:sz w:val="24"/>
          <w:szCs w:val="24"/>
        </w:rPr>
        <w:t>Abbreviation: Cela = Celastrol.</w:t>
      </w:r>
    </w:p>
    <w:sectPr w:rsidR="003B6034" w:rsidRPr="007C6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49556" w14:textId="77777777" w:rsidR="00343E5A" w:rsidRDefault="00343E5A" w:rsidP="005831A8">
      <w:pPr>
        <w:rPr>
          <w:rFonts w:hint="eastAsia"/>
        </w:rPr>
      </w:pPr>
      <w:r>
        <w:separator/>
      </w:r>
    </w:p>
  </w:endnote>
  <w:endnote w:type="continuationSeparator" w:id="0">
    <w:p w14:paraId="12FF8047" w14:textId="77777777" w:rsidR="00343E5A" w:rsidRDefault="00343E5A" w:rsidP="005831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24E3" w14:textId="77777777" w:rsidR="00343E5A" w:rsidRDefault="00343E5A" w:rsidP="005831A8">
      <w:pPr>
        <w:rPr>
          <w:rFonts w:hint="eastAsia"/>
        </w:rPr>
      </w:pPr>
      <w:r>
        <w:separator/>
      </w:r>
    </w:p>
  </w:footnote>
  <w:footnote w:type="continuationSeparator" w:id="0">
    <w:p w14:paraId="4801B8BD" w14:textId="77777777" w:rsidR="00343E5A" w:rsidRDefault="00343E5A" w:rsidP="005831A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34"/>
    <w:rsid w:val="0008336A"/>
    <w:rsid w:val="000E3A2B"/>
    <w:rsid w:val="00110332"/>
    <w:rsid w:val="001A2DB2"/>
    <w:rsid w:val="001C7144"/>
    <w:rsid w:val="00251F6B"/>
    <w:rsid w:val="00343E5A"/>
    <w:rsid w:val="00375B9E"/>
    <w:rsid w:val="003B6034"/>
    <w:rsid w:val="003C5004"/>
    <w:rsid w:val="004054B9"/>
    <w:rsid w:val="0047558F"/>
    <w:rsid w:val="00481B05"/>
    <w:rsid w:val="00487917"/>
    <w:rsid w:val="004C590A"/>
    <w:rsid w:val="00572510"/>
    <w:rsid w:val="005831A8"/>
    <w:rsid w:val="006F16D9"/>
    <w:rsid w:val="00745AB7"/>
    <w:rsid w:val="00771B82"/>
    <w:rsid w:val="007B0809"/>
    <w:rsid w:val="007B5541"/>
    <w:rsid w:val="00817A87"/>
    <w:rsid w:val="00922373"/>
    <w:rsid w:val="00955926"/>
    <w:rsid w:val="009A2332"/>
    <w:rsid w:val="00A14709"/>
    <w:rsid w:val="00AC5954"/>
    <w:rsid w:val="00B51AF2"/>
    <w:rsid w:val="00B60CE2"/>
    <w:rsid w:val="00BF4145"/>
    <w:rsid w:val="00C07862"/>
    <w:rsid w:val="00E658ED"/>
    <w:rsid w:val="00EA0543"/>
    <w:rsid w:val="00F1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B08E6"/>
  <w15:chartTrackingRefBased/>
  <w15:docId w15:val="{8C9E55F7-22CB-4321-A080-D4101827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0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0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03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03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03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0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03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03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03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6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6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603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603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B603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60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60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60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60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6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603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60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60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60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60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603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6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603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6034"/>
    <w:rPr>
      <w:b/>
      <w:bCs/>
      <w:smallCaps/>
      <w:color w:val="2F5496" w:themeColor="accent1" w:themeShade="BF"/>
      <w:spacing w:val="5"/>
    </w:rPr>
  </w:style>
  <w:style w:type="paragraph" w:styleId="ae">
    <w:name w:val="caption"/>
    <w:basedOn w:val="a"/>
    <w:next w:val="a"/>
    <w:link w:val="af"/>
    <w:uiPriority w:val="35"/>
    <w:unhideWhenUsed/>
    <w:qFormat/>
    <w:rsid w:val="003B6034"/>
    <w:rPr>
      <w:rFonts w:asciiTheme="majorHAnsi" w:eastAsia="黑体" w:hAnsiTheme="majorHAnsi" w:cstheme="majorBidi"/>
      <w:sz w:val="20"/>
      <w:szCs w:val="20"/>
    </w:rPr>
  </w:style>
  <w:style w:type="character" w:customStyle="1" w:styleId="af">
    <w:name w:val="题注 字符"/>
    <w:basedOn w:val="a0"/>
    <w:link w:val="ae"/>
    <w:uiPriority w:val="35"/>
    <w:rsid w:val="003B6034"/>
    <w:rPr>
      <w:rFonts w:asciiTheme="majorHAnsi" w:eastAsia="黑体" w:hAnsiTheme="majorHAnsi" w:cstheme="majorBidi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5831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5831A8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583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5831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3C452-3536-4545-B1F9-896261FFE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liang</dc:creator>
  <cp:keywords/>
  <dc:description/>
  <cp:lastModifiedBy>lei liang</cp:lastModifiedBy>
  <cp:revision>11</cp:revision>
  <dcterms:created xsi:type="dcterms:W3CDTF">2025-01-13T09:45:00Z</dcterms:created>
  <dcterms:modified xsi:type="dcterms:W3CDTF">2025-02-04T04:41:00Z</dcterms:modified>
</cp:coreProperties>
</file>