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818F0">
      <w:pPr>
        <w:spacing w:line="360" w:lineRule="auto"/>
        <w:rPr>
          <w:rFonts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2245" cy="3891280"/>
            <wp:effectExtent l="0" t="0" r="508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EA0DD">
      <w:pPr>
        <w:spacing w:line="360" w:lineRule="auto"/>
        <w:rPr>
          <w:rFonts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Supplementary Fig1.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</w:t>
      </w:r>
      <w:r>
        <w:rPr>
          <w:rFonts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epresentative melting curves 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of </w:t>
      </w:r>
      <w:r>
        <w:rPr>
          <w:rFonts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BRAF V600E and TERT promoter mutation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</w:p>
    <w:p w14:paraId="6A9E3B7D">
      <w:pPr>
        <w:autoSpaceDE w:val="0"/>
        <w:autoSpaceDN w:val="0"/>
        <w:adjustRightIn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A-B)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DNA from FNA patients were collected, followed by ARMS-PCR assay. Representative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melting curves of BRAF V600E and TERT promoter mutation were indicated.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Fluorescent signals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FAM and HEX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) we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re collected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and internal or 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external controls 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were indicated as blue HEX or green HEX, 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respectively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 FAM，</w:t>
      </w:r>
      <w:r>
        <w:rPr>
          <w:rFonts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TERT promoter mutation</w:t>
      </w:r>
      <w:r>
        <w:rPr>
          <w:rFonts w:hint="eastAsia" w:ascii="Times New Roman" w:hAnsi="Times New Roman" w:eastAsia="Janson Text LT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 C-D) BRAF V600E of mutated (C) or wildtype (D) was indicated.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0E5DCDB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Janson Text LT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yNjRiOGVjNGQ4OGM0YzEzYzQ1MWZkNTM4MWNiNmEifQ=="/>
  </w:docVars>
  <w:rsids>
    <w:rsidRoot w:val="00000000"/>
    <w:rsid w:val="038E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2024-10-16T12:41:55Z</dcterms:created>
  <dc:creator>ABC</dc:creator>
  <cp:lastModifiedBy>嘎吱哇哦</cp:lastModifiedBy>
  <dcterms:modified xsi:type="dcterms:W3CDTF">2024-10-16T12:42:28Z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187D899F16A446A2BEBFDC63A5877053_12</vt:lpwstr>
  </property>
</Properties>
</file>