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Material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hint="eastAsia"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1. Patients characteristics at baseline (n=181)</w:t>
      </w:r>
      <w:r>
        <w:rPr>
          <w:rFonts w:hint="eastAsia" w:ascii="Times New Roman" w:hAnsi="Times New Roman" w:cs="Times New Roman"/>
          <w:b/>
          <w:sz w:val="24"/>
          <w:szCs w:val="24"/>
        </w:rPr>
        <w:t>.</w:t>
      </w:r>
    </w:p>
    <w:p>
      <w:pPr>
        <w:jc w:val="left"/>
        <w:rPr>
          <w:rFonts w:ascii="Times New Roman" w:hAnsi="Times New Roman" w:eastAsia="宋体"/>
          <w:b/>
          <w:sz w:val="24"/>
          <w:szCs w:val="24"/>
        </w:rPr>
      </w:pPr>
      <w:r>
        <w:rPr>
          <w:rFonts w:hint="eastAsia" w:ascii="Times New Roman" w:hAnsi="Times New Roman" w:eastAsia="宋体"/>
          <w:b/>
          <w:sz w:val="24"/>
          <w:szCs w:val="24"/>
        </w:rPr>
        <w:t>T</w:t>
      </w:r>
      <w:r>
        <w:rPr>
          <w:rFonts w:ascii="Times New Roman" w:hAnsi="Times New Roman" w:eastAsia="宋体"/>
          <w:b/>
          <w:sz w:val="24"/>
          <w:szCs w:val="24"/>
        </w:rPr>
        <w:t xml:space="preserve">able </w:t>
      </w:r>
      <w:r>
        <w:rPr>
          <w:rFonts w:hint="eastAsia" w:ascii="Times New Roman" w:hAnsi="Times New Roman" w:eastAsia="宋体"/>
          <w:b/>
          <w:sz w:val="24"/>
          <w:szCs w:val="24"/>
        </w:rPr>
        <w:t>S</w:t>
      </w:r>
      <w:r>
        <w:rPr>
          <w:rFonts w:ascii="Times New Roman" w:hAnsi="Times New Roman" w:eastAsia="宋体"/>
          <w:b/>
          <w:sz w:val="24"/>
          <w:szCs w:val="24"/>
        </w:rPr>
        <w:t xml:space="preserve">2. The </w:t>
      </w:r>
      <w:r>
        <w:rPr>
          <w:rFonts w:hint="eastAsia" w:ascii="Times New Roman" w:hAnsi="Times New Roman" w:eastAsia="宋体"/>
          <w:b/>
          <w:sz w:val="24"/>
          <w:szCs w:val="24"/>
        </w:rPr>
        <w:t>relationship</w:t>
      </w:r>
      <w:r>
        <w:rPr>
          <w:rFonts w:ascii="Times New Roman" w:hAnsi="Times New Roman" w:eastAsia="宋体"/>
          <w:b/>
          <w:sz w:val="24"/>
          <w:szCs w:val="24"/>
        </w:rPr>
        <w:t xml:space="preserve"> </w:t>
      </w:r>
      <w:r>
        <w:rPr>
          <w:rFonts w:hint="eastAsia" w:ascii="Times New Roman" w:hAnsi="Times New Roman" w:eastAsia="宋体"/>
          <w:b/>
          <w:sz w:val="24"/>
          <w:szCs w:val="24"/>
        </w:rPr>
        <w:t>between</w:t>
      </w:r>
      <w:r>
        <w:rPr>
          <w:rFonts w:ascii="Times New Roman" w:hAnsi="Times New Roman" w:eastAsia="宋体"/>
          <w:b/>
          <w:sz w:val="24"/>
          <w:szCs w:val="24"/>
        </w:rPr>
        <w:t xml:space="preserve"> HPV integration status and CIN2</w:t>
      </w:r>
      <w:r>
        <w:rPr>
          <w:rFonts w:hint="eastAsia" w:ascii="Times New Roman" w:hAnsi="Times New Roman" w:eastAsia="宋体"/>
          <w:b/>
          <w:sz w:val="24"/>
          <w:szCs w:val="24"/>
        </w:rPr>
        <w:t>+</w:t>
      </w:r>
      <w:r>
        <w:rPr>
          <w:rFonts w:ascii="Times New Roman" w:hAnsi="Times New Roman" w:eastAsia="宋体"/>
          <w:b/>
          <w:sz w:val="24"/>
          <w:szCs w:val="24"/>
        </w:rPr>
        <w:t xml:space="preserve"> progression</w:t>
      </w:r>
      <w:r>
        <w:rPr>
          <w:rFonts w:hint="eastAsia" w:ascii="Times New Roman" w:hAnsi="Times New Roman" w:eastAsia="宋体"/>
          <w:b/>
          <w:sz w:val="24"/>
          <w:szCs w:val="24"/>
        </w:rPr>
        <w:t>.</w:t>
      </w:r>
    </w:p>
    <w:p>
      <w:pPr>
        <w:widowControl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0"/>
          <w:szCs w:val="20"/>
        </w:rPr>
      </w:pPr>
      <w:r>
        <w:rPr>
          <w:rFonts w:hint="eastAsia" w:ascii="Times New Roman" w:hAnsi="Times New Roman" w:eastAsia="宋体"/>
          <w:b/>
          <w:sz w:val="24"/>
          <w:szCs w:val="24"/>
        </w:rPr>
        <w:t>T</w:t>
      </w:r>
      <w:r>
        <w:rPr>
          <w:rFonts w:ascii="Times New Roman" w:hAnsi="Times New Roman" w:eastAsia="宋体"/>
          <w:b/>
          <w:sz w:val="24"/>
          <w:szCs w:val="24"/>
        </w:rPr>
        <w:t xml:space="preserve">able </w:t>
      </w:r>
      <w:r>
        <w:rPr>
          <w:rFonts w:hint="eastAsia" w:ascii="Times New Roman" w:hAnsi="Times New Roman" w:eastAsia="宋体"/>
          <w:b/>
          <w:sz w:val="24"/>
          <w:szCs w:val="24"/>
        </w:rPr>
        <w:t xml:space="preserve">S3 The details of HPV </w:t>
      </w:r>
      <w:r>
        <w:rPr>
          <w:rFonts w:ascii="Times New Roman" w:hAnsi="Times New Roman" w:eastAsia="宋体"/>
          <w:b/>
          <w:sz w:val="24"/>
          <w:szCs w:val="24"/>
        </w:rPr>
        <w:t>in</w:t>
      </w:r>
      <w:r>
        <w:rPr>
          <w:rFonts w:hint="eastAsia" w:ascii="Times New Roman" w:hAnsi="Times New Roman" w:eastAsia="宋体"/>
          <w:b/>
          <w:sz w:val="24"/>
          <w:szCs w:val="24"/>
        </w:rPr>
        <w:t>tegration site.</w:t>
      </w:r>
    </w:p>
    <w:p>
      <w:pPr>
        <w:widowControl/>
        <w:jc w:val="center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0"/>
          <w:szCs w:val="20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ascii="Arial" w:hAnsi="Arial" w:cs="Arial"/>
          <w:b/>
          <w:sz w:val="24"/>
          <w:szCs w:val="24"/>
        </w:rPr>
        <w:sectPr>
          <w:pgSz w:w="11906" w:h="16838"/>
          <w:pgMar w:top="1440" w:right="1797" w:bottom="1440" w:left="1797" w:header="851" w:footer="992" w:gutter="0"/>
          <w:cols w:space="425" w:num="1"/>
          <w:docGrid w:linePitch="312" w:charSpace="0"/>
        </w:sectPr>
      </w:pPr>
      <w:bookmarkStart w:id="0" w:name="_Hlk118843995"/>
    </w:p>
    <w:p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Table S1. Patients characteristics at baseline (n=181)</w:t>
      </w:r>
    </w:p>
    <w:tbl>
      <w:tblPr>
        <w:tblStyle w:val="5"/>
        <w:tblpPr w:leftFromText="180" w:rightFromText="180" w:vertAnchor="page" w:horzAnchor="margin" w:tblpY="1851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3969"/>
        <w:gridCol w:w="192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9" w:type="dxa"/>
            <w:gridSpan w:val="2"/>
            <w:tcBorders>
              <w:top w:val="single" w:color="auto" w:sz="4" w:space="0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Characteristics</w:t>
            </w:r>
          </w:p>
        </w:tc>
        <w:tc>
          <w:tcPr>
            <w:tcW w:w="1923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Values (%)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top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Age</w:t>
            </w:r>
          </w:p>
        </w:tc>
        <w:tc>
          <w:tcPr>
            <w:tcW w:w="3969" w:type="dxa"/>
            <w:tcBorders>
              <w:top w:val="single" w:color="auto" w:sz="4" w:space="0"/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21-39</w:t>
            </w:r>
          </w:p>
        </w:tc>
        <w:tc>
          <w:tcPr>
            <w:tcW w:w="1923" w:type="dxa"/>
            <w:tcBorders>
              <w:top w:val="single" w:color="auto" w:sz="4" w:space="0"/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71 (39.2)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40-49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52 (28.7)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50-59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40 (22.1)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60-75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18 (9.9)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HPV infection status</w:t>
            </w: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Single HPV infection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128 (70.7)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Multiple HPV infection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53 (29.3)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Smoking</w:t>
            </w: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164 (90.6)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17 (9.4)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Drinking</w:t>
            </w: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158 (87.3)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23 (12.7)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Menopause</w:t>
            </w: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131 (72.4)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Yes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50 (27.6)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Parities</w:t>
            </w: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≤ 1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99 (54.7)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58 (32.0)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≥ 3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24 (13.3)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Treatment</w:t>
            </w: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No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56 (30.9)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LEEP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86 (47.5)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CKC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35 (19.3)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Total hysterectomy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4 (2.2)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Pathological diagnosis</w:t>
            </w: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Benign 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45 (24.9)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CIN1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13 (7.2)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CIN2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16 (8.8)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CIN3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79 (43.6)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AIS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28 (15.5)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Integrated HPV type</w:t>
            </w: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16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99 (54.7)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18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18 (9.9)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52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18 (9.9)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58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12 (6.6)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39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7 (3.9)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33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7 (3.9)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31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4 (2.2)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53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3 (1.7)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68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3 (1.7)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51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2 (1.1)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2 (1.1)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82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1 (0.6)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1 (0.6)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56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1 (0.6)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26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1 (0.6)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45</w:t>
            </w:r>
          </w:p>
        </w:tc>
        <w:tc>
          <w:tcPr>
            <w:tcW w:w="1923" w:type="dxa"/>
            <w:tcBorders>
              <w:lef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1 (0.6)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tcBorders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66</w:t>
            </w:r>
          </w:p>
        </w:tc>
        <w:tc>
          <w:tcPr>
            <w:tcW w:w="1923" w:type="dxa"/>
            <w:tcBorders>
              <w:left w:val="nil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1 (0.6)</w:t>
            </w:r>
          </w:p>
        </w:tc>
      </w:tr>
    </w:tbl>
    <w:p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15"/>
          <w:sz w:val="20"/>
          <w:szCs w:val="20"/>
        </w:rPr>
        <w:t>Abbreviations: AIS,</w:t>
      </w:r>
      <w:r>
        <w:rPr>
          <w:rFonts w:ascii="Times New Roman" w:hAnsi="Times New Roman" w:cs="Times New Roman"/>
          <w:sz w:val="20"/>
          <w:szCs w:val="20"/>
        </w:rPr>
        <w:t xml:space="preserve"> Adenocarcinoma in situ; CIN1, </w:t>
      </w:r>
      <w:r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cervical intraepithelial neoplasia</w:t>
      </w:r>
      <w:r>
        <w:rPr>
          <w:rFonts w:ascii="Times New Roman" w:hAnsi="Times New Roman" w:cs="Times New Roman"/>
          <w:sz w:val="20"/>
          <w:szCs w:val="20"/>
        </w:rPr>
        <w:t xml:space="preserve"> grade 1; CIN2, </w:t>
      </w:r>
      <w:r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cervical intraepithelial neoplasia</w:t>
      </w:r>
      <w:r>
        <w:rPr>
          <w:rFonts w:ascii="Times New Roman" w:hAnsi="Times New Roman" w:cs="Times New Roman"/>
          <w:sz w:val="20"/>
          <w:szCs w:val="20"/>
        </w:rPr>
        <w:t xml:space="preserve"> grade 2; CIN3, </w:t>
      </w:r>
      <w:r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cervical intraepithelial neoplasia</w:t>
      </w:r>
      <w:r>
        <w:rPr>
          <w:rFonts w:ascii="Times New Roman" w:hAnsi="Times New Roman" w:cs="Times New Roman"/>
          <w:sz w:val="20"/>
          <w:szCs w:val="20"/>
        </w:rPr>
        <w:t xml:space="preserve"> grade 3; CKC, cold-knife conization; HPV, </w:t>
      </w:r>
      <w:r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 xml:space="preserve">Human papillomavirus; </w:t>
      </w:r>
      <w:r>
        <w:rPr>
          <w:rFonts w:ascii="Times New Roman" w:hAnsi="Times New Roman" w:cs="Times New Roman"/>
          <w:sz w:val="20"/>
          <w:szCs w:val="20"/>
        </w:rPr>
        <w:t>LEEP, loop electrosurgical excision procedure.</w:t>
      </w:r>
    </w:p>
    <w:bookmarkEnd w:id="0"/>
    <w:p>
      <w:pPr>
        <w:rPr>
          <w:rFonts w:hint="eastAsia"/>
        </w:rPr>
        <w:sectPr>
          <w:pgSz w:w="11906" w:h="16838"/>
          <w:pgMar w:top="1440" w:right="1797" w:bottom="1440" w:left="1797" w:header="851" w:footer="992" w:gutter="0"/>
          <w:cols w:space="425" w:num="1"/>
          <w:docGrid w:linePitch="312" w:charSpace="0"/>
        </w:sectPr>
      </w:pPr>
    </w:p>
    <w:p>
      <w:pPr>
        <w:jc w:val="left"/>
        <w:rPr>
          <w:rFonts w:ascii="Times New Roman" w:hAnsi="Times New Roman" w:eastAsia="宋体" w:cs="Times New Roman"/>
          <w:b/>
          <w:sz w:val="20"/>
          <w:szCs w:val="20"/>
        </w:rPr>
      </w:pPr>
      <w:bookmarkStart w:id="1" w:name="_Hlk118844192"/>
      <w:r>
        <w:rPr>
          <w:rFonts w:ascii="Times New Roman" w:hAnsi="Times New Roman" w:eastAsia="宋体" w:cs="Times New Roman"/>
          <w:b/>
          <w:sz w:val="20"/>
          <w:szCs w:val="20"/>
        </w:rPr>
        <w:t>Table S2. The relationship between HPV integration status and CIN2+ progression.</w:t>
      </w:r>
    </w:p>
    <w:tbl>
      <w:tblPr>
        <w:tblStyle w:val="5"/>
        <w:tblpPr w:leftFromText="180" w:rightFromText="180" w:vertAnchor="text" w:horzAnchor="margin" w:tblpXSpec="center" w:tblpY="120"/>
        <w:tblW w:w="10674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9"/>
        <w:gridCol w:w="1157"/>
        <w:gridCol w:w="2410"/>
        <w:gridCol w:w="2126"/>
        <w:gridCol w:w="160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  <w:t xml:space="preserve">HPV integration status conversion 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  <w:t>Total, No.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  <w:t>Not progress to CIN2+,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  <w:t>No. (%)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  <w:t>Progress to CIN2+,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  <w:t>No. (%)</w:t>
            </w:r>
          </w:p>
        </w:tc>
        <w:tc>
          <w:tcPr>
            <w:tcW w:w="16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 w:val="16"/>
                <w:szCs w:val="16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  <w:t xml:space="preserve"> 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tcBorders>
              <w:top w:val="single" w:color="auto" w:sz="4" w:space="0"/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  <w:t xml:space="preserve">Persistent integration at the same site 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  <w:t>12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  <w:t>7 (58.3)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  <w:t>5 (41.7)</w:t>
            </w:r>
          </w:p>
        </w:tc>
        <w:tc>
          <w:tcPr>
            <w:tcW w:w="1602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Reference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  <w:t>HPV integration negative conversion</w:t>
            </w:r>
          </w:p>
        </w:tc>
        <w:tc>
          <w:tcPr>
            <w:tcW w:w="1157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  <w:t>41</w:t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  <w:t>41 (100)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  <w:t>0 (0)</w:t>
            </w:r>
          </w:p>
        </w:tc>
        <w:tc>
          <w:tcPr>
            <w:tcW w:w="1602" w:type="dxa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9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  <w:t xml:space="preserve">HPV integration at a different site </w:t>
            </w:r>
          </w:p>
        </w:tc>
        <w:tc>
          <w:tcPr>
            <w:tcW w:w="1157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  <w:t>5</w:t>
            </w:r>
          </w:p>
        </w:tc>
        <w:tc>
          <w:tcPr>
            <w:tcW w:w="241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  <w:t>5 (100)</w:t>
            </w:r>
          </w:p>
        </w:tc>
        <w:tc>
          <w:tcPr>
            <w:tcW w:w="2126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</w:rPr>
              <w:t>0 (0)</w:t>
            </w:r>
          </w:p>
        </w:tc>
        <w:tc>
          <w:tcPr>
            <w:tcW w:w="1602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0.245</w:t>
            </w:r>
          </w:p>
        </w:tc>
      </w:tr>
    </w:tbl>
    <w:p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a </w:t>
      </w:r>
      <w:r>
        <w:rPr>
          <w:rFonts w:ascii="Times New Roman" w:hAnsi="Times New Roman" w:cs="Times New Roman"/>
          <w:sz w:val="20"/>
          <w:szCs w:val="20"/>
        </w:rPr>
        <w:t>The interval between two consecutive HPV integration tests was more than 3 months;</w:t>
      </w:r>
    </w:p>
    <w:p>
      <w:pPr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pacing w:val="15"/>
          <w:sz w:val="20"/>
          <w:szCs w:val="20"/>
        </w:rPr>
        <w:t xml:space="preserve">Abbreviations: </w:t>
      </w:r>
      <w:r>
        <w:rPr>
          <w:rFonts w:ascii="Times New Roman" w:hAnsi="Times New Roman" w:cs="Times New Roman"/>
          <w:sz w:val="20"/>
          <w:szCs w:val="20"/>
        </w:rPr>
        <w:t xml:space="preserve">CIN2+, </w:t>
      </w:r>
      <w:r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cervical intraepithelial neoplasia</w:t>
      </w:r>
      <w:r>
        <w:rPr>
          <w:rFonts w:ascii="Times New Roman" w:hAnsi="Times New Roman" w:cs="Times New Roman"/>
          <w:sz w:val="20"/>
          <w:szCs w:val="20"/>
        </w:rPr>
        <w:t xml:space="preserve"> grade 2 or worse; HPV, </w:t>
      </w:r>
      <w:r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Human papillomavirus.</w:t>
      </w:r>
      <w:bookmarkEnd w:id="1"/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widowControl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>
      <w:pPr>
        <w:rPr>
          <w:rFonts w:ascii="Times New Roman" w:hAnsi="Times New Roman" w:eastAsia="宋体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Table S</w:t>
      </w:r>
      <w:r>
        <w:rPr>
          <w:rFonts w:hint="eastAsia" w:ascii="Times New Roman" w:hAnsi="Times New Roman" w:cs="Times New Roman"/>
          <w:b/>
          <w:sz w:val="20"/>
          <w:szCs w:val="20"/>
          <w:lang w:val="en-US" w:eastAsia="zh-CN"/>
        </w:rPr>
        <w:t>3</w:t>
      </w:r>
      <w:r>
        <w:rPr>
          <w:rFonts w:ascii="Times New Roman" w:hAnsi="Times New Roman" w:cs="Times New Roman"/>
          <w:b/>
          <w:sz w:val="20"/>
          <w:szCs w:val="20"/>
        </w:rPr>
        <w:t xml:space="preserve">. </w:t>
      </w:r>
      <w:r>
        <w:rPr>
          <w:rFonts w:hint="eastAsia" w:ascii="Times New Roman" w:hAnsi="Times New Roman" w:eastAsia="宋体"/>
          <w:b/>
          <w:sz w:val="20"/>
          <w:szCs w:val="20"/>
        </w:rPr>
        <w:t xml:space="preserve">The details of HPV </w:t>
      </w:r>
      <w:r>
        <w:rPr>
          <w:rFonts w:ascii="Times New Roman" w:hAnsi="Times New Roman" w:eastAsia="宋体"/>
          <w:b/>
          <w:sz w:val="20"/>
          <w:szCs w:val="20"/>
        </w:rPr>
        <w:t>in</w:t>
      </w:r>
      <w:r>
        <w:rPr>
          <w:rFonts w:hint="eastAsia" w:ascii="Times New Roman" w:hAnsi="Times New Roman" w:eastAsia="宋体"/>
          <w:b/>
          <w:sz w:val="20"/>
          <w:szCs w:val="20"/>
        </w:rPr>
        <w:t>tegration site</w:t>
      </w:r>
      <w:bookmarkStart w:id="3" w:name="_GoBack"/>
      <w:bookmarkEnd w:id="3"/>
    </w:p>
    <w:p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9713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5"/>
        <w:gridCol w:w="1510"/>
        <w:gridCol w:w="1609"/>
        <w:gridCol w:w="1843"/>
        <w:gridCol w:w="2916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The number of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integration reads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2" w:name="_Hlk174405170"/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Chromosome</w:t>
            </w:r>
          </w:p>
          <w:bookmarkEnd w:id="2"/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integrated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Integration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site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Integration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region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</w:rPr>
              <w:t>Integrated gene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141293593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LRP1B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15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68329670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ITGA11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44119394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LRPPRC,PPM1B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219005688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ncRNA_intronic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MIR548F3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61984170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FTH1,INCENP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16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82265395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MPHOSPH6,CDH13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172904364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RAPGEF4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15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98605907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FAM169B,IRAIN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4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31579669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LINC02501,LINC02506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32591306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BIRC6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8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60550389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RAB2A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18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21117175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ROCK1,GREB1L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82932268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DHFRP3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4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59405793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LINC02429,MIR548AG1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6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141157468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MIR4465,NMBR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17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29419509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TAOK1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8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39093028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ADAM9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160483912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VANGL2,SLAMF6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4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125637051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MIR2054,INTU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3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189917450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TP63,P3H2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9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12128031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PTPRD-AS2,TYRP1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17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40590595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CCR7,SMARCE1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45400514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LINC02687,CHST1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34329458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C1orf94,MIR552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5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90882733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ADGRV1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9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16084876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CCDC171,C9orf92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9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16899954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BNC2,CNTLN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45663042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GPBP1L1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8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116136134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ncRNA_intronic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LINC00536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7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26919669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SKAP2,HOXA1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6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76730438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LINC02540,HTR1B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3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128417606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EEFSEC,DNAJB8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18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1604696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LINC00470,METTL4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202377532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exonic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BMPR2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169179866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LRP2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107706235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LINC01886,GACAT1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13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89501364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upstream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LINC01040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13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79237770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LINC00331,RBM26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230388389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PGBD5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15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64446727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TRIP4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15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88063860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NTRK3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13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26864480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GPR12,USP12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5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135024175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CATSPER3,PITX1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20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34330648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AHCY,ITCH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74561071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LOC100287896,POLD3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17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17650097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PEMT,SMCR2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4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80429118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CFAP299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10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8038018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TAF3,GATA3-AS1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17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61712729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BRIP1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26289890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UBXN11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9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112223375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UTR3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PTBP3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114892836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DPP10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3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112405559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CD200,BTLA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105220229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CARD18,GRIA4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30062194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KCNA4,FSHB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16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13005958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SHISA9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227412834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TM4SF20,MIR5703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9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120902644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UTR3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TRAF1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240418253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FMN2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145616068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TEX41,PABPC1P2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7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147910076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CNTNAP2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18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42798630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RIT2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4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21778186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KCNIP4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100225042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CNTN5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12901917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GPRC5A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102895596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COL11A1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10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15045690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ncRNA_intronic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ACBD7-DCLRE1CP1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16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11024455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CLEC16A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6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134562724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LOC101928304,ALDH8A1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239148443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HDAC4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19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37089212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ZNF420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63756511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DPY19L2,RXYLT1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13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99284068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UBAC2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19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54413784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LAIR1,TTYH1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23312927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HNRNPR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16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866867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LMF1（LCORL,SLIT2）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7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111192075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IMMP2L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37545358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CARD10,CDC42EP1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5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143488265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NR3C1,MIR5197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14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68289779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RAD51B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X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46268546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LINC02595,LINC01186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9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137502016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PNPLA7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5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1307298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TERT,MIR4457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10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101140436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ncRNA_intronic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TLX1NB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6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992883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ncRNA_intronic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LINC01622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4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73614985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RASSF6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18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66381448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CDH7,CDH19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16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46577215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ANKRD26P1,SHCBP1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5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28777360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LINC02103,LSP1P3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102771621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IGF1,LINC00485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18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48168311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ZBTB7C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10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50618792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SGMS1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53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5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147164899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PPP2R2B,STK32A-AS1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19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38731263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UTR3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ACTN4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5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148048809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C5orf46,SPINK5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14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98031150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LINC01550,C14orf177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16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2979830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UTR5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PKMYT1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4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182481868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TENM3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6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7163053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RREB1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3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17708692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TBC1D5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94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17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41861179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KLHL11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3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60731355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FHIT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9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6494870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UHRF2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4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73783507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CXCL8,CXCL6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234654286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ncRNA_intronic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LOC101927787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4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109023023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COL25A1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9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5473495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CD274,PDCD1LG2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122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X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2470815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DHRSX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122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17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72508223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ncRNA_intronic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LINC00673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131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 xml:space="preserve"> X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46762918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SLC9A7,RP2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145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8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127734920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upstream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CASC11,MYC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152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106657620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LINC01677,LINC01661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152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8293706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LINC01714,SLC45A1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158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19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13003474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NFIX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175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4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88224189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ABCG2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175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3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60491444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FHIT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182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195066555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LINC01790,SLC39A10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187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21833323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NELL1,ANO5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187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14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99180809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BCL11B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199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85539296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exonic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MAT2A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216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50808269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RPL23AP82,NONE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237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92560907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EVI5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237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X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154541020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G6PD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263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20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10982079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LOC101929413,C20orf187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273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145501468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TEX41,PABPC1P2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281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19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1151208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SBNO2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284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4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23212473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GBA3,PPARGC1A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303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13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73322727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KLF5,LINC00392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366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8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140703049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PTK2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371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7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76267107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SRRM3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391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10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82462588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NRG3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408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19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44770510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BCL3,CBLC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412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28948800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downstream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WDR43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413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17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46767068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WNT3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475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14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96253749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BDKRB2,BDKRB1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476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232401898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SIPA1L2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502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9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124491691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NR5A1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533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11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69954343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FGF3,LINC02753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534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13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92565318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GPC5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570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7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128193232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SND1,MIR129-1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573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6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25124369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ncRNA_intronic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CMAHP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597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50600968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DIP2B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604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10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118794427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CACUL1,NANOS1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622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5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37000673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NIPBL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633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4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94622294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PDLIM5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646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209386445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LINC01698,MIR205HG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744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145782159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TEX41,PABPC1P2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801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3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189238971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ncRNA_intronic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TPRG1-AS2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907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4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10020669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SLC2A9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1113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17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39687133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PGAP3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1139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8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11722680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GATA4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1274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145658657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TEX41,PABPC1P2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1280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8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111865231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LINC02237,CSMD3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1333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6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143312403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AIG1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1384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3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187917466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BCL6,LINC01991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1508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7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28412847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UTR5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CREB5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1702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40588024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SHKBP1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1960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3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189872619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TP63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1987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17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39694830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ERBB2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2025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223764286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AP1S3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2139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177323886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ncRNA_intronic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LOC100130691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2460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14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98343170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LINC01550,C14orf177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2580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145768029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TEX41,PABPC1P2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2636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60462776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BCL11A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2716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12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50511583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DIP2B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2820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3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169383921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MECOM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2917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9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6727206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KDM4C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2978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20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15167383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MACROD2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3109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5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128002466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ncRNA_intronic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LINC01184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3117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14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91244615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UTR5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GPR68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3304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4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1914970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NSD2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3655</w:t>
            </w:r>
          </w:p>
        </w:tc>
        <w:tc>
          <w:tcPr>
            <w:tcW w:w="1510" w:type="dxa"/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11</w:t>
            </w:r>
          </w:p>
        </w:tc>
        <w:tc>
          <w:tcPr>
            <w:tcW w:w="1609" w:type="dxa"/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66965015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PC,C11orf86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3682</w:t>
            </w:r>
          </w:p>
        </w:tc>
        <w:tc>
          <w:tcPr>
            <w:tcW w:w="1510" w:type="dxa"/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59933609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LINC01793,MIR4432HG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3880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17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59889396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TUBD1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4104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145726815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TEX41,PABPC1P2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5494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161366109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PSMD14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5562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15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51062648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ncRNA_intronic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MIR4713HG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5699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15781019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intronic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FBLIM1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6258</w:t>
            </w:r>
          </w:p>
        </w:tc>
        <w:tc>
          <w:tcPr>
            <w:tcW w:w="1510" w:type="dxa"/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 xml:space="preserve"> 12</w:t>
            </w:r>
          </w:p>
        </w:tc>
        <w:tc>
          <w:tcPr>
            <w:tcW w:w="1609" w:type="dxa"/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107114740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CRY1,BTBD11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7259</w:t>
            </w:r>
          </w:p>
        </w:tc>
        <w:tc>
          <w:tcPr>
            <w:tcW w:w="1510" w:type="dxa"/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15</w:t>
            </w:r>
          </w:p>
        </w:tc>
        <w:tc>
          <w:tcPr>
            <w:tcW w:w="1609" w:type="dxa"/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58436008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ncRNA_exonic</w:t>
            </w:r>
          </w:p>
        </w:tc>
        <w:tc>
          <w:tcPr>
            <w:tcW w:w="2916" w:type="dxa"/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LIPC-AS1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835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8408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chr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6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128535769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intergenic</w:t>
            </w:r>
          </w:p>
        </w:tc>
        <w:tc>
          <w:tcPr>
            <w:tcW w:w="291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LOC90246,LINC01565</w:t>
            </w:r>
          </w:p>
        </w:tc>
      </w:tr>
    </w:tbl>
    <w:p>
      <w:pPr>
        <w:rPr>
          <w:rFonts w:ascii="Arial" w:hAnsi="Arial" w:cs="Arial"/>
          <w:sz w:val="16"/>
          <w:szCs w:val="16"/>
        </w:rPr>
      </w:pPr>
    </w:p>
    <w:sectPr>
      <w:pgSz w:w="11906" w:h="16838"/>
      <w:pgMar w:top="1440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JjYTI5MzM3NzE4M2NkNGM3ODVmYzUxYzJmODc4MGIifQ=="/>
  </w:docVars>
  <w:rsids>
    <w:rsidRoot w:val="00A86EB0"/>
    <w:rsid w:val="0000668C"/>
    <w:rsid w:val="00113F1A"/>
    <w:rsid w:val="0013409A"/>
    <w:rsid w:val="002F5F5F"/>
    <w:rsid w:val="00316E70"/>
    <w:rsid w:val="00536C73"/>
    <w:rsid w:val="006D7ADA"/>
    <w:rsid w:val="006E2C21"/>
    <w:rsid w:val="007A63F8"/>
    <w:rsid w:val="00823054"/>
    <w:rsid w:val="00880A41"/>
    <w:rsid w:val="00975491"/>
    <w:rsid w:val="00982014"/>
    <w:rsid w:val="0098549B"/>
    <w:rsid w:val="00A86EB0"/>
    <w:rsid w:val="00AB0838"/>
    <w:rsid w:val="00BD14EF"/>
    <w:rsid w:val="00BD3387"/>
    <w:rsid w:val="00D638F3"/>
    <w:rsid w:val="00DD21D9"/>
    <w:rsid w:val="00FD356A"/>
    <w:rsid w:val="14060D76"/>
    <w:rsid w:val="16166561"/>
    <w:rsid w:val="17EA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unhideWhenUsed/>
    <w:uiPriority w:val="99"/>
    <w:rPr>
      <w:color w:val="800080"/>
      <w:u w:val="single"/>
    </w:rPr>
  </w:style>
  <w:style w:type="character" w:styleId="8">
    <w:name w:val="Hyperlink"/>
    <w:basedOn w:val="6"/>
    <w:unhideWhenUsed/>
    <w:uiPriority w:val="99"/>
    <w:rPr>
      <w:color w:val="0000FF"/>
      <w:u w:val="single"/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11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">
    <w:name w:val="xl66"/>
    <w:basedOn w:val="1"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xl6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">
    <w:name w:val="xl68"/>
    <w:basedOn w:val="1"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">
    <w:name w:val="xl69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">
    <w:name w:val="xl70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xl7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">
    <w:name w:val="xl72"/>
    <w:basedOn w:val="1"/>
    <w:uiPriority w:val="0"/>
    <w:pPr>
      <w:widowControl/>
      <w:shd w:val="clear" w:color="000000" w:fill="FFFF00"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">
    <w:name w:val="xl73"/>
    <w:basedOn w:val="1"/>
    <w:uiPriority w:val="0"/>
    <w:pPr>
      <w:widowControl/>
      <w:shd w:val="clear" w:color="000000" w:fill="00B0F0"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color w:val="FF0000"/>
      <w:kern w:val="0"/>
      <w:sz w:val="24"/>
      <w:szCs w:val="24"/>
    </w:rPr>
  </w:style>
  <w:style w:type="paragraph" w:customStyle="1" w:styleId="20">
    <w:name w:val="xl74"/>
    <w:basedOn w:val="1"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color w:val="00B0F0"/>
      <w:kern w:val="0"/>
      <w:sz w:val="24"/>
      <w:szCs w:val="24"/>
    </w:rPr>
  </w:style>
  <w:style w:type="paragraph" w:customStyle="1" w:styleId="21">
    <w:name w:val="xl75"/>
    <w:basedOn w:val="1"/>
    <w:uiPriority w:val="0"/>
    <w:pPr>
      <w:widowControl/>
      <w:shd w:val="clear" w:color="000000" w:fill="C00000"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xl76"/>
    <w:basedOn w:val="1"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23">
    <w:name w:val="xl77"/>
    <w:basedOn w:val="1"/>
    <w:uiPriority w:val="0"/>
    <w:pPr>
      <w:widowControl/>
      <w:shd w:val="clear" w:color="000000" w:fill="FFFF00"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24">
    <w:name w:val="xl78"/>
    <w:basedOn w:val="1"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25">
    <w:name w:val="xl79"/>
    <w:basedOn w:val="1"/>
    <w:uiPriority w:val="0"/>
    <w:pPr>
      <w:widowControl/>
      <w:shd w:val="clear" w:color="000000" w:fill="FFFF00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xl80"/>
    <w:basedOn w:val="1"/>
    <w:uiPriority w:val="0"/>
    <w:pPr>
      <w:widowControl/>
      <w:shd w:val="clear" w:color="000000" w:fill="FFFF00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7">
    <w:name w:val="xl8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8">
    <w:name w:val="xl82"/>
    <w:basedOn w:val="1"/>
    <w:uiPriority w:val="0"/>
    <w:pPr>
      <w:widowControl/>
      <w:shd w:val="clear" w:color="000000" w:fill="FFFF00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xl8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30">
    <w:name w:val="xl8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1">
    <w:name w:val="xl8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32">
    <w:name w:val="xl8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33">
    <w:name w:val="xl8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4">
    <w:name w:val="xl8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35">
    <w:name w:val="xl8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36">
    <w:name w:val="xl9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7">
    <w:name w:val="xl9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8">
    <w:name w:val="xl9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bottom"/>
    </w:pPr>
    <w:rPr>
      <w:rFonts w:ascii="等线" w:hAnsi="等线" w:eastAsia="等线" w:cs="宋体"/>
      <w:color w:val="000000"/>
      <w:kern w:val="0"/>
      <w:sz w:val="24"/>
      <w:szCs w:val="24"/>
    </w:rPr>
  </w:style>
  <w:style w:type="paragraph" w:customStyle="1" w:styleId="39">
    <w:name w:val="xl9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bottom"/>
    </w:pPr>
    <w:rPr>
      <w:rFonts w:ascii="等线" w:hAnsi="等线" w:eastAsia="等线" w:cs="宋体"/>
      <w:color w:val="000000"/>
      <w:kern w:val="0"/>
      <w:sz w:val="24"/>
      <w:szCs w:val="24"/>
    </w:rPr>
  </w:style>
  <w:style w:type="paragraph" w:customStyle="1" w:styleId="40">
    <w:name w:val="xl9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1">
    <w:name w:val="xl9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00000"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42">
    <w:name w:val="xl9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00000"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43">
    <w:name w:val="xl9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color w:val="00B0F0"/>
      <w:kern w:val="0"/>
      <w:sz w:val="24"/>
      <w:szCs w:val="24"/>
    </w:rPr>
  </w:style>
  <w:style w:type="paragraph" w:customStyle="1" w:styleId="44">
    <w:name w:val="xl9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color w:val="00B0F0"/>
      <w:kern w:val="0"/>
      <w:sz w:val="24"/>
      <w:szCs w:val="24"/>
    </w:rPr>
  </w:style>
  <w:style w:type="paragraph" w:customStyle="1" w:styleId="45">
    <w:name w:val="xl99"/>
    <w:basedOn w:val="1"/>
    <w:uiPriority w:val="0"/>
    <w:pPr>
      <w:widowControl/>
      <w:shd w:val="clear" w:color="000000" w:fill="00B0F0"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color w:val="FF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1415</Words>
  <Characters>7752</Characters>
  <Lines>67</Lines>
  <Paragraphs>18</Paragraphs>
  <TotalTime>45</TotalTime>
  <ScaleCrop>false</ScaleCrop>
  <LinksUpToDate>false</LinksUpToDate>
  <CharactersWithSpaces>8128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2023-02-11T20:31:00Z</dcterms:created>
  <dc:creator>Administrator</dc:creator>
  <cp:lastModifiedBy>turkey kk</cp:lastModifiedBy>
  <dcterms:modified xsi:type="dcterms:W3CDTF">2024-08-14T04:46:20Z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75A94F15151B4E729C34D46EA62E7D71</vt:lpwstr>
  </property>
</Properties>
</file>