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D5251" w14:textId="5ED20DC3" w:rsidR="004878E6" w:rsidRPr="00B95A3F" w:rsidRDefault="004878E6" w:rsidP="004878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5A3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 xml:space="preserve">Univariate 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and multivariate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Cox regression analysis of event-free survival and overall survival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relapse/refractory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 xml:space="preserve"> AML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patients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treated with VEN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AZA.</w:t>
      </w:r>
    </w:p>
    <w:tbl>
      <w:tblPr>
        <w:tblStyle w:val="a7"/>
        <w:tblW w:w="8869" w:type="dxa"/>
        <w:tblLayout w:type="fixed"/>
        <w:tblLook w:val="04A0" w:firstRow="1" w:lastRow="0" w:firstColumn="1" w:lastColumn="0" w:noHBand="0" w:noVBand="1"/>
      </w:tblPr>
      <w:tblGrid>
        <w:gridCol w:w="1129"/>
        <w:gridCol w:w="1464"/>
        <w:gridCol w:w="776"/>
        <w:gridCol w:w="916"/>
        <w:gridCol w:w="813"/>
        <w:gridCol w:w="1276"/>
        <w:gridCol w:w="665"/>
        <w:gridCol w:w="1036"/>
        <w:gridCol w:w="794"/>
      </w:tblGrid>
      <w:tr w:rsidR="004878E6" w:rsidRPr="00741B5B" w14:paraId="02C36860" w14:textId="77777777" w:rsidTr="0021626D">
        <w:trPr>
          <w:trHeight w:val="407"/>
        </w:trPr>
        <w:tc>
          <w:tcPr>
            <w:tcW w:w="1129" w:type="dxa"/>
            <w:vMerge w:val="restart"/>
            <w:vAlign w:val="center"/>
          </w:tcPr>
          <w:p w14:paraId="371BB2BC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variables</w:t>
            </w:r>
          </w:p>
        </w:tc>
        <w:tc>
          <w:tcPr>
            <w:tcW w:w="3969" w:type="dxa"/>
            <w:gridSpan w:val="4"/>
            <w:vAlign w:val="center"/>
          </w:tcPr>
          <w:p w14:paraId="3CA4B0D0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3771" w:type="dxa"/>
            <w:gridSpan w:val="4"/>
            <w:vAlign w:val="center"/>
          </w:tcPr>
          <w:p w14:paraId="151FDF3A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</w:p>
        </w:tc>
      </w:tr>
      <w:tr w:rsidR="004878E6" w:rsidRPr="00741B5B" w14:paraId="2BBB28A6" w14:textId="77777777" w:rsidTr="0021626D">
        <w:trPr>
          <w:trHeight w:val="412"/>
        </w:trPr>
        <w:tc>
          <w:tcPr>
            <w:tcW w:w="1129" w:type="dxa"/>
            <w:vMerge/>
            <w:vAlign w:val="center"/>
          </w:tcPr>
          <w:p w14:paraId="1D87D61C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7F2DC298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2505" w:type="dxa"/>
            <w:gridSpan w:val="3"/>
            <w:vAlign w:val="center"/>
          </w:tcPr>
          <w:p w14:paraId="198F2A92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  <w:tc>
          <w:tcPr>
            <w:tcW w:w="1276" w:type="dxa"/>
            <w:vAlign w:val="center"/>
          </w:tcPr>
          <w:p w14:paraId="2460E581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2495" w:type="dxa"/>
            <w:gridSpan w:val="3"/>
            <w:vAlign w:val="center"/>
          </w:tcPr>
          <w:p w14:paraId="34513DC3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</w:tr>
      <w:tr w:rsidR="004878E6" w:rsidRPr="00741B5B" w14:paraId="72757F83" w14:textId="77777777" w:rsidTr="0021626D">
        <w:trPr>
          <w:trHeight w:val="337"/>
        </w:trPr>
        <w:tc>
          <w:tcPr>
            <w:tcW w:w="1129" w:type="dxa"/>
            <w:vMerge/>
            <w:vAlign w:val="center"/>
          </w:tcPr>
          <w:p w14:paraId="461334BB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69DACE43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776" w:type="dxa"/>
            <w:vAlign w:val="center"/>
          </w:tcPr>
          <w:p w14:paraId="0A27C280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916" w:type="dxa"/>
            <w:vAlign w:val="center"/>
          </w:tcPr>
          <w:p w14:paraId="325D5A0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13" w:type="dxa"/>
            <w:vAlign w:val="center"/>
          </w:tcPr>
          <w:p w14:paraId="42539ADB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1276" w:type="dxa"/>
            <w:vAlign w:val="center"/>
          </w:tcPr>
          <w:p w14:paraId="1C689502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665" w:type="dxa"/>
            <w:vAlign w:val="center"/>
          </w:tcPr>
          <w:p w14:paraId="73293235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036" w:type="dxa"/>
            <w:vAlign w:val="center"/>
          </w:tcPr>
          <w:p w14:paraId="0E781C35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94" w:type="dxa"/>
            <w:vAlign w:val="center"/>
          </w:tcPr>
          <w:p w14:paraId="30DEE7F5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4878E6" w:rsidRPr="00741B5B" w14:paraId="07FEB5F7" w14:textId="77777777" w:rsidTr="0021626D">
        <w:trPr>
          <w:trHeight w:val="880"/>
        </w:trPr>
        <w:tc>
          <w:tcPr>
            <w:tcW w:w="1129" w:type="dxa"/>
            <w:vAlign w:val="center"/>
          </w:tcPr>
          <w:p w14:paraId="20A9B8CE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0635755"/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prior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system 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lines of therapy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≥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bookmarkEnd w:id="0"/>
          </w:p>
        </w:tc>
        <w:tc>
          <w:tcPr>
            <w:tcW w:w="1464" w:type="dxa"/>
            <w:vAlign w:val="center"/>
          </w:tcPr>
          <w:p w14:paraId="2A238630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776" w:type="dxa"/>
            <w:vAlign w:val="center"/>
          </w:tcPr>
          <w:p w14:paraId="2FDFA0A0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1.003</w:t>
            </w:r>
          </w:p>
        </w:tc>
        <w:tc>
          <w:tcPr>
            <w:tcW w:w="916" w:type="dxa"/>
            <w:vAlign w:val="center"/>
          </w:tcPr>
          <w:p w14:paraId="3121F504" w14:textId="77777777" w:rsidR="004878E6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EC15A9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13" w:type="dxa"/>
            <w:vAlign w:val="center"/>
          </w:tcPr>
          <w:p w14:paraId="5ABD3F4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1276" w:type="dxa"/>
            <w:vAlign w:val="center"/>
          </w:tcPr>
          <w:p w14:paraId="29315A5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665" w:type="dxa"/>
            <w:vAlign w:val="center"/>
          </w:tcPr>
          <w:p w14:paraId="65638363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1036" w:type="dxa"/>
            <w:vAlign w:val="center"/>
          </w:tcPr>
          <w:p w14:paraId="35B44741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-1.16</w:t>
            </w:r>
          </w:p>
        </w:tc>
        <w:tc>
          <w:tcPr>
            <w:tcW w:w="794" w:type="dxa"/>
            <w:vAlign w:val="center"/>
          </w:tcPr>
          <w:p w14:paraId="601E5DBB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</w:tr>
      <w:tr w:rsidR="004878E6" w:rsidRPr="00741B5B" w14:paraId="394371CF" w14:textId="77777777" w:rsidTr="0021626D">
        <w:trPr>
          <w:trHeight w:val="497"/>
        </w:trPr>
        <w:tc>
          <w:tcPr>
            <w:tcW w:w="1129" w:type="dxa"/>
            <w:vAlign w:val="center"/>
          </w:tcPr>
          <w:p w14:paraId="51976ED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Cycle of therapy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≥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64" w:type="dxa"/>
            <w:vAlign w:val="center"/>
          </w:tcPr>
          <w:p w14:paraId="39840B18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776" w:type="dxa"/>
            <w:vAlign w:val="center"/>
          </w:tcPr>
          <w:p w14:paraId="19AA5B28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  <w:tc>
          <w:tcPr>
            <w:tcW w:w="916" w:type="dxa"/>
            <w:vAlign w:val="center"/>
          </w:tcPr>
          <w:p w14:paraId="3777D34A" w14:textId="77777777" w:rsidR="004878E6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0.1-</w:t>
            </w:r>
          </w:p>
          <w:p w14:paraId="0AF19BD9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13" w:type="dxa"/>
            <w:vAlign w:val="center"/>
          </w:tcPr>
          <w:p w14:paraId="71F47EC3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  <w:tc>
          <w:tcPr>
            <w:tcW w:w="1276" w:type="dxa"/>
            <w:vAlign w:val="center"/>
          </w:tcPr>
          <w:p w14:paraId="4BB0021D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665" w:type="dxa"/>
            <w:vAlign w:val="center"/>
          </w:tcPr>
          <w:p w14:paraId="3A4DF55E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036" w:type="dxa"/>
            <w:vAlign w:val="center"/>
          </w:tcPr>
          <w:p w14:paraId="5BCAE107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0.35-9.55</w:t>
            </w:r>
          </w:p>
        </w:tc>
        <w:tc>
          <w:tcPr>
            <w:tcW w:w="794" w:type="dxa"/>
            <w:vAlign w:val="center"/>
          </w:tcPr>
          <w:p w14:paraId="1127A722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</w:tr>
      <w:tr w:rsidR="004878E6" w:rsidRPr="00741B5B" w14:paraId="5A9679DF" w14:textId="77777777" w:rsidTr="0021626D">
        <w:trPr>
          <w:trHeight w:val="657"/>
        </w:trPr>
        <w:tc>
          <w:tcPr>
            <w:tcW w:w="1129" w:type="dxa"/>
            <w:vAlign w:val="center"/>
          </w:tcPr>
          <w:p w14:paraId="6B71DD5A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CRi</w:t>
            </w:r>
            <w:proofErr w:type="spellEnd"/>
          </w:p>
        </w:tc>
        <w:tc>
          <w:tcPr>
            <w:tcW w:w="1464" w:type="dxa"/>
            <w:vAlign w:val="center"/>
          </w:tcPr>
          <w:p w14:paraId="0A45A6A8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776" w:type="dxa"/>
            <w:vAlign w:val="center"/>
          </w:tcPr>
          <w:p w14:paraId="2D17304F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916" w:type="dxa"/>
            <w:vAlign w:val="center"/>
          </w:tcPr>
          <w:p w14:paraId="6DA4FFCB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0.01-0.8</w:t>
            </w:r>
          </w:p>
        </w:tc>
        <w:tc>
          <w:tcPr>
            <w:tcW w:w="813" w:type="dxa"/>
            <w:vAlign w:val="center"/>
          </w:tcPr>
          <w:p w14:paraId="6DF5F851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276" w:type="dxa"/>
            <w:vAlign w:val="center"/>
          </w:tcPr>
          <w:p w14:paraId="10443915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665" w:type="dxa"/>
            <w:vAlign w:val="center"/>
          </w:tcPr>
          <w:p w14:paraId="244EA5A2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036" w:type="dxa"/>
            <w:vAlign w:val="center"/>
          </w:tcPr>
          <w:p w14:paraId="78350ADE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0.002-0.19</w:t>
            </w:r>
          </w:p>
        </w:tc>
        <w:tc>
          <w:tcPr>
            <w:tcW w:w="794" w:type="dxa"/>
            <w:vAlign w:val="center"/>
          </w:tcPr>
          <w:p w14:paraId="25EEF0BE" w14:textId="77777777" w:rsidR="004878E6" w:rsidRPr="00741B5B" w:rsidRDefault="004878E6" w:rsidP="00CD188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59CE397A" w14:textId="77777777" w:rsidR="004878E6" w:rsidRDefault="004878E6" w:rsidP="004878E6">
      <w:pPr>
        <w:rPr>
          <w:rFonts w:ascii="Times New Roman" w:hAnsi="Times New Roman" w:cs="Times New Roman"/>
          <w:sz w:val="24"/>
          <w:szCs w:val="24"/>
        </w:rPr>
      </w:pPr>
      <w:r w:rsidRPr="00741B5B">
        <w:rPr>
          <w:rFonts w:ascii="Times New Roman" w:hAnsi="Times New Roman" w:cs="Times New Roman"/>
          <w:sz w:val="24"/>
          <w:szCs w:val="24"/>
        </w:rPr>
        <w:t>Survival was determined from time of relapsed/refractory disease.</w:t>
      </w:r>
      <w:r w:rsidRPr="00CC1FAC">
        <w:rPr>
          <w:rFonts w:ascii="Times New Roman" w:hAnsi="Times New Roman" w:cs="Times New Roman"/>
          <w:sz w:val="24"/>
          <w:szCs w:val="24"/>
        </w:rPr>
        <w:t xml:space="preserve"> </w:t>
      </w:r>
      <w:r w:rsidRPr="00C63BBE"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F67A3">
        <w:rPr>
          <w:rFonts w:ascii="Times New Roman" w:hAnsi="Times New Roman" w:cs="Times New Roman"/>
          <w:sz w:val="24"/>
          <w:szCs w:val="24"/>
        </w:rPr>
        <w:t>HR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hazard ratio; CI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confidence interval; AML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acute myeloid leukemia;</w:t>
      </w:r>
      <w:r>
        <w:rPr>
          <w:rFonts w:ascii="Times New Roman" w:hAnsi="Times New Roman" w:cs="Times New Roman" w:hint="eastAsia"/>
          <w:sz w:val="24"/>
          <w:szCs w:val="24"/>
        </w:rPr>
        <w:t xml:space="preserve"> OS, overall survival; EFS, event free survival; </w:t>
      </w:r>
      <w:r w:rsidRPr="0030280A">
        <w:rPr>
          <w:rFonts w:ascii="Times New Roman" w:hAnsi="Times New Roman" w:cs="Times New Roman"/>
          <w:sz w:val="24"/>
          <w:szCs w:val="24"/>
        </w:rPr>
        <w:t xml:space="preserve">CR, complete remission; </w:t>
      </w:r>
      <w:proofErr w:type="spellStart"/>
      <w:r w:rsidRPr="0030280A">
        <w:rPr>
          <w:rFonts w:ascii="Times New Roman" w:hAnsi="Times New Roman" w:cs="Times New Roman"/>
          <w:sz w:val="24"/>
          <w:szCs w:val="24"/>
        </w:rPr>
        <w:t>CRi</w:t>
      </w:r>
      <w:proofErr w:type="spellEnd"/>
      <w:r w:rsidRPr="0030280A">
        <w:rPr>
          <w:rFonts w:ascii="Times New Roman" w:hAnsi="Times New Roman" w:cs="Times New Roman"/>
          <w:sz w:val="24"/>
          <w:szCs w:val="24"/>
        </w:rPr>
        <w:t>, complete remission with incomplete hematologic recovery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914352C" w14:textId="77777777" w:rsidR="005814D0" w:rsidRPr="004878E6" w:rsidRDefault="005814D0">
      <w:pPr>
        <w:rPr>
          <w:rFonts w:hint="eastAsia"/>
        </w:rPr>
      </w:pPr>
    </w:p>
    <w:sectPr w:rsidR="005814D0" w:rsidRPr="004878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29DE36" w14:textId="77777777" w:rsidR="00C31966" w:rsidRDefault="00C31966" w:rsidP="004878E6">
      <w:pPr>
        <w:rPr>
          <w:rFonts w:hint="eastAsia"/>
        </w:rPr>
      </w:pPr>
      <w:r>
        <w:separator/>
      </w:r>
    </w:p>
  </w:endnote>
  <w:endnote w:type="continuationSeparator" w:id="0">
    <w:p w14:paraId="07D2915F" w14:textId="77777777" w:rsidR="00C31966" w:rsidRDefault="00C31966" w:rsidP="004878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13458" w14:textId="77777777" w:rsidR="00C31966" w:rsidRDefault="00C31966" w:rsidP="004878E6">
      <w:pPr>
        <w:rPr>
          <w:rFonts w:hint="eastAsia"/>
        </w:rPr>
      </w:pPr>
      <w:r>
        <w:separator/>
      </w:r>
    </w:p>
  </w:footnote>
  <w:footnote w:type="continuationSeparator" w:id="0">
    <w:p w14:paraId="468AE98D" w14:textId="77777777" w:rsidR="00C31966" w:rsidRDefault="00C31966" w:rsidP="004878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D0"/>
    <w:rsid w:val="0034581B"/>
    <w:rsid w:val="00390132"/>
    <w:rsid w:val="00390599"/>
    <w:rsid w:val="004878E6"/>
    <w:rsid w:val="005814D0"/>
    <w:rsid w:val="00807330"/>
    <w:rsid w:val="00C31966"/>
    <w:rsid w:val="00CD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71BD9"/>
  <w15:chartTrackingRefBased/>
  <w15:docId w15:val="{12982BD3-3E0A-434E-A7A1-7D71F9AB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E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8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4878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78E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4878E6"/>
    <w:rPr>
      <w:sz w:val="18"/>
      <w:szCs w:val="18"/>
    </w:rPr>
  </w:style>
  <w:style w:type="table" w:styleId="a7">
    <w:name w:val="Table Grid"/>
    <w:basedOn w:val="a1"/>
    <w:uiPriority w:val="39"/>
    <w:rsid w:val="004878E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baijf</dc:creator>
  <cp:keywords/>
  <dc:description/>
  <cp:lastModifiedBy>baijf</cp:lastModifiedBy>
  <cp:revision>3</cp:revision>
  <dcterms:created xsi:type="dcterms:W3CDTF">2024-07-19T09:11:00Z</dcterms:created>
  <dcterms:modified xsi:type="dcterms:W3CDTF">2024-07-19T15:38:00Z</dcterms:modified>
</cp:coreProperties>
</file>