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A37CF2">
      <w:pPr>
        <w:spacing w:before="58" w:line="480" w:lineRule="auto"/>
        <w:ind w:left="42"/>
        <w:jc w:val="both"/>
        <w:rPr>
          <w:rFonts w:hint="default" w:ascii="Times New Roman Regular" w:hAnsi="Times New Roman Regular" w:eastAsia="Times New Roman" w:cs="Times New Roman Regular"/>
          <w:sz w:val="24"/>
          <w:szCs w:val="24"/>
        </w:rPr>
      </w:pPr>
    </w:p>
    <w:p w14:paraId="6329B578">
      <w:pPr>
        <w:spacing w:before="58" w:line="480" w:lineRule="auto"/>
        <w:ind w:left="42"/>
        <w:jc w:val="center"/>
        <w:rPr>
          <w:rFonts w:hint="default" w:ascii="Times New Roman Bold" w:hAnsi="Times New Roman Bold" w:eastAsia="Times New Roman" w:cs="Times New Roman Bold"/>
          <w:b/>
          <w:bCs/>
          <w:sz w:val="32"/>
          <w:szCs w:val="32"/>
        </w:rPr>
      </w:pPr>
      <w:r>
        <w:rPr>
          <w:rFonts w:hint="default" w:ascii="Times New Roman Bold" w:hAnsi="Times New Roman Bold" w:eastAsia="Times New Roman" w:cs="Times New Roman Bold"/>
          <w:b/>
          <w:bCs/>
          <w:sz w:val="32"/>
          <w:szCs w:val="32"/>
        </w:rPr>
        <w:t>Hepatic artery infusion chemotherapy combined with camrelizumab and apatinib as conversion therapy for patients with unresectable hepatocellular carcinoma: a single-arm exploratory trial</w:t>
      </w:r>
    </w:p>
    <w:p w14:paraId="3F778E7B">
      <w:pPr>
        <w:spacing w:before="58" w:line="480" w:lineRule="auto"/>
        <w:ind w:left="42"/>
        <w:jc w:val="both"/>
        <w:rPr>
          <w:rFonts w:hint="default" w:ascii="Times New Roman Regular" w:hAnsi="Times New Roman Regular" w:eastAsia="Times New Roman" w:cs="Times New Roman Regular"/>
          <w:sz w:val="24"/>
          <w:szCs w:val="24"/>
        </w:rPr>
      </w:pPr>
    </w:p>
    <w:p w14:paraId="38F95A6C">
      <w:pPr>
        <w:spacing w:before="58" w:line="480" w:lineRule="auto"/>
        <w:ind w:left="42"/>
        <w:jc w:val="both"/>
        <w:rPr>
          <w:rFonts w:hint="default" w:ascii="Times New Roman Regular" w:hAnsi="Times New Roman Regular" w:eastAsia="Times New Roman" w:cs="Times New Roman Regular"/>
          <w:sz w:val="24"/>
          <w:szCs w:val="24"/>
        </w:rPr>
      </w:pPr>
    </w:p>
    <w:p w14:paraId="155D2C19">
      <w:pPr>
        <w:spacing w:before="58" w:line="480" w:lineRule="auto"/>
        <w:ind w:left="42"/>
        <w:jc w:val="both"/>
        <w:rPr>
          <w:rFonts w:hint="default" w:ascii="Times New Roman Regular" w:hAnsi="Times New Roman Regular" w:eastAsia="Times New Roman" w:cs="Times New Roman Regular"/>
          <w:sz w:val="24"/>
          <w:szCs w:val="24"/>
        </w:rPr>
      </w:pPr>
    </w:p>
    <w:p w14:paraId="21DE98A4">
      <w:pPr>
        <w:spacing w:before="58" w:line="480" w:lineRule="auto"/>
        <w:ind w:left="42"/>
        <w:jc w:val="both"/>
        <w:rPr>
          <w:rFonts w:hint="default" w:ascii="Times New Roman Regular" w:hAnsi="Times New Roman Regular" w:eastAsia="Times New Roman" w:cs="Times New Roman Regular"/>
          <w:sz w:val="24"/>
          <w:szCs w:val="24"/>
        </w:rPr>
      </w:pPr>
    </w:p>
    <w:p w14:paraId="7B9EE69F">
      <w:pPr>
        <w:spacing w:before="58" w:line="480" w:lineRule="auto"/>
        <w:ind w:left="42"/>
        <w:jc w:val="both"/>
        <w:rPr>
          <w:rFonts w:hint="default" w:ascii="Times New Roman Regular" w:hAnsi="Times New Roman Regular" w:eastAsia="Times New Roman" w:cs="Times New Roman Regular"/>
          <w:sz w:val="24"/>
          <w:szCs w:val="24"/>
        </w:rPr>
      </w:pPr>
    </w:p>
    <w:p w14:paraId="390A3A10">
      <w:pPr>
        <w:spacing w:before="58" w:line="480" w:lineRule="auto"/>
        <w:ind w:left="42"/>
        <w:jc w:val="both"/>
        <w:rPr>
          <w:rFonts w:hint="default" w:ascii="Times New Roman Bold" w:hAnsi="Times New Roman Bold" w:eastAsia="Times New Roman" w:cs="Times New Roman Bold"/>
          <w:b/>
          <w:bCs/>
          <w:sz w:val="32"/>
          <w:szCs w:val="32"/>
        </w:rPr>
      </w:pPr>
      <w:r>
        <w:rPr>
          <w:rFonts w:hint="default" w:ascii="Times New Roman Bold" w:hAnsi="Times New Roman Bold" w:eastAsia="Times New Roman" w:cs="Times New Roman Bold"/>
          <w:b/>
          <w:bCs/>
          <w:sz w:val="32"/>
          <w:szCs w:val="32"/>
        </w:rPr>
        <w:t>Protocol</w:t>
      </w:r>
    </w:p>
    <w:p w14:paraId="07BD81D7">
      <w:pPr>
        <w:spacing w:before="58" w:line="480" w:lineRule="auto"/>
        <w:ind w:left="42"/>
        <w:jc w:val="both"/>
        <w:rPr>
          <w:rFonts w:hint="default" w:ascii="Times New Roman Regular" w:hAnsi="Times New Roman Regular" w:eastAsia="Times New Roman" w:cs="Times New Roman Regular"/>
          <w:sz w:val="24"/>
          <w:szCs w:val="24"/>
        </w:rPr>
      </w:pPr>
    </w:p>
    <w:p w14:paraId="7835F732">
      <w:pPr>
        <w:spacing w:before="58" w:line="480" w:lineRule="auto"/>
        <w:jc w:val="both"/>
        <w:rPr>
          <w:rFonts w:hint="default" w:ascii="Times New Roman Regular" w:hAnsi="Times New Roman Regular" w:eastAsia="Times New Roman" w:cs="Times New Roman Regular"/>
          <w:sz w:val="24"/>
          <w:szCs w:val="24"/>
        </w:rPr>
      </w:pPr>
    </w:p>
    <w:p w14:paraId="5638A62C">
      <w:pPr>
        <w:spacing w:before="58" w:line="480" w:lineRule="auto"/>
        <w:ind w:left="42"/>
        <w:jc w:val="both"/>
        <w:rPr>
          <w:rFonts w:hint="default" w:ascii="Times New Roman Regular" w:hAnsi="Times New Roman Regular" w:eastAsia="Times New Roman" w:cs="Times New Roman Regular"/>
          <w:sz w:val="24"/>
          <w:szCs w:val="24"/>
        </w:rPr>
      </w:pPr>
      <w:r>
        <w:rPr>
          <w:rFonts w:hint="default" w:ascii="Times New Roman Regular" w:hAnsi="Times New Roman Regular" w:eastAsia="Times New Roman" w:cs="Times New Roman Regular"/>
          <w:sz w:val="24"/>
          <w:szCs w:val="24"/>
        </w:rPr>
        <w:t>version number： v</w:t>
      </w:r>
      <w:r>
        <w:rPr>
          <w:rFonts w:hint="eastAsia" w:ascii="Times New Roman Regular" w:hAnsi="Times New Roman Regular" w:eastAsia="宋体" w:cs="Times New Roman Regular"/>
          <w:sz w:val="24"/>
          <w:szCs w:val="24"/>
          <w:lang w:val="en-US" w:eastAsia="zh-CN"/>
        </w:rPr>
        <w:t xml:space="preserve">1.2 </w:t>
      </w:r>
      <w:r>
        <w:rPr>
          <w:rFonts w:hint="default" w:ascii="Times New Roman Regular" w:hAnsi="Times New Roman Regular" w:eastAsia="Times New Roman" w:cs="Times New Roman Regular"/>
          <w:sz w:val="24"/>
          <w:szCs w:val="24"/>
        </w:rPr>
        <w:t xml:space="preserve"> date: </w:t>
      </w:r>
      <w:r>
        <w:rPr>
          <w:rFonts w:hint="eastAsia" w:ascii="Times New Roman Regular" w:hAnsi="Times New Roman Regular" w:eastAsia="宋体" w:cs="Times New Roman Regular"/>
          <w:sz w:val="24"/>
          <w:szCs w:val="24"/>
          <w:lang w:val="en-US" w:eastAsia="zh-CN"/>
        </w:rPr>
        <w:t xml:space="preserve"> 20</w:t>
      </w:r>
      <w:r>
        <w:rPr>
          <w:rFonts w:hint="default" w:ascii="Times New Roman Regular" w:hAnsi="Times New Roman Regular" w:eastAsia="Times New Roman" w:cs="Times New Roman Regular"/>
          <w:sz w:val="24"/>
          <w:szCs w:val="24"/>
        </w:rPr>
        <w:t xml:space="preserve">th </w:t>
      </w:r>
      <w:r>
        <w:rPr>
          <w:rFonts w:hint="eastAsia" w:ascii="Times New Roman Regular" w:hAnsi="Times New Roman Regular" w:eastAsia="宋体" w:cs="Times New Roman Regular"/>
          <w:sz w:val="24"/>
          <w:szCs w:val="24"/>
          <w:lang w:val="en-US" w:eastAsia="zh-CN"/>
        </w:rPr>
        <w:t>Apr</w:t>
      </w:r>
      <w:r>
        <w:rPr>
          <w:rFonts w:hint="default" w:ascii="Times New Roman Regular" w:hAnsi="Times New Roman Regular" w:eastAsia="Times New Roman" w:cs="Times New Roman Regular"/>
          <w:sz w:val="24"/>
          <w:szCs w:val="24"/>
        </w:rPr>
        <w:t xml:space="preserve"> 2022</w:t>
      </w:r>
    </w:p>
    <w:p w14:paraId="7B0AF4C3">
      <w:pPr>
        <w:spacing w:before="58" w:line="480" w:lineRule="auto"/>
        <w:jc w:val="both"/>
        <w:rPr>
          <w:rFonts w:hint="default" w:ascii="Times New Roman Regular" w:hAnsi="Times New Roman Regular" w:eastAsia="Times New Roman" w:cs="Times New Roman Regular"/>
          <w:sz w:val="24"/>
          <w:szCs w:val="24"/>
        </w:rPr>
      </w:pPr>
    </w:p>
    <w:p w14:paraId="73208F97">
      <w:pPr>
        <w:spacing w:before="58" w:line="480" w:lineRule="auto"/>
        <w:ind w:left="42"/>
        <w:jc w:val="both"/>
        <w:rPr>
          <w:rFonts w:hint="default" w:ascii="Times New Roman Regular" w:hAnsi="Times New Roman Regular" w:eastAsia="Times New Roman" w:cs="Times New Roman Regular"/>
          <w:sz w:val="24"/>
          <w:szCs w:val="24"/>
        </w:rPr>
      </w:pPr>
      <w:r>
        <w:rPr>
          <w:rFonts w:hint="default" w:ascii="Times New Roman Regular" w:hAnsi="Times New Roman Regular" w:eastAsia="Times New Roman" w:cs="Times New Roman Regular"/>
          <w:sz w:val="24"/>
          <w:szCs w:val="24"/>
        </w:rPr>
        <w:t>Sponsor：Shandong Cancer Hopsital Affiliated to Shandong First Medical University</w:t>
      </w:r>
    </w:p>
    <w:p w14:paraId="73947B38">
      <w:pPr>
        <w:jc w:val="both"/>
        <w:rPr>
          <w:rFonts w:hint="default" w:ascii="Times New Roman Regular" w:hAnsi="Times New Roman Regular" w:eastAsia="Times New Roman" w:cs="Times New Roman Regular"/>
          <w:sz w:val="24"/>
          <w:szCs w:val="24"/>
        </w:rPr>
      </w:pPr>
      <w:r>
        <w:rPr>
          <w:rFonts w:hint="default" w:ascii="Times New Roman Regular" w:hAnsi="Times New Roman Regular" w:eastAsia="Times New Roman" w:cs="Times New Roman Regular"/>
          <w:sz w:val="24"/>
          <w:szCs w:val="24"/>
        </w:rPr>
        <w:br w:type="page"/>
      </w:r>
    </w:p>
    <w:p w14:paraId="36F2BA81">
      <w:pPr>
        <w:spacing w:before="58" w:line="480" w:lineRule="auto"/>
        <w:ind w:left="42"/>
        <w:jc w:val="both"/>
        <w:rPr>
          <w:rFonts w:hint="default" w:ascii="Times New Roman Regular" w:hAnsi="Times New Roman Regular" w:eastAsia="Times New Roman" w:cs="Times New Roman Regular"/>
          <w:sz w:val="24"/>
          <w:szCs w:val="24"/>
        </w:rPr>
      </w:pPr>
    </w:p>
    <w:p w14:paraId="5A2AE143">
      <w:pPr>
        <w:spacing w:before="58" w:line="480" w:lineRule="auto"/>
        <w:jc w:val="both"/>
        <w:rPr>
          <w:rFonts w:hint="default" w:ascii="Times New Roman Bold" w:hAnsi="Times New Roman Bold" w:eastAsia="Times New Roman" w:cs="Times New Roman Bold"/>
          <w:b/>
          <w:bCs/>
          <w:sz w:val="32"/>
          <w:szCs w:val="32"/>
        </w:rPr>
      </w:pPr>
      <w:r>
        <w:rPr>
          <w:rFonts w:hint="default" w:ascii="Times New Roman Bold" w:hAnsi="Times New Roman Bold" w:eastAsia="Times New Roman" w:cs="Times New Roman Bold"/>
          <w:b/>
          <w:bCs/>
          <w:sz w:val="32"/>
          <w:szCs w:val="32"/>
        </w:rPr>
        <w:t>Signing page of PI</w:t>
      </w:r>
    </w:p>
    <w:p w14:paraId="66379D51">
      <w:pPr>
        <w:spacing w:before="58" w:line="480" w:lineRule="auto"/>
        <w:jc w:val="both"/>
        <w:rPr>
          <w:rFonts w:hint="default" w:ascii="Times New Roman Regular" w:hAnsi="Times New Roman Regular" w:eastAsia="Times New Roman" w:cs="Times New Roman Regular"/>
          <w:sz w:val="24"/>
          <w:szCs w:val="24"/>
        </w:rPr>
      </w:pPr>
    </w:p>
    <w:p w14:paraId="3F80D77D">
      <w:pPr>
        <w:spacing w:before="58" w:line="480" w:lineRule="auto"/>
        <w:ind w:left="42"/>
        <w:jc w:val="both"/>
        <w:rPr>
          <w:rFonts w:hint="default" w:ascii="Times New Roman Regular" w:hAnsi="Times New Roman Regular" w:eastAsia="Times New Roman" w:cs="Times New Roman Regular"/>
          <w:sz w:val="24"/>
          <w:szCs w:val="24"/>
        </w:rPr>
      </w:pPr>
      <w:r>
        <w:rPr>
          <w:rFonts w:hint="default" w:ascii="Times New Roman Regular" w:hAnsi="Times New Roman Regular" w:eastAsia="Times New Roman" w:cs="Times New Roman Regular"/>
          <w:sz w:val="24"/>
          <w:szCs w:val="24"/>
        </w:rPr>
        <w:t>(</w:t>
      </w:r>
      <w:r>
        <w:rPr>
          <w:rFonts w:hint="default" w:ascii="Times New Roman Italic" w:hAnsi="Times New Roman Italic" w:eastAsia="Times New Roman" w:cs="Times New Roman Italic"/>
          <w:i/>
          <w:iCs/>
          <w:sz w:val="24"/>
          <w:szCs w:val="24"/>
        </w:rPr>
        <w:t>Be omitted</w:t>
      </w:r>
      <w:r>
        <w:rPr>
          <w:rFonts w:hint="default" w:ascii="Times New Roman Regular" w:hAnsi="Times New Roman Regular" w:eastAsia="Times New Roman" w:cs="Times New Roman Regular"/>
          <w:sz w:val="24"/>
          <w:szCs w:val="24"/>
        </w:rPr>
        <w:t>)</w:t>
      </w:r>
    </w:p>
    <w:p w14:paraId="41B6CECB">
      <w:pPr>
        <w:jc w:val="both"/>
        <w:rPr>
          <w:rFonts w:hint="default" w:ascii="Times New Roman Regular" w:hAnsi="Times New Roman Regular" w:eastAsia="Times New Roman" w:cs="Times New Roman Regular"/>
          <w:sz w:val="24"/>
          <w:szCs w:val="24"/>
        </w:rPr>
      </w:pPr>
      <w:r>
        <w:rPr>
          <w:rFonts w:hint="default" w:ascii="Times New Roman Regular" w:hAnsi="Times New Roman Regular" w:eastAsia="Times New Roman" w:cs="Times New Roman Regular"/>
          <w:sz w:val="24"/>
          <w:szCs w:val="24"/>
        </w:rPr>
        <w:br w:type="page"/>
      </w:r>
    </w:p>
    <w:p w14:paraId="49BDB632">
      <w:pPr>
        <w:spacing w:before="58" w:line="480" w:lineRule="auto"/>
        <w:ind w:left="42"/>
        <w:jc w:val="both"/>
        <w:rPr>
          <w:rFonts w:hint="default" w:ascii="Times New Roman Regular" w:hAnsi="Times New Roman Regular" w:eastAsia="Times New Roman" w:cs="Times New Roman Regular"/>
          <w:sz w:val="24"/>
          <w:szCs w:val="24"/>
        </w:rPr>
      </w:pPr>
    </w:p>
    <w:p w14:paraId="1F5C559D">
      <w:pPr>
        <w:spacing w:before="58" w:line="480" w:lineRule="auto"/>
        <w:ind w:left="42"/>
        <w:jc w:val="center"/>
        <w:rPr>
          <w:rFonts w:hint="default" w:ascii="Times New Roman Bold" w:hAnsi="Times New Roman Bold" w:eastAsia="Times New Roman" w:cs="Times New Roman Bold"/>
          <w:b/>
          <w:bCs/>
          <w:sz w:val="28"/>
          <w:szCs w:val="28"/>
        </w:rPr>
      </w:pPr>
      <w:r>
        <w:rPr>
          <w:rFonts w:hint="default" w:ascii="Times New Roman Bold" w:hAnsi="Times New Roman Bold" w:eastAsia="Times New Roman" w:cs="Times New Roman Bold"/>
          <w:b/>
          <w:bCs/>
          <w:sz w:val="28"/>
          <w:szCs w:val="28"/>
        </w:rPr>
        <w:t>Hepatic artery infusion chemotherapy combined with camrelizumab and apatinib as conversion therapy for patients with unresectable hepatocellular carcinoma: a single-arm exploratory trial</w:t>
      </w:r>
    </w:p>
    <w:p w14:paraId="718F8CD9">
      <w:pPr>
        <w:spacing w:before="58" w:line="480" w:lineRule="auto"/>
        <w:jc w:val="both"/>
        <w:rPr>
          <w:rFonts w:hint="default" w:ascii="Times New Roman Regular" w:hAnsi="Times New Roman Regular" w:eastAsia="Times New Roman" w:cs="Times New Roman Regular"/>
          <w:sz w:val="24"/>
          <w:szCs w:val="24"/>
        </w:rPr>
      </w:pPr>
    </w:p>
    <w:p w14:paraId="0705E006">
      <w:pPr>
        <w:spacing w:before="58" w:line="480" w:lineRule="auto"/>
        <w:ind w:left="42"/>
        <w:jc w:val="both"/>
        <w:rPr>
          <w:rFonts w:hint="default" w:ascii="Times New Roman Bold" w:hAnsi="Times New Roman Bold" w:eastAsia="Times New Roman" w:cs="Times New Roman Bold"/>
          <w:b/>
          <w:bCs/>
          <w:sz w:val="24"/>
          <w:szCs w:val="24"/>
        </w:rPr>
      </w:pPr>
      <w:r>
        <w:rPr>
          <w:rFonts w:hint="default" w:ascii="Times New Roman Bold" w:hAnsi="Times New Roman Bold" w:eastAsia="Times New Roman" w:cs="Times New Roman Bold"/>
          <w:b/>
          <w:bCs/>
          <w:sz w:val="24"/>
          <w:szCs w:val="24"/>
        </w:rPr>
        <w:t>Background:</w:t>
      </w:r>
    </w:p>
    <w:p w14:paraId="700A9989">
      <w:pPr>
        <w:spacing w:before="58" w:line="480" w:lineRule="auto"/>
        <w:ind w:left="42"/>
        <w:jc w:val="both"/>
        <w:rPr>
          <w:rFonts w:hint="default" w:ascii="Times New Roman Regular" w:hAnsi="Times New Roman Regular" w:eastAsia="Times New Roman" w:cs="Times New Roman Regular"/>
          <w:sz w:val="24"/>
          <w:szCs w:val="24"/>
        </w:rPr>
      </w:pPr>
      <w:r>
        <w:rPr>
          <w:rFonts w:hint="default" w:ascii="Times New Roman Regular" w:hAnsi="Times New Roman Regular" w:eastAsia="Times New Roman" w:cs="Times New Roman Regular"/>
          <w:sz w:val="24"/>
          <w:szCs w:val="24"/>
        </w:rPr>
        <w:t>(</w:t>
      </w:r>
      <w:r>
        <w:rPr>
          <w:rFonts w:hint="default" w:ascii="Times New Roman Italic" w:hAnsi="Times New Roman Italic" w:eastAsia="Times New Roman" w:cs="Times New Roman Italic"/>
          <w:i/>
          <w:iCs/>
          <w:sz w:val="24"/>
          <w:szCs w:val="24"/>
        </w:rPr>
        <w:t>Be omitted</w:t>
      </w:r>
      <w:r>
        <w:rPr>
          <w:rFonts w:hint="default" w:ascii="Times New Roman Regular" w:hAnsi="Times New Roman Regular" w:eastAsia="Times New Roman" w:cs="Times New Roman Regular"/>
          <w:sz w:val="24"/>
          <w:szCs w:val="24"/>
        </w:rPr>
        <w:t>)</w:t>
      </w:r>
    </w:p>
    <w:p w14:paraId="62F12298">
      <w:pPr>
        <w:spacing w:before="58" w:line="480" w:lineRule="auto"/>
        <w:ind w:left="42"/>
        <w:jc w:val="both"/>
        <w:rPr>
          <w:rFonts w:hint="default" w:ascii="Times New Roman Regular" w:hAnsi="Times New Roman Regular" w:eastAsia="Times New Roman" w:cs="Times New Roman Regular"/>
          <w:sz w:val="24"/>
          <w:szCs w:val="24"/>
        </w:rPr>
      </w:pPr>
      <w:r>
        <w:rPr>
          <w:rFonts w:hint="default" w:ascii="Times New Roman Bold" w:hAnsi="Times New Roman Bold" w:eastAsia="Times New Roman" w:cs="Times New Roman Bold"/>
          <w:b/>
          <w:bCs/>
          <w:sz w:val="24"/>
          <w:szCs w:val="24"/>
        </w:rPr>
        <w:t>Study design:</w:t>
      </w:r>
    </w:p>
    <w:p w14:paraId="473F32D1">
      <w:pPr>
        <w:spacing w:before="58" w:line="480" w:lineRule="auto"/>
        <w:ind w:left="42"/>
        <w:jc w:val="both"/>
        <w:rPr>
          <w:rFonts w:hint="default" w:ascii="Times New Roman Regular" w:hAnsi="Times New Roman Regular" w:eastAsia="Times New Roman" w:cs="Times New Roman Regular"/>
          <w:sz w:val="24"/>
          <w:szCs w:val="24"/>
        </w:rPr>
      </w:pPr>
      <w:r>
        <w:rPr>
          <w:rFonts w:hint="eastAsia" w:ascii="Times New Roman Regular" w:hAnsi="Times New Roman Regular" w:eastAsia="宋体" w:cs="Times New Roman Regular"/>
          <w:sz w:val="24"/>
          <w:szCs w:val="24"/>
          <w:lang w:val="en-US" w:eastAsia="zh-CN"/>
        </w:rPr>
        <w:t>MA-HCC-II-015</w:t>
      </w:r>
      <w:r>
        <w:rPr>
          <w:rFonts w:hint="default" w:ascii="Times New Roman Regular" w:hAnsi="Times New Roman Regular" w:eastAsia="Times New Roman" w:cs="Times New Roman Regular"/>
          <w:sz w:val="24"/>
          <w:szCs w:val="24"/>
        </w:rPr>
        <w:t xml:space="preserve"> is a prospective, single-centered, explotary study, aiming to</w:t>
      </w:r>
      <w:r>
        <w:rPr>
          <w:rFonts w:hint="default" w:ascii="Times New Roman Regular" w:hAnsi="Times New Roman Regular" w:eastAsia="Times New Roman" w:cs="Times New Roman Regular"/>
          <w:sz w:val="24"/>
          <w:szCs w:val="24"/>
          <w:lang w:val="en-US"/>
        </w:rPr>
        <w:t xml:space="preserve"> </w:t>
      </w:r>
      <w:r>
        <w:rPr>
          <w:rFonts w:hint="default" w:ascii="Times New Roman Regular" w:hAnsi="Times New Roman Regular" w:eastAsia="Times New Roman" w:cs="Times New Roman Regular"/>
          <w:sz w:val="24"/>
          <w:szCs w:val="24"/>
        </w:rPr>
        <w:t xml:space="preserve">evaluate the safety and effectiveness of </w:t>
      </w:r>
      <w:r>
        <w:rPr>
          <w:rFonts w:hint="default" w:ascii="Times New Roman" w:hAnsi="Times New Roman" w:eastAsia="Songti SC"/>
          <w:sz w:val="24"/>
          <w:lang w:val="en-US" w:eastAsia="zh-CN"/>
        </w:rPr>
        <w:t>hepatic arterial infusion chemotherapy (HAIC)</w:t>
      </w:r>
      <w:r>
        <w:rPr>
          <w:rFonts w:hint="default" w:ascii="Times New Roman Regular" w:hAnsi="Times New Roman Regular" w:eastAsia="Times New Roman" w:cs="Times New Roman Regular"/>
          <w:sz w:val="24"/>
          <w:szCs w:val="24"/>
        </w:rPr>
        <w:t xml:space="preserve"> combined with camrelizumab and apatinib  as conversion therapy for u</w:t>
      </w:r>
      <w:r>
        <w:rPr>
          <w:rFonts w:hint="eastAsia" w:ascii="Times New Roman Regular" w:hAnsi="Times New Roman Regular" w:eastAsia="宋体" w:cs="Times New Roman Regular"/>
          <w:sz w:val="24"/>
          <w:szCs w:val="24"/>
          <w:lang w:val="en-US" w:eastAsia="zh-CN"/>
        </w:rPr>
        <w:t>n</w:t>
      </w:r>
      <w:r>
        <w:rPr>
          <w:rFonts w:hint="default" w:ascii="Times New Roman Regular" w:hAnsi="Times New Roman Regular" w:eastAsia="Times New Roman" w:cs="Times New Roman Regular"/>
          <w:sz w:val="24"/>
          <w:szCs w:val="24"/>
        </w:rPr>
        <w:t>resectable hepatocellular carcinoma</w:t>
      </w:r>
      <w:r>
        <w:rPr>
          <w:rFonts w:hint="default" w:ascii="Times New Roman Regular" w:hAnsi="Times New Roman Regular" w:eastAsia="Times New Roman" w:cs="Times New Roman Regular"/>
          <w:sz w:val="24"/>
          <w:szCs w:val="24"/>
          <w:lang w:val="en-US"/>
        </w:rPr>
        <w:t xml:space="preserve"> (u</w:t>
      </w:r>
      <w:r>
        <w:rPr>
          <w:rFonts w:hint="default" w:ascii="Times New Roman Regular" w:hAnsi="Times New Roman Regular" w:eastAsia="Times New Roman" w:cs="Times New Roman Regular"/>
          <w:sz w:val="24"/>
          <w:szCs w:val="24"/>
        </w:rPr>
        <w:t>HCC</w:t>
      </w:r>
      <w:r>
        <w:rPr>
          <w:rFonts w:hint="default" w:ascii="Times New Roman Regular" w:hAnsi="Times New Roman Regular" w:eastAsia="Times New Roman" w:cs="Times New Roman Regular"/>
          <w:sz w:val="24"/>
          <w:szCs w:val="24"/>
          <w:lang w:val="en-US"/>
        </w:rPr>
        <w:t>)</w:t>
      </w:r>
      <w:r>
        <w:rPr>
          <w:rFonts w:hint="default" w:ascii="Times New Roman Regular" w:hAnsi="Times New Roman Regular" w:eastAsia="Times New Roman" w:cs="Times New Roman Regular"/>
          <w:sz w:val="24"/>
          <w:szCs w:val="24"/>
        </w:rPr>
        <w:t>. This study</w:t>
      </w:r>
      <w:r>
        <w:rPr>
          <w:rFonts w:hint="default" w:ascii="Times New Roman Regular" w:hAnsi="Times New Roman Regular" w:eastAsia="Times New Roman" w:cs="Times New Roman Regular"/>
          <w:sz w:val="24"/>
          <w:szCs w:val="24"/>
          <w:lang w:val="en-US"/>
        </w:rPr>
        <w:t xml:space="preserve"> </w:t>
      </w:r>
      <w:r>
        <w:rPr>
          <w:rFonts w:hint="default" w:ascii="Times New Roman Regular" w:hAnsi="Times New Roman Regular" w:eastAsia="Times New Roman" w:cs="Times New Roman Regular"/>
          <w:sz w:val="24"/>
          <w:szCs w:val="24"/>
        </w:rPr>
        <w:t>will not compare or evaluate the outcome of different treatments. If the results of this trial are</w:t>
      </w:r>
      <w:r>
        <w:rPr>
          <w:rFonts w:hint="eastAsia" w:ascii="Times New Roman Regular" w:hAnsi="Times New Roman Regular" w:eastAsia="宋体" w:cs="Times New Roman Regular"/>
          <w:sz w:val="24"/>
          <w:szCs w:val="24"/>
          <w:lang w:val="en-US" w:eastAsia="zh-CN"/>
        </w:rPr>
        <w:t xml:space="preserve"> </w:t>
      </w:r>
      <w:r>
        <w:rPr>
          <w:rFonts w:hint="default" w:ascii="Times New Roman Regular" w:hAnsi="Times New Roman Regular" w:eastAsia="Times New Roman" w:cs="Times New Roman Regular"/>
          <w:sz w:val="24"/>
          <w:szCs w:val="24"/>
        </w:rPr>
        <w:t xml:space="preserve">satisfied and encouraging, we will discuss the possibility of further phase III trials. Twenty participants are planned to be enrolled in this trial. The study will start on </w:t>
      </w:r>
      <w:r>
        <w:rPr>
          <w:rFonts w:hint="default" w:ascii="Times New Roman Regular" w:hAnsi="Times New Roman Regular" w:eastAsia="Times New Roman" w:cs="Times New Roman Regular"/>
          <w:sz w:val="24"/>
          <w:szCs w:val="24"/>
          <w:lang w:val="en-US"/>
        </w:rPr>
        <w:t xml:space="preserve"> January</w:t>
      </w:r>
      <w:r>
        <w:rPr>
          <w:rFonts w:hint="default" w:ascii="Times New Roman Regular" w:hAnsi="Times New Roman Regular" w:eastAsia="Times New Roman" w:cs="Times New Roman Regular"/>
          <w:sz w:val="24"/>
          <w:szCs w:val="24"/>
        </w:rPr>
        <w:t xml:space="preserve"> 1, 202</w:t>
      </w:r>
      <w:r>
        <w:rPr>
          <w:rFonts w:hint="eastAsia" w:ascii="Times New Roman Regular" w:hAnsi="Times New Roman Regular" w:eastAsia="宋体" w:cs="Times New Roman Regular"/>
          <w:sz w:val="24"/>
          <w:szCs w:val="24"/>
          <w:lang w:val="en-US" w:eastAsia="zh-CN"/>
        </w:rPr>
        <w:t>1</w:t>
      </w:r>
      <w:r>
        <w:rPr>
          <w:rFonts w:hint="default" w:ascii="Times New Roman Regular" w:hAnsi="Times New Roman Regular" w:eastAsia="Times New Roman" w:cs="Times New Roman Regular"/>
          <w:sz w:val="24"/>
          <w:szCs w:val="24"/>
        </w:rPr>
        <w:t>, and is anticipated to be completed on December 31, 202</w:t>
      </w:r>
      <w:r>
        <w:rPr>
          <w:rFonts w:hint="eastAsia" w:ascii="Times New Roman Regular" w:hAnsi="Times New Roman Regular" w:eastAsia="宋体" w:cs="Times New Roman Regular"/>
          <w:sz w:val="24"/>
          <w:szCs w:val="24"/>
          <w:lang w:val="en-US" w:eastAsia="zh-CN"/>
        </w:rPr>
        <w:t>3</w:t>
      </w:r>
      <w:r>
        <w:rPr>
          <w:rFonts w:hint="default" w:ascii="Times New Roman Regular" w:hAnsi="Times New Roman Regular" w:eastAsia="Times New Roman" w:cs="Times New Roman Regular"/>
          <w:sz w:val="24"/>
          <w:szCs w:val="24"/>
        </w:rPr>
        <w:t>.</w:t>
      </w:r>
    </w:p>
    <w:p w14:paraId="2B0271E1">
      <w:pPr>
        <w:spacing w:before="58" w:line="480" w:lineRule="auto"/>
        <w:ind w:left="42" w:firstLine="240" w:firstLineChars="100"/>
        <w:jc w:val="both"/>
        <w:rPr>
          <w:rFonts w:hint="default" w:ascii="Times New Roman Regular" w:hAnsi="Times New Roman Regular" w:eastAsia="Times New Roman" w:cs="Times New Roman Regular"/>
          <w:sz w:val="24"/>
          <w:szCs w:val="24"/>
        </w:rPr>
      </w:pPr>
      <w:r>
        <w:rPr>
          <w:rFonts w:hint="default" w:ascii="Times New Roman Regular" w:hAnsi="Times New Roman Regular" w:eastAsia="Times New Roman" w:cs="Times New Roman Regular"/>
          <w:sz w:val="24"/>
          <w:szCs w:val="24"/>
        </w:rPr>
        <w:t>FOLFOX</w:t>
      </w:r>
      <w:r>
        <w:rPr>
          <w:rFonts w:hint="eastAsia" w:ascii="Times New Roman Regular" w:hAnsi="Times New Roman Regular" w:eastAsia="宋体" w:cs="Times New Roman Regular"/>
          <w:sz w:val="24"/>
          <w:szCs w:val="24"/>
          <w:lang w:val="en-US" w:eastAsia="zh-CN"/>
        </w:rPr>
        <w:t>-</w:t>
      </w:r>
      <w:r>
        <w:rPr>
          <w:rFonts w:hint="default" w:ascii="Times New Roman Regular" w:hAnsi="Times New Roman Regular" w:eastAsia="Times New Roman" w:cs="Times New Roman Regular"/>
          <w:sz w:val="24"/>
          <w:szCs w:val="24"/>
        </w:rPr>
        <w:t>HAIC regimen consisted of a 2-h infusion of oxaliplatin at 85 mg/m</w:t>
      </w:r>
      <w:r>
        <w:rPr>
          <w:rFonts w:hint="default" w:ascii="Times New Roman Regular" w:hAnsi="Times New Roman Regular" w:eastAsia="Times New Roman" w:cs="Times New Roman Regular"/>
          <w:sz w:val="24"/>
          <w:szCs w:val="24"/>
          <w:vertAlign w:val="superscript"/>
        </w:rPr>
        <w:t>2</w:t>
      </w:r>
      <w:r>
        <w:rPr>
          <w:rFonts w:hint="default" w:ascii="Times New Roman Regular" w:hAnsi="Times New Roman Regular" w:eastAsia="Times New Roman" w:cs="Times New Roman Regular"/>
          <w:sz w:val="24"/>
          <w:szCs w:val="24"/>
        </w:rPr>
        <w:t>,a 2-3-h administration of leucovorin at 400 mg/m</w:t>
      </w:r>
      <w:r>
        <w:rPr>
          <w:rFonts w:hint="default" w:ascii="Times New Roman Regular" w:hAnsi="Times New Roman Regular" w:eastAsia="Times New Roman" w:cs="Times New Roman Regular"/>
          <w:sz w:val="24"/>
          <w:szCs w:val="24"/>
          <w:vertAlign w:val="superscript"/>
        </w:rPr>
        <w:t>2</w:t>
      </w:r>
      <w:r>
        <w:rPr>
          <w:rFonts w:hint="default" w:ascii="Times New Roman Regular" w:hAnsi="Times New Roman Regular" w:eastAsia="Times New Roman" w:cs="Times New Roman Regular"/>
          <w:sz w:val="24"/>
          <w:szCs w:val="24"/>
        </w:rPr>
        <w:t>, a 1-h infusion of fluorouracil at 400mg/m</w:t>
      </w:r>
      <w:r>
        <w:rPr>
          <w:rFonts w:hint="default" w:ascii="Times New Roman Regular" w:hAnsi="Times New Roman Regular" w:eastAsia="Times New Roman" w:cs="Times New Roman Regular"/>
          <w:sz w:val="24"/>
          <w:szCs w:val="24"/>
          <w:vertAlign w:val="superscript"/>
        </w:rPr>
        <w:t>2</w:t>
      </w:r>
      <w:r>
        <w:rPr>
          <w:rFonts w:hint="default" w:ascii="Times New Roman Regular" w:hAnsi="Times New Roman Regular" w:eastAsia="Times New Roman" w:cs="Times New Roman Regular"/>
          <w:sz w:val="24"/>
          <w:szCs w:val="24"/>
        </w:rPr>
        <w:t>, and a 46-h delivery of fluorouracil at 2400 mg/m</w:t>
      </w:r>
      <w:r>
        <w:rPr>
          <w:rFonts w:hint="default" w:ascii="Times New Roman Regular" w:hAnsi="Times New Roman Regular" w:eastAsia="Times New Roman" w:cs="Times New Roman Regular"/>
          <w:sz w:val="24"/>
          <w:szCs w:val="24"/>
          <w:vertAlign w:val="superscript"/>
        </w:rPr>
        <w:t>2</w:t>
      </w:r>
      <w:r>
        <w:rPr>
          <w:rFonts w:hint="default" w:ascii="Times New Roman Regular" w:hAnsi="Times New Roman Regular" w:eastAsia="Times New Roman" w:cs="Times New Roman Regular"/>
          <w:sz w:val="24"/>
          <w:szCs w:val="24"/>
        </w:rPr>
        <w:t xml:space="preserve"> (Figure 1). HAIC was performed by inserting a 5-French Rosch Hepatic catheter (Terumo Corporation, Tokyo, Japan) through the femoral artery with a 2.4 or 2.7-French microcatheter inside, and then, advancing the tip of the microcatheter to the tumor-feeding artery, guided by concurrent arteriography. The catheter and sheath were removed after the completion of each HAIC.</w:t>
      </w:r>
    </w:p>
    <w:p w14:paraId="6C14EB0E">
      <w:pPr>
        <w:spacing w:before="58" w:line="480" w:lineRule="auto"/>
        <w:ind w:left="42" w:firstLine="240" w:firstLineChars="100"/>
        <w:jc w:val="both"/>
        <w:rPr>
          <w:rFonts w:hint="eastAsia" w:ascii="Times New Roman Regular" w:hAnsi="Times New Roman Regular" w:eastAsia="宋体" w:cs="Times New Roman Regular"/>
          <w:sz w:val="24"/>
          <w:szCs w:val="24"/>
          <w:lang w:val="en-US" w:eastAsia="zh-CN"/>
        </w:rPr>
      </w:pPr>
      <w:r>
        <w:rPr>
          <w:rFonts w:hint="eastAsia" w:ascii="Times New Roman Regular" w:hAnsi="Times New Roman Regular" w:eastAsia="宋体" w:cs="Times New Roman Regular"/>
          <w:sz w:val="24"/>
          <w:szCs w:val="24"/>
          <w:lang w:val="en-US" w:eastAsia="zh-CN"/>
        </w:rPr>
        <w:t>C</w:t>
      </w:r>
      <w:r>
        <w:rPr>
          <w:rFonts w:hint="default" w:ascii="Times New Roman Regular" w:hAnsi="Times New Roman Regular" w:eastAsia="Times New Roman" w:cs="Times New Roman Regular"/>
          <w:sz w:val="24"/>
          <w:szCs w:val="24"/>
        </w:rPr>
        <w:t>amrelizumab</w:t>
      </w:r>
      <w:r>
        <w:rPr>
          <w:rFonts w:hint="eastAsia" w:ascii="Times New Roman Regular" w:hAnsi="Times New Roman Regular" w:eastAsia="宋体" w:cs="Times New Roman Regular"/>
          <w:sz w:val="24"/>
          <w:szCs w:val="24"/>
          <w:lang w:val="en-US" w:eastAsia="zh-CN"/>
        </w:rPr>
        <w:t xml:space="preserve"> for injection is a recombinant humanized anti-PD-1 monoclonal antibody injection, code named SHR-1210, developed by Jiangsu Hengrui Pharmaceutical. It is a human immunoglobulin G4 (IgG4) monoclonal antibody (HuMAb) that can bind to PD-1 receptors, block their interaction with PD-L1 and PD-L2, and block immune suppression reactions mediated by the PD-1 pathway, including anti-tumor immune reactions.</w:t>
      </w:r>
    </w:p>
    <w:p w14:paraId="2B91D292">
      <w:pPr>
        <w:spacing w:before="58" w:line="480" w:lineRule="auto"/>
        <w:ind w:left="42" w:firstLine="240" w:firstLineChars="100"/>
        <w:jc w:val="both"/>
        <w:rPr>
          <w:rFonts w:hint="default" w:ascii="Times New Roman Regular" w:hAnsi="Times New Roman Regular" w:eastAsia="Times New Roman" w:cs="Times New Roman Regular"/>
          <w:sz w:val="24"/>
          <w:szCs w:val="24"/>
        </w:rPr>
      </w:pPr>
      <w:r>
        <w:rPr>
          <w:rFonts w:hint="default" w:ascii="Times New Roman Regular" w:hAnsi="Times New Roman Regular" w:eastAsia="Times New Roman" w:cs="Times New Roman Regular"/>
          <w:sz w:val="24"/>
          <w:szCs w:val="24"/>
        </w:rPr>
        <w:t>Apatinib is a novel receptor tyrosine kinase inhibitor that selectively targets vascular endothelial growth factor (VEGF) receptor-2, with a binding affinity 10 times higher than sorafenib</w:t>
      </w:r>
      <w:r>
        <w:rPr>
          <w:rFonts w:hint="default" w:ascii="Times New Roman Regular" w:hAnsi="Times New Roman Regular" w:eastAsia="Times New Roman" w:cs="Times New Roman Regular"/>
          <w:sz w:val="24"/>
          <w:szCs w:val="24"/>
          <w:lang w:val="en-US"/>
        </w:rPr>
        <w:t>, developed by Jiangsu Hengrui Pharmaceutical</w:t>
      </w:r>
      <w:r>
        <w:rPr>
          <w:rFonts w:hint="default" w:ascii="Times New Roman Regular" w:hAnsi="Times New Roman Regular" w:eastAsia="Times New Roman" w:cs="Times New Roman Regular"/>
          <w:sz w:val="24"/>
          <w:szCs w:val="24"/>
        </w:rPr>
        <w:t>. Apatinib significantly inhibits tumor growth in several established human xenograft tumor models by suppressing tumor induced angiogenesis.</w:t>
      </w:r>
    </w:p>
    <w:p w14:paraId="7787DB23">
      <w:pPr>
        <w:spacing w:before="58" w:line="480" w:lineRule="auto"/>
        <w:ind w:left="42"/>
        <w:jc w:val="both"/>
        <w:rPr>
          <w:rFonts w:hint="default" w:ascii="Times New Roman Bold" w:hAnsi="Times New Roman Bold" w:eastAsia="Times New Roman" w:cs="Times New Roman Bold"/>
          <w:b/>
          <w:bCs/>
          <w:sz w:val="24"/>
          <w:szCs w:val="24"/>
        </w:rPr>
      </w:pPr>
      <w:r>
        <w:rPr>
          <w:rFonts w:hint="default" w:ascii="Times New Roman Bold" w:hAnsi="Times New Roman Bold" w:eastAsia="Times New Roman" w:cs="Times New Roman Bold"/>
          <w:b/>
          <w:bCs/>
          <w:sz w:val="24"/>
          <w:szCs w:val="24"/>
        </w:rPr>
        <w:t>Eligibility criteria</w:t>
      </w:r>
    </w:p>
    <w:p w14:paraId="43D29ED3">
      <w:pPr>
        <w:spacing w:before="58" w:line="480" w:lineRule="auto"/>
        <w:ind w:left="42"/>
        <w:jc w:val="both"/>
        <w:rPr>
          <w:rFonts w:hint="default" w:ascii="Times New Roman Regular" w:hAnsi="Times New Roman Regular" w:eastAsia="Times New Roman" w:cs="Times New Roman Regular"/>
          <w:sz w:val="24"/>
          <w:szCs w:val="24"/>
        </w:rPr>
      </w:pPr>
      <w:r>
        <w:rPr>
          <w:rFonts w:hint="default" w:ascii="Times New Roman Regular" w:hAnsi="Times New Roman Regular" w:eastAsia="Times New Roman" w:cs="Times New Roman Regular"/>
          <w:sz w:val="24"/>
          <w:szCs w:val="24"/>
        </w:rPr>
        <w:t>MA-HCC-II-015</w:t>
      </w:r>
      <w:r>
        <w:rPr>
          <w:rFonts w:hint="eastAsia" w:ascii="Times New Roman Regular" w:hAnsi="Times New Roman Regular" w:eastAsia="宋体" w:cs="Times New Roman Regular"/>
          <w:sz w:val="24"/>
          <w:szCs w:val="24"/>
          <w:lang w:val="en-US" w:eastAsia="zh-CN"/>
        </w:rPr>
        <w:t xml:space="preserve"> will recruit uHCC patients without extrahepatic or diffuse multiple tumors of the entire liver, </w:t>
      </w:r>
      <w:r>
        <w:rPr>
          <w:rFonts w:hint="default" w:ascii="Times New Roman Regular" w:hAnsi="Times New Roman Regular" w:eastAsia="Times New Roman" w:cs="Times New Roman Regular"/>
          <w:sz w:val="24"/>
          <w:szCs w:val="24"/>
        </w:rPr>
        <w:t>with a confirmed diagnosis of HCC by biopsy or by the noninvasive</w:t>
      </w:r>
      <w:r>
        <w:rPr>
          <w:rFonts w:hint="eastAsia" w:ascii="Times New Roman Regular" w:hAnsi="Times New Roman Regular" w:eastAsia="宋体" w:cs="Times New Roman Regular"/>
          <w:sz w:val="24"/>
          <w:szCs w:val="24"/>
          <w:lang w:val="en-US" w:eastAsia="zh-CN"/>
        </w:rPr>
        <w:t xml:space="preserve"> </w:t>
      </w:r>
      <w:r>
        <w:rPr>
          <w:rFonts w:hint="default" w:ascii="Times New Roman Regular" w:hAnsi="Times New Roman Regular" w:eastAsia="Times New Roman" w:cs="Times New Roman Regular"/>
          <w:sz w:val="24"/>
          <w:szCs w:val="24"/>
        </w:rPr>
        <w:t>diagnostic criteria of the American Association  for the Study of Liver</w:t>
      </w:r>
      <w:r>
        <w:rPr>
          <w:rFonts w:hint="eastAsia" w:ascii="Times New Roman Regular" w:hAnsi="Times New Roman Regular" w:eastAsia="宋体" w:cs="Times New Roman Regular"/>
          <w:sz w:val="24"/>
          <w:szCs w:val="24"/>
          <w:lang w:val="en-US" w:eastAsia="zh-CN"/>
        </w:rPr>
        <w:t xml:space="preserve"> </w:t>
      </w:r>
      <w:r>
        <w:rPr>
          <w:rFonts w:hint="default" w:ascii="Times New Roman Regular" w:hAnsi="Times New Roman Regular" w:eastAsia="Times New Roman" w:cs="Times New Roman Regular"/>
          <w:sz w:val="24"/>
          <w:szCs w:val="24"/>
        </w:rPr>
        <w:t>Diseases(AASLD).</w:t>
      </w:r>
    </w:p>
    <w:p w14:paraId="49C52F4F">
      <w:pPr>
        <w:spacing w:before="58" w:line="480" w:lineRule="auto"/>
        <w:ind w:left="42"/>
        <w:jc w:val="both"/>
        <w:rPr>
          <w:rFonts w:hint="default" w:ascii="Times New Roman Regular" w:hAnsi="Times New Roman Regular" w:eastAsia="宋体" w:cs="Times New Roman Regular"/>
          <w:sz w:val="24"/>
          <w:szCs w:val="24"/>
          <w:lang w:val="en-US" w:eastAsia="zh-CN"/>
        </w:rPr>
      </w:pPr>
      <w:r>
        <w:rPr>
          <w:rFonts w:hint="default" w:ascii="Times New Roman Bold" w:hAnsi="Times New Roman Bold" w:eastAsia="Times New Roman" w:cs="Times New Roman Bold"/>
          <w:b/>
          <w:bCs/>
          <w:sz w:val="24"/>
          <w:szCs w:val="24"/>
        </w:rPr>
        <w:t>Inclusion criteria:</w:t>
      </w:r>
    </w:p>
    <w:p w14:paraId="419844EB">
      <w:pPr>
        <w:numPr>
          <w:ilvl w:val="0"/>
          <w:numId w:val="1"/>
        </w:numPr>
        <w:spacing w:before="58" w:line="480" w:lineRule="auto"/>
        <w:ind w:left="425" w:leftChars="0" w:hanging="425" w:firstLineChars="0"/>
        <w:jc w:val="both"/>
        <w:rPr>
          <w:rFonts w:hint="default" w:ascii="Times New Roman Regular" w:hAnsi="Times New Roman Regular" w:eastAsia="Times New Roman" w:cs="Times New Roman Regular"/>
          <w:sz w:val="24"/>
          <w:szCs w:val="24"/>
        </w:rPr>
      </w:pPr>
      <w:r>
        <w:rPr>
          <w:rFonts w:hint="default" w:ascii="Times New Roman Regular" w:hAnsi="Times New Roman Regular" w:eastAsia="Times New Roman" w:cs="Times New Roman Regular"/>
          <w:sz w:val="24"/>
          <w:szCs w:val="24"/>
        </w:rPr>
        <w:t>Confirmed diagnosis of HCC. The diagnosis can be established radiographically by the criteria of the American Association for the Study of Liver Disease (AASLD), or by</w:t>
      </w:r>
      <w:r>
        <w:rPr>
          <w:rFonts w:hint="default" w:ascii="Times New Roman Regular" w:hAnsi="Times New Roman Regular" w:eastAsia="Times New Roman" w:cs="Times New Roman Regular"/>
          <w:sz w:val="24"/>
          <w:szCs w:val="24"/>
          <w:lang w:val="en-US"/>
        </w:rPr>
        <w:t xml:space="preserve"> </w:t>
      </w:r>
      <w:r>
        <w:rPr>
          <w:rFonts w:hint="default" w:ascii="Times New Roman Regular" w:hAnsi="Times New Roman Regular" w:eastAsia="Times New Roman" w:cs="Times New Roman Regular"/>
          <w:sz w:val="24"/>
          <w:szCs w:val="24"/>
        </w:rPr>
        <w:t>histologic diagnosis from a core biopsy.</w:t>
      </w:r>
    </w:p>
    <w:p w14:paraId="21CAC20D">
      <w:pPr>
        <w:numPr>
          <w:ilvl w:val="0"/>
          <w:numId w:val="1"/>
        </w:numPr>
        <w:spacing w:before="58" w:line="480" w:lineRule="auto"/>
        <w:ind w:left="425" w:leftChars="0" w:hanging="425" w:firstLineChars="0"/>
        <w:jc w:val="both"/>
        <w:rPr>
          <w:rFonts w:hint="default" w:ascii="Times New Roman Regular" w:hAnsi="Times New Roman Regular" w:eastAsia="宋体" w:cs="Times New Roman Regular"/>
          <w:sz w:val="24"/>
          <w:szCs w:val="24"/>
          <w:lang w:val="en-US" w:eastAsia="zh-CN"/>
        </w:rPr>
      </w:pPr>
      <w:r>
        <w:rPr>
          <w:rFonts w:hint="default" w:ascii="Times New Roman Regular" w:hAnsi="Times New Roman Regular" w:eastAsia="Times New Roman" w:cs="Times New Roman Regular"/>
          <w:sz w:val="24"/>
          <w:szCs w:val="24"/>
        </w:rPr>
        <w:t>Overall Child-Pugh class A</w:t>
      </w:r>
      <w:r>
        <w:rPr>
          <w:rFonts w:hint="default" w:ascii="Times New Roman Regular" w:hAnsi="Times New Roman Regular" w:eastAsia="Times New Roman" w:cs="Times New Roman Regular"/>
          <w:sz w:val="24"/>
          <w:szCs w:val="24"/>
          <w:lang w:val="en-US"/>
        </w:rPr>
        <w:t>.</w:t>
      </w:r>
    </w:p>
    <w:p w14:paraId="74ECBFFD">
      <w:pPr>
        <w:numPr>
          <w:ilvl w:val="0"/>
          <w:numId w:val="1"/>
        </w:numPr>
        <w:spacing w:before="58" w:line="480" w:lineRule="auto"/>
        <w:ind w:left="425" w:leftChars="0" w:hanging="425" w:firstLineChars="0"/>
        <w:jc w:val="both"/>
        <w:rPr>
          <w:rFonts w:hint="default" w:ascii="Times New Roman Regular" w:hAnsi="Times New Roman Regular" w:eastAsia="Times New Roman" w:cs="Times New Roman Regular"/>
          <w:sz w:val="24"/>
          <w:szCs w:val="24"/>
          <w:lang w:val="en-US"/>
        </w:rPr>
      </w:pPr>
      <w:r>
        <w:rPr>
          <w:rFonts w:hint="default" w:ascii="Times New Roman Regular" w:hAnsi="Times New Roman Regular" w:eastAsia="Times New Roman" w:cs="Times New Roman Regular"/>
          <w:sz w:val="24"/>
          <w:szCs w:val="24"/>
        </w:rPr>
        <w:t>Eastern Cooperative Oncology Group (ECOG) performance status 0 or 1</w:t>
      </w:r>
      <w:r>
        <w:rPr>
          <w:rFonts w:hint="default" w:ascii="Times New Roman Regular" w:hAnsi="Times New Roman Regular" w:eastAsia="Times New Roman" w:cs="Times New Roman Regular"/>
          <w:sz w:val="24"/>
          <w:szCs w:val="24"/>
          <w:lang w:val="en-US"/>
        </w:rPr>
        <w:t>.</w:t>
      </w:r>
    </w:p>
    <w:p w14:paraId="634474AC">
      <w:pPr>
        <w:numPr>
          <w:ilvl w:val="0"/>
          <w:numId w:val="1"/>
        </w:numPr>
        <w:spacing w:before="58" w:line="480" w:lineRule="auto"/>
        <w:ind w:left="425" w:leftChars="0" w:hanging="425" w:firstLineChars="0"/>
        <w:jc w:val="both"/>
        <w:rPr>
          <w:rFonts w:hint="default" w:ascii="Times New Roman Regular" w:hAnsi="Times New Roman Regular" w:eastAsia="宋体" w:cs="Times New Roman Regular"/>
          <w:sz w:val="24"/>
          <w:szCs w:val="24"/>
          <w:lang w:val="en-US" w:eastAsia="zh-CN"/>
        </w:rPr>
      </w:pPr>
      <w:r>
        <w:rPr>
          <w:rFonts w:hint="default" w:ascii="Times New Roman Regular" w:hAnsi="Times New Roman Regular" w:eastAsia="宋体" w:cs="Times New Roman Regular"/>
          <w:sz w:val="24"/>
          <w:szCs w:val="24"/>
          <w:lang w:val="en-US" w:eastAsia="zh-CN"/>
        </w:rPr>
        <w:t>W</w:t>
      </w:r>
      <w:r>
        <w:rPr>
          <w:rFonts w:hint="eastAsia" w:ascii="Times New Roman Regular" w:hAnsi="Times New Roman Regular" w:eastAsia="宋体" w:cs="Times New Roman Regular"/>
          <w:sz w:val="24"/>
          <w:szCs w:val="24"/>
          <w:lang w:val="en-US" w:eastAsia="zh-CN"/>
        </w:rPr>
        <w:t>ithout extrahepatic or diffuse multiple tumors of the entire liver</w:t>
      </w:r>
      <w:r>
        <w:rPr>
          <w:rFonts w:hint="default" w:ascii="Times New Roman Regular" w:hAnsi="Times New Roman Regular" w:eastAsia="宋体" w:cs="Times New Roman Regular"/>
          <w:sz w:val="24"/>
          <w:szCs w:val="24"/>
          <w:lang w:val="en-US" w:eastAsia="zh-CN"/>
        </w:rPr>
        <w:t>.</w:t>
      </w:r>
    </w:p>
    <w:p w14:paraId="16AF24A2">
      <w:pPr>
        <w:numPr>
          <w:ilvl w:val="0"/>
          <w:numId w:val="1"/>
        </w:numPr>
        <w:spacing w:before="58" w:line="480" w:lineRule="auto"/>
        <w:ind w:left="425" w:leftChars="0" w:hanging="425" w:firstLineChars="0"/>
        <w:jc w:val="both"/>
        <w:rPr>
          <w:rFonts w:hint="default" w:ascii="Times New Roman Regular" w:hAnsi="Times New Roman Regular" w:eastAsia="宋体" w:cs="Times New Roman Regular"/>
          <w:sz w:val="24"/>
          <w:szCs w:val="24"/>
          <w:lang w:val="en-US" w:eastAsia="zh-CN"/>
        </w:rPr>
      </w:pPr>
      <w:r>
        <w:rPr>
          <w:rFonts w:hint="default" w:ascii="Times New Roman Regular" w:hAnsi="Times New Roman Regular" w:eastAsia="宋体" w:cs="Times New Roman Regular"/>
          <w:sz w:val="24"/>
          <w:szCs w:val="24"/>
          <w:lang w:val="en-US" w:eastAsia="zh-CN"/>
        </w:rPr>
        <w:t>According to researchers' assessment, HCC patients who do not have the conditions for radical resection surgery but have the potential to achieve radical resection through conversion therapy, including but not limited to one of the following situations:</w:t>
      </w:r>
    </w:p>
    <w:p w14:paraId="20F9215E">
      <w:pPr>
        <w:numPr>
          <w:ilvl w:val="0"/>
          <w:numId w:val="2"/>
        </w:numPr>
        <w:spacing w:before="58" w:line="480" w:lineRule="auto"/>
        <w:ind w:left="845" w:leftChars="0" w:hanging="425" w:firstLineChars="0"/>
        <w:jc w:val="both"/>
        <w:rPr>
          <w:rFonts w:hint="default" w:ascii="Times New Roman Regular" w:hAnsi="Times New Roman Regular" w:eastAsia="宋体" w:cs="Times New Roman Regular"/>
          <w:sz w:val="24"/>
          <w:szCs w:val="24"/>
          <w:lang w:val="en-US" w:eastAsia="zh-CN"/>
        </w:rPr>
      </w:pPr>
      <w:r>
        <w:rPr>
          <w:rFonts w:hint="default" w:ascii="Times New Roman Regular" w:hAnsi="Times New Roman Regular" w:eastAsia="宋体" w:cs="Times New Roman Regular"/>
          <w:sz w:val="24"/>
          <w:szCs w:val="24"/>
          <w:lang w:val="en-US" w:eastAsia="zh-CN"/>
        </w:rPr>
        <w:t>Having no more than 3 tumors and mainly concentrated on one side of the liver;</w:t>
      </w:r>
    </w:p>
    <w:p w14:paraId="32258A72">
      <w:pPr>
        <w:numPr>
          <w:ilvl w:val="0"/>
          <w:numId w:val="2"/>
        </w:numPr>
        <w:spacing w:before="58" w:line="480" w:lineRule="auto"/>
        <w:ind w:left="845" w:leftChars="0" w:hanging="425" w:firstLineChars="0"/>
        <w:jc w:val="both"/>
        <w:rPr>
          <w:rFonts w:hint="default" w:ascii="Times New Roman Regular" w:hAnsi="Times New Roman Regular" w:eastAsia="宋体" w:cs="Times New Roman Regular"/>
          <w:sz w:val="24"/>
          <w:szCs w:val="24"/>
          <w:lang w:val="en-US" w:eastAsia="zh-CN"/>
        </w:rPr>
      </w:pPr>
      <w:r>
        <w:rPr>
          <w:rFonts w:hint="default" w:ascii="Times New Roman Regular" w:hAnsi="Times New Roman Regular" w:eastAsia="宋体" w:cs="Times New Roman Regular"/>
          <w:sz w:val="24"/>
          <w:szCs w:val="24"/>
          <w:lang w:val="en-US" w:eastAsia="zh-CN"/>
        </w:rPr>
        <w:t>Radiological confirmation of portal vein tumor thrombus (PVTT);</w:t>
      </w:r>
    </w:p>
    <w:p w14:paraId="0BC11204">
      <w:pPr>
        <w:numPr>
          <w:ilvl w:val="0"/>
          <w:numId w:val="2"/>
        </w:numPr>
        <w:spacing w:before="58" w:line="480" w:lineRule="auto"/>
        <w:ind w:left="845" w:leftChars="0" w:hanging="425" w:firstLineChars="0"/>
        <w:jc w:val="both"/>
        <w:rPr>
          <w:rFonts w:hint="default" w:ascii="Times New Roman Regular" w:hAnsi="Times New Roman Regular" w:eastAsia="宋体" w:cs="Times New Roman Regular"/>
          <w:sz w:val="24"/>
          <w:szCs w:val="24"/>
          <w:lang w:val="en-US" w:eastAsia="zh-CN"/>
        </w:rPr>
      </w:pPr>
      <w:r>
        <w:rPr>
          <w:rFonts w:hint="default" w:ascii="Times New Roman Regular" w:hAnsi="Times New Roman Regular" w:eastAsia="宋体" w:cs="Times New Roman Regular"/>
          <w:sz w:val="24"/>
          <w:szCs w:val="24"/>
          <w:lang w:val="en-US" w:eastAsia="zh-CN"/>
        </w:rPr>
        <w:t>Researchers believe that there may be other cases where radical resection can be achieved through conversion therapy.</w:t>
      </w:r>
    </w:p>
    <w:p w14:paraId="1F215B17">
      <w:pPr>
        <w:numPr>
          <w:ilvl w:val="0"/>
          <w:numId w:val="1"/>
        </w:numPr>
        <w:spacing w:before="58" w:line="480" w:lineRule="auto"/>
        <w:ind w:left="425" w:leftChars="0" w:hanging="425" w:firstLineChars="0"/>
        <w:jc w:val="both"/>
        <w:rPr>
          <w:rFonts w:hint="default" w:ascii="Times New Roman Regular" w:hAnsi="Times New Roman Regular" w:eastAsia="宋体" w:cs="Times New Roman Regular"/>
          <w:sz w:val="24"/>
          <w:szCs w:val="24"/>
          <w:lang w:val="en-US" w:eastAsia="zh-CN"/>
        </w:rPr>
      </w:pPr>
      <w:r>
        <w:rPr>
          <w:rFonts w:hint="default" w:ascii="Times New Roman Regular" w:hAnsi="Times New Roman Regular" w:eastAsia="宋体" w:cs="Times New Roman Regular"/>
          <w:sz w:val="24"/>
          <w:szCs w:val="24"/>
          <w:lang w:val="en-US" w:eastAsia="zh-CN"/>
        </w:rPr>
        <w:t>Expected survival period of at least 3 months.</w:t>
      </w:r>
    </w:p>
    <w:p w14:paraId="34231430">
      <w:pPr>
        <w:numPr>
          <w:ilvl w:val="0"/>
          <w:numId w:val="1"/>
        </w:numPr>
        <w:spacing w:before="58" w:line="480" w:lineRule="auto"/>
        <w:ind w:left="425" w:leftChars="0" w:hanging="425" w:firstLineChars="0"/>
        <w:jc w:val="both"/>
        <w:rPr>
          <w:rFonts w:hint="default" w:ascii="Times New Roman Regular" w:hAnsi="Times New Roman Regular" w:eastAsia="宋体" w:cs="Times New Roman Regular"/>
          <w:sz w:val="24"/>
          <w:szCs w:val="24"/>
          <w:lang w:val="en-US" w:eastAsia="zh-CN"/>
        </w:rPr>
      </w:pPr>
      <w:r>
        <w:rPr>
          <w:rFonts w:hint="default" w:ascii="Times New Roman Regular" w:hAnsi="Times New Roman Regular" w:eastAsia="宋体" w:cs="Times New Roman Regular"/>
          <w:sz w:val="24"/>
          <w:szCs w:val="24"/>
          <w:lang w:val="en-US" w:eastAsia="zh-CN"/>
        </w:rPr>
        <w:t xml:space="preserve">At least one measurable lesion (according to RECIST 1.1 criteria, tumor lesions with a </w:t>
      </w:r>
      <w:r>
        <w:rPr>
          <w:rFonts w:hint="default" w:ascii="Times New Roman Regular" w:hAnsi="Times New Roman Regular" w:eastAsia="Times New Roman" w:cs="Times New Roman Regular"/>
          <w:sz w:val="24"/>
          <w:szCs w:val="24"/>
        </w:rPr>
        <w:t>computed tomography (CT)-scan</w:t>
      </w:r>
      <w:r>
        <w:rPr>
          <w:rFonts w:hint="default" w:ascii="Times New Roman Regular" w:hAnsi="Times New Roman Regular" w:eastAsia="宋体" w:cs="Times New Roman Regular"/>
          <w:sz w:val="24"/>
          <w:szCs w:val="24"/>
          <w:lang w:val="en-US" w:eastAsia="zh-CN"/>
        </w:rPr>
        <w:t xml:space="preserve"> length of ≥ 10mm and lymph node lesions with a CT-scan length of ≥ 15mm).</w:t>
      </w:r>
    </w:p>
    <w:p w14:paraId="082995DD">
      <w:pPr>
        <w:numPr>
          <w:ilvl w:val="0"/>
          <w:numId w:val="1"/>
        </w:numPr>
        <w:spacing w:before="58" w:line="480" w:lineRule="auto"/>
        <w:ind w:left="425" w:leftChars="0" w:hanging="425" w:firstLineChars="0"/>
        <w:jc w:val="both"/>
        <w:rPr>
          <w:rFonts w:hint="default" w:ascii="Times New Roman Regular" w:hAnsi="Times New Roman Regular" w:eastAsia="宋体" w:cs="Times New Roman Regular"/>
          <w:sz w:val="24"/>
          <w:szCs w:val="24"/>
          <w:lang w:val="en-US" w:eastAsia="zh-CN"/>
        </w:rPr>
      </w:pPr>
      <w:r>
        <w:rPr>
          <w:rFonts w:hint="default" w:ascii="Times New Roman Regular" w:hAnsi="Times New Roman Regular" w:eastAsia="宋体" w:cs="Times New Roman Regular"/>
          <w:sz w:val="24"/>
          <w:szCs w:val="24"/>
          <w:lang w:val="en-US" w:eastAsia="zh-CN"/>
        </w:rPr>
        <w:t>Patients with HCC who have not undergone any local or systemic treatment for the tumor and have undergone curative resection surgery before relapse after 2 years of initial treatment can be included.</w:t>
      </w:r>
    </w:p>
    <w:p w14:paraId="71D1E158">
      <w:pPr>
        <w:numPr>
          <w:ilvl w:val="0"/>
          <w:numId w:val="1"/>
        </w:numPr>
        <w:spacing w:before="58" w:line="480" w:lineRule="auto"/>
        <w:ind w:left="425" w:leftChars="0" w:hanging="425" w:firstLineChars="0"/>
        <w:jc w:val="both"/>
        <w:rPr>
          <w:rFonts w:hint="default" w:ascii="Times New Roman Regular" w:hAnsi="Times New Roman Regular" w:eastAsia="宋体" w:cs="Times New Roman Regular"/>
          <w:sz w:val="24"/>
          <w:szCs w:val="24"/>
          <w:lang w:val="en-US" w:eastAsia="zh-CN"/>
        </w:rPr>
      </w:pPr>
      <w:r>
        <w:rPr>
          <w:rFonts w:hint="default" w:ascii="Times New Roman Regular" w:hAnsi="Times New Roman Regular" w:eastAsia="宋体" w:cs="Times New Roman Regular"/>
          <w:sz w:val="24"/>
          <w:szCs w:val="24"/>
          <w:lang w:val="en-US" w:eastAsia="zh-CN"/>
        </w:rPr>
        <w:t>Laboratory routine tests (blood routine, liver and kidney function, coagulation function, etc.) showed no significant abnormalities:</w:t>
      </w:r>
    </w:p>
    <w:p w14:paraId="6BCBAD16">
      <w:pPr>
        <w:numPr>
          <w:ilvl w:val="0"/>
          <w:numId w:val="3"/>
        </w:numPr>
        <w:spacing w:before="58" w:line="480" w:lineRule="auto"/>
        <w:ind w:left="845" w:leftChars="0" w:hanging="425" w:firstLineChars="0"/>
        <w:jc w:val="both"/>
        <w:rPr>
          <w:rFonts w:hint="default" w:ascii="Times New Roman Regular" w:hAnsi="Times New Roman Regular" w:eastAsia="宋体" w:cs="Times New Roman Regular"/>
          <w:sz w:val="24"/>
          <w:szCs w:val="24"/>
          <w:lang w:val="en-US" w:eastAsia="zh-CN"/>
        </w:rPr>
      </w:pPr>
      <w:r>
        <w:rPr>
          <w:rFonts w:hint="default" w:ascii="Times New Roman Regular" w:hAnsi="Times New Roman Regular" w:eastAsia="宋体" w:cs="Times New Roman Regular"/>
          <w:sz w:val="24"/>
          <w:szCs w:val="24"/>
          <w:lang w:val="en-US" w:eastAsia="zh-CN"/>
        </w:rPr>
        <w:t>The standard for blood routine examination must comply with (no blood transfusion or blood products within 14 days):</w:t>
      </w:r>
    </w:p>
    <w:p w14:paraId="000C1547">
      <w:pPr>
        <w:numPr>
          <w:ilvl w:val="0"/>
          <w:numId w:val="4"/>
        </w:numPr>
        <w:spacing w:before="58" w:line="480" w:lineRule="auto"/>
        <w:ind w:left="1265" w:leftChars="0" w:hanging="425" w:firstLineChars="0"/>
        <w:jc w:val="both"/>
        <w:rPr>
          <w:rFonts w:hint="default" w:ascii="Times New Roman Regular" w:hAnsi="Times New Roman Regular" w:eastAsia="宋体" w:cs="Times New Roman Regular"/>
          <w:sz w:val="24"/>
          <w:szCs w:val="24"/>
          <w:lang w:val="en-US" w:eastAsia="zh-CN"/>
        </w:rPr>
      </w:pPr>
      <w:r>
        <w:rPr>
          <w:rFonts w:hint="default" w:ascii="Times New Roman Regular" w:hAnsi="Times New Roman Regular" w:eastAsia="宋体" w:cs="Times New Roman Regular"/>
          <w:sz w:val="24"/>
          <w:szCs w:val="24"/>
          <w:lang w:val="en-US" w:eastAsia="zh-CN"/>
        </w:rPr>
        <w:t>absolute neutrophil count ≥1,500/mcL;</w:t>
      </w:r>
    </w:p>
    <w:p w14:paraId="4B4475E3">
      <w:pPr>
        <w:numPr>
          <w:ilvl w:val="0"/>
          <w:numId w:val="4"/>
        </w:numPr>
        <w:spacing w:before="58" w:line="480" w:lineRule="auto"/>
        <w:ind w:left="1265" w:leftChars="0" w:hanging="425" w:firstLineChars="0"/>
        <w:jc w:val="both"/>
        <w:rPr>
          <w:rFonts w:hint="default" w:ascii="Times New Roman Regular" w:hAnsi="Times New Roman Regular" w:eastAsia="宋体" w:cs="Times New Roman Regular"/>
          <w:sz w:val="24"/>
          <w:szCs w:val="24"/>
          <w:lang w:val="en-US" w:eastAsia="zh-CN"/>
        </w:rPr>
      </w:pPr>
      <w:r>
        <w:rPr>
          <w:rFonts w:hint="default" w:ascii="Times New Roman Regular" w:hAnsi="Times New Roman Regular" w:eastAsia="宋体" w:cs="Times New Roman Regular"/>
          <w:sz w:val="24"/>
          <w:szCs w:val="24"/>
          <w:lang w:val="en-US" w:eastAsia="zh-CN"/>
        </w:rPr>
        <w:t>platelets ≥80,000/mcL;</w:t>
      </w:r>
    </w:p>
    <w:p w14:paraId="44445CC0">
      <w:pPr>
        <w:numPr>
          <w:ilvl w:val="0"/>
          <w:numId w:val="3"/>
        </w:numPr>
        <w:tabs>
          <w:tab w:val="clear" w:pos="420"/>
        </w:tabs>
        <w:spacing w:before="58" w:line="480" w:lineRule="auto"/>
        <w:ind w:left="845" w:leftChars="0" w:hanging="425" w:firstLineChars="0"/>
        <w:jc w:val="both"/>
        <w:rPr>
          <w:rFonts w:hint="default" w:ascii="Times New Roman Regular" w:hAnsi="Times New Roman Regular" w:eastAsia="宋体" w:cs="Times New Roman Regular"/>
          <w:sz w:val="24"/>
          <w:szCs w:val="24"/>
          <w:lang w:val="en-US" w:eastAsia="zh-CN"/>
        </w:rPr>
      </w:pPr>
      <w:r>
        <w:rPr>
          <w:rFonts w:hint="default" w:ascii="Times New Roman Regular" w:hAnsi="Times New Roman Regular" w:eastAsia="宋体" w:cs="Times New Roman Regular"/>
          <w:sz w:val="24"/>
          <w:szCs w:val="24"/>
          <w:lang w:val="en-US" w:eastAsia="zh-CN"/>
        </w:rPr>
        <w:t>Biochemical tests must meet the following standards:</w:t>
      </w:r>
    </w:p>
    <w:p w14:paraId="25E26904">
      <w:pPr>
        <w:numPr>
          <w:ilvl w:val="0"/>
          <w:numId w:val="5"/>
        </w:numPr>
        <w:spacing w:before="58" w:line="480" w:lineRule="auto"/>
        <w:ind w:left="1265" w:leftChars="0" w:hanging="425" w:firstLineChars="0"/>
        <w:jc w:val="both"/>
        <w:rPr>
          <w:rFonts w:hint="default" w:ascii="Times New Roman Regular" w:hAnsi="Times New Roman Regular" w:eastAsia="宋体" w:cs="Times New Roman Regular"/>
          <w:sz w:val="24"/>
          <w:szCs w:val="24"/>
          <w:lang w:val="en-US" w:eastAsia="zh-CN"/>
        </w:rPr>
      </w:pPr>
      <w:r>
        <w:rPr>
          <w:rFonts w:hint="default" w:ascii="Times New Roman Regular" w:hAnsi="Times New Roman Regular" w:eastAsia="宋体" w:cs="Times New Roman Regular"/>
          <w:sz w:val="24"/>
          <w:szCs w:val="24"/>
          <w:lang w:val="en-US" w:eastAsia="zh-CN"/>
        </w:rPr>
        <w:t>total bilirubin ≤ 1.5 × institutional upper limit of normal (ULN);</w:t>
      </w:r>
    </w:p>
    <w:p w14:paraId="350877F5">
      <w:pPr>
        <w:numPr>
          <w:ilvl w:val="0"/>
          <w:numId w:val="5"/>
        </w:numPr>
        <w:spacing w:before="58" w:line="480" w:lineRule="auto"/>
        <w:ind w:left="1265" w:leftChars="0" w:hanging="425" w:firstLineChars="0"/>
        <w:jc w:val="both"/>
        <w:rPr>
          <w:rFonts w:hint="default" w:ascii="Times New Roman Regular" w:hAnsi="Times New Roman Regular" w:eastAsia="宋体" w:cs="Times New Roman Regular"/>
          <w:sz w:val="24"/>
          <w:szCs w:val="24"/>
          <w:lang w:val="en-US" w:eastAsia="zh-CN"/>
        </w:rPr>
      </w:pPr>
      <w:r>
        <w:rPr>
          <w:rFonts w:hint="default" w:ascii="Times New Roman Regular" w:hAnsi="Times New Roman Regular" w:eastAsia="宋体" w:cs="Times New Roman Regular"/>
          <w:sz w:val="24"/>
          <w:szCs w:val="24"/>
          <w:lang w:val="en-US" w:eastAsia="zh-CN"/>
        </w:rPr>
        <w:t>aspartate aminotransferase (AST)/ alanine aminotransferase (ALT) ≤ 2.5 × institutionalULN, ≤ 5.0 × institutionalULN for liver metastasis patients;</w:t>
      </w:r>
    </w:p>
    <w:p w14:paraId="43FE5D6B">
      <w:pPr>
        <w:numPr>
          <w:ilvl w:val="0"/>
          <w:numId w:val="5"/>
        </w:numPr>
        <w:spacing w:before="58" w:line="480" w:lineRule="auto"/>
        <w:ind w:left="1265" w:leftChars="0" w:hanging="425" w:firstLineChars="0"/>
        <w:jc w:val="both"/>
        <w:rPr>
          <w:rFonts w:hint="default" w:ascii="Times New Roman Regular" w:hAnsi="Times New Roman Regular" w:eastAsia="宋体" w:cs="Times New Roman Regular"/>
          <w:sz w:val="24"/>
          <w:szCs w:val="24"/>
          <w:lang w:val="en-US" w:eastAsia="zh-CN"/>
        </w:rPr>
      </w:pPr>
      <w:r>
        <w:rPr>
          <w:rFonts w:hint="default" w:ascii="Times New Roman Regular" w:hAnsi="Times New Roman Regular" w:eastAsia="宋体" w:cs="Times New Roman Regular"/>
          <w:sz w:val="24"/>
          <w:szCs w:val="24"/>
          <w:lang w:val="en-US" w:eastAsia="zh-CN"/>
        </w:rPr>
        <w:t>creatinine ≤ 1.5 × institutional ULN, or estimated glomerular filtration rate (GFR) ≥50 mL/min/1.73 m2  (according to the Cockcroft-Gault formula)</w:t>
      </w:r>
    </w:p>
    <w:p w14:paraId="257D9BD4">
      <w:pPr>
        <w:numPr>
          <w:ilvl w:val="0"/>
          <w:numId w:val="6"/>
        </w:numPr>
        <w:spacing w:before="58" w:line="480" w:lineRule="auto"/>
        <w:ind w:left="425" w:leftChars="0" w:hanging="425" w:firstLineChars="0"/>
        <w:jc w:val="both"/>
        <w:rPr>
          <w:rFonts w:hint="default" w:ascii="Times New Roman Regular" w:hAnsi="Times New Roman Regular" w:eastAsia="宋体" w:cs="Times New Roman Regular"/>
          <w:sz w:val="24"/>
          <w:szCs w:val="24"/>
          <w:lang w:val="en-US" w:eastAsia="zh-CN"/>
        </w:rPr>
      </w:pPr>
      <w:r>
        <w:rPr>
          <w:rFonts w:hint="default" w:ascii="Times New Roman Regular" w:hAnsi="Times New Roman Regular" w:eastAsia="宋体" w:cs="Times New Roman Regular"/>
          <w:sz w:val="24"/>
          <w:szCs w:val="24"/>
          <w:lang w:val="en-US" w:eastAsia="zh-CN"/>
        </w:rPr>
        <w:t>Patients with potential fertility need to use a medically approved contraceptive measure (such as intrauterine device, contraceptive pill, or condom) during the study treatment period and within one month after the end of the study treatment period; And the serum or urine HCG test must be negative within 72 hours before enrollment in the study, and it must be non lactating.</w:t>
      </w:r>
    </w:p>
    <w:p w14:paraId="421F4D35">
      <w:pPr>
        <w:numPr>
          <w:ilvl w:val="0"/>
          <w:numId w:val="6"/>
        </w:numPr>
        <w:spacing w:before="58" w:line="480" w:lineRule="auto"/>
        <w:ind w:left="425" w:leftChars="0" w:hanging="425" w:firstLineChars="0"/>
        <w:jc w:val="both"/>
        <w:rPr>
          <w:rFonts w:hint="default" w:ascii="Times New Roman Regular" w:hAnsi="Times New Roman Regular" w:eastAsia="Times New Roman" w:cs="Times New Roman Regular"/>
          <w:sz w:val="24"/>
          <w:szCs w:val="24"/>
        </w:rPr>
      </w:pPr>
      <w:r>
        <w:rPr>
          <w:rFonts w:hint="default" w:ascii="Times New Roman Regular" w:hAnsi="Times New Roman Regular" w:eastAsia="Times New Roman" w:cs="Times New Roman Regular"/>
          <w:sz w:val="24"/>
          <w:szCs w:val="24"/>
        </w:rPr>
        <w:t>Aged ≥18 years, ≤80 years.</w:t>
      </w:r>
    </w:p>
    <w:p w14:paraId="2F40B031">
      <w:pPr>
        <w:numPr>
          <w:ilvl w:val="0"/>
          <w:numId w:val="6"/>
        </w:numPr>
        <w:spacing w:before="58" w:line="480" w:lineRule="auto"/>
        <w:ind w:left="425" w:leftChars="0" w:hanging="425" w:firstLineChars="0"/>
        <w:jc w:val="both"/>
        <w:rPr>
          <w:rFonts w:hint="default" w:ascii="Times New Roman Regular" w:hAnsi="Times New Roman Regular" w:eastAsia="Times New Roman" w:cs="Times New Roman Regular"/>
          <w:sz w:val="24"/>
          <w:szCs w:val="24"/>
        </w:rPr>
      </w:pPr>
      <w:r>
        <w:rPr>
          <w:rFonts w:hint="default" w:ascii="Times New Roman Regular" w:hAnsi="Times New Roman Regular" w:eastAsia="Times New Roman" w:cs="Times New Roman Regular"/>
          <w:sz w:val="24"/>
          <w:szCs w:val="24"/>
          <w:lang w:val="en-US"/>
        </w:rPr>
        <w:t xml:space="preserve">12. </w:t>
      </w:r>
      <w:r>
        <w:rPr>
          <w:rFonts w:hint="default" w:ascii="Times New Roman Regular" w:hAnsi="Times New Roman Regular" w:eastAsia="Times New Roman" w:cs="Times New Roman Regular"/>
          <w:sz w:val="24"/>
          <w:szCs w:val="24"/>
        </w:rPr>
        <w:t>Written informed consent for the trial.</w:t>
      </w:r>
    </w:p>
    <w:p w14:paraId="63B31A34">
      <w:pPr>
        <w:spacing w:before="58" w:line="480" w:lineRule="auto"/>
        <w:jc w:val="both"/>
        <w:rPr>
          <w:rFonts w:hint="default" w:ascii="Times New Roman Bold" w:hAnsi="Times New Roman Bold" w:eastAsia="Times New Roman" w:cs="Times New Roman Bold"/>
          <w:b/>
          <w:bCs/>
          <w:sz w:val="24"/>
          <w:szCs w:val="24"/>
        </w:rPr>
      </w:pPr>
      <w:r>
        <w:rPr>
          <w:rFonts w:hint="default" w:ascii="Times New Roman Bold" w:hAnsi="Times New Roman Bold" w:eastAsia="Times New Roman" w:cs="Times New Roman Bold"/>
          <w:b/>
          <w:bCs/>
          <w:sz w:val="24"/>
          <w:szCs w:val="24"/>
        </w:rPr>
        <w:t>Exclusion criteria:</w:t>
      </w:r>
    </w:p>
    <w:p w14:paraId="371EC6BB">
      <w:pPr>
        <w:numPr>
          <w:ilvl w:val="0"/>
          <w:numId w:val="7"/>
        </w:numPr>
        <w:spacing w:before="58" w:line="480" w:lineRule="auto"/>
        <w:ind w:left="425" w:leftChars="0" w:hanging="425" w:firstLineChars="0"/>
        <w:jc w:val="both"/>
        <w:rPr>
          <w:rFonts w:hint="default" w:ascii="Times New Roman Regular" w:hAnsi="Times New Roman Regular" w:eastAsia="Times New Roman" w:cs="Times New Roman Regular"/>
          <w:sz w:val="24"/>
          <w:szCs w:val="24"/>
          <w:lang w:val="en-US"/>
        </w:rPr>
      </w:pPr>
      <w:r>
        <w:rPr>
          <w:rFonts w:hint="default" w:ascii="Times New Roman Regular" w:hAnsi="Times New Roman Regular" w:eastAsia="Times New Roman" w:cs="Times New Roman Regular"/>
          <w:sz w:val="24"/>
          <w:szCs w:val="24"/>
          <w:lang w:val="en-US"/>
        </w:rPr>
        <w:t>Previously diagnosed by histology/cytology, including fibrolamellar hepatocellular carcinoma, sarcomatoid hepatocellular carcinoma, cholangiocarcinoma, and other components.</w:t>
      </w:r>
    </w:p>
    <w:p w14:paraId="62B7AB4F">
      <w:pPr>
        <w:numPr>
          <w:ilvl w:val="0"/>
          <w:numId w:val="7"/>
        </w:numPr>
        <w:spacing w:before="58" w:line="480" w:lineRule="auto"/>
        <w:ind w:left="425" w:leftChars="0" w:hanging="425" w:firstLineChars="0"/>
        <w:jc w:val="both"/>
        <w:rPr>
          <w:rFonts w:hint="default" w:ascii="Times New Roman Regular" w:hAnsi="Times New Roman Regular" w:eastAsia="Times New Roman" w:cs="Times New Roman Regular"/>
          <w:sz w:val="24"/>
          <w:szCs w:val="24"/>
          <w:lang w:val="en-US"/>
        </w:rPr>
      </w:pPr>
      <w:r>
        <w:rPr>
          <w:rFonts w:hint="default" w:ascii="Times New Roman Regular" w:hAnsi="Times New Roman Regular" w:eastAsia="Times New Roman" w:cs="Times New Roman Regular"/>
          <w:sz w:val="24"/>
          <w:szCs w:val="24"/>
          <w:lang w:val="en-US"/>
        </w:rPr>
        <w:t>History of hepatic encephalopathy or liver transplantation.</w:t>
      </w:r>
    </w:p>
    <w:p w14:paraId="3CC0CE50">
      <w:pPr>
        <w:numPr>
          <w:ilvl w:val="0"/>
          <w:numId w:val="7"/>
        </w:numPr>
        <w:spacing w:before="58" w:line="480" w:lineRule="auto"/>
        <w:ind w:left="425" w:leftChars="0" w:hanging="425" w:firstLineChars="0"/>
        <w:jc w:val="both"/>
        <w:rPr>
          <w:rFonts w:hint="default" w:ascii="Times New Roman Regular" w:hAnsi="Times New Roman Regular" w:eastAsia="Times New Roman" w:cs="Times New Roman Regular"/>
          <w:sz w:val="24"/>
          <w:szCs w:val="24"/>
          <w:lang w:val="en-US"/>
        </w:rPr>
      </w:pPr>
      <w:r>
        <w:rPr>
          <w:rFonts w:hint="default" w:ascii="Times New Roman Regular" w:hAnsi="Times New Roman Regular" w:eastAsia="Times New Roman" w:cs="Times New Roman Regular"/>
          <w:sz w:val="24"/>
          <w:szCs w:val="24"/>
          <w:lang w:val="en-US"/>
        </w:rPr>
        <w:t>History of allergy to any component of the experimental drug: Camrelizumab and other drugs.</w:t>
      </w:r>
    </w:p>
    <w:p w14:paraId="1A6B9FDC">
      <w:pPr>
        <w:numPr>
          <w:ilvl w:val="0"/>
          <w:numId w:val="7"/>
        </w:numPr>
        <w:spacing w:before="58" w:line="480" w:lineRule="auto"/>
        <w:ind w:left="425" w:leftChars="0" w:hanging="425" w:firstLineChars="0"/>
        <w:jc w:val="both"/>
        <w:rPr>
          <w:rFonts w:hint="default" w:ascii="Times New Roman Regular" w:hAnsi="Times New Roman Regular" w:eastAsia="Times New Roman" w:cs="Times New Roman Regular"/>
          <w:sz w:val="24"/>
          <w:szCs w:val="24"/>
          <w:lang w:val="en-US"/>
        </w:rPr>
      </w:pPr>
      <w:r>
        <w:rPr>
          <w:rFonts w:hint="default" w:ascii="Times New Roman Regular" w:hAnsi="Times New Roman Regular" w:eastAsia="Times New Roman" w:cs="Times New Roman Regular"/>
          <w:sz w:val="24"/>
          <w:szCs w:val="24"/>
          <w:lang w:val="en-US"/>
        </w:rPr>
        <w:t>Poor control of stubborn pleural or pericardial effusion in the subject.</w:t>
      </w:r>
    </w:p>
    <w:p w14:paraId="7DC27211">
      <w:pPr>
        <w:numPr>
          <w:ilvl w:val="0"/>
          <w:numId w:val="7"/>
        </w:numPr>
        <w:spacing w:before="58" w:line="480" w:lineRule="auto"/>
        <w:ind w:left="425" w:leftChars="0" w:hanging="425" w:firstLineChars="0"/>
        <w:jc w:val="both"/>
        <w:rPr>
          <w:rFonts w:hint="default" w:ascii="Times New Roman Regular" w:hAnsi="Times New Roman Regular" w:eastAsia="Times New Roman" w:cs="Times New Roman Regular"/>
          <w:sz w:val="24"/>
          <w:szCs w:val="24"/>
          <w:lang w:val="en-US"/>
        </w:rPr>
      </w:pPr>
      <w:r>
        <w:rPr>
          <w:rFonts w:hint="default" w:ascii="Times New Roman Regular" w:hAnsi="Times New Roman Regular" w:eastAsia="Times New Roman" w:cs="Times New Roman Regular"/>
          <w:sz w:val="24"/>
          <w:szCs w:val="24"/>
          <w:lang w:val="en-US"/>
        </w:rPr>
        <w:t>Previously received anti-PD-1 or PD-L1 or CTLA-4 or Car-T immunotherapy.</w:t>
      </w:r>
    </w:p>
    <w:p w14:paraId="4A023F17">
      <w:pPr>
        <w:numPr>
          <w:ilvl w:val="0"/>
          <w:numId w:val="7"/>
        </w:numPr>
        <w:spacing w:before="58" w:line="480" w:lineRule="auto"/>
        <w:ind w:left="425" w:leftChars="0" w:hanging="425" w:firstLineChars="0"/>
        <w:jc w:val="both"/>
        <w:rPr>
          <w:rFonts w:hint="default" w:ascii="Times New Roman Regular" w:hAnsi="Times New Roman Regular" w:eastAsia="Times New Roman" w:cs="Times New Roman Regular"/>
          <w:sz w:val="24"/>
          <w:szCs w:val="24"/>
          <w:lang w:val="en-US"/>
        </w:rPr>
      </w:pPr>
      <w:r>
        <w:rPr>
          <w:rFonts w:hint="default" w:ascii="Times New Roman Regular" w:hAnsi="Times New Roman Regular" w:eastAsia="Times New Roman" w:cs="Times New Roman Regular"/>
          <w:sz w:val="24"/>
          <w:szCs w:val="24"/>
          <w:lang w:val="en-US"/>
        </w:rPr>
        <w:t>History of interstitial lung disease (radiation pneumonitis without hormone therapy), excluding history of non infectious pneumonia.</w:t>
      </w:r>
    </w:p>
    <w:p w14:paraId="1BFB58FC">
      <w:pPr>
        <w:numPr>
          <w:ilvl w:val="0"/>
          <w:numId w:val="7"/>
        </w:numPr>
        <w:spacing w:before="58" w:line="480" w:lineRule="auto"/>
        <w:ind w:left="425" w:leftChars="0" w:hanging="425" w:firstLineChars="0"/>
        <w:jc w:val="both"/>
        <w:rPr>
          <w:rFonts w:hint="default" w:ascii="Times New Roman Regular" w:hAnsi="Times New Roman Regular" w:eastAsia="Times New Roman" w:cs="Times New Roman Regular"/>
          <w:sz w:val="24"/>
          <w:szCs w:val="24"/>
          <w:lang w:val="en-US"/>
        </w:rPr>
      </w:pPr>
      <w:r>
        <w:rPr>
          <w:rFonts w:hint="default" w:ascii="Times New Roman Regular" w:hAnsi="Times New Roman Regular" w:eastAsia="Times New Roman" w:cs="Times New Roman Regular"/>
          <w:sz w:val="24"/>
          <w:szCs w:val="24"/>
          <w:lang w:val="en-US"/>
        </w:rPr>
        <w:t>Subjects with any active autoimmune diseases or a history of autoimmune diseases (such as but not limited to: autoimmune hepatitis, interstitial pneumonia, uveitis, enteritis, hepatitis, pituitary inflammation, vasculitis, nephritis, hyperthyroidism, hypothyroidism; subjects with vitiligo or complete remission of childhood asthma without any intervention in adulthood; subjects with asthma requiring medical intervention with bronchodilators cannot be included).</w:t>
      </w:r>
    </w:p>
    <w:p w14:paraId="64BDC084">
      <w:pPr>
        <w:numPr>
          <w:ilvl w:val="0"/>
          <w:numId w:val="7"/>
        </w:numPr>
        <w:spacing w:before="58" w:line="480" w:lineRule="auto"/>
        <w:ind w:left="425" w:leftChars="0" w:hanging="425" w:firstLineChars="0"/>
        <w:jc w:val="both"/>
        <w:rPr>
          <w:rFonts w:hint="default" w:ascii="Times New Roman Regular" w:hAnsi="Times New Roman Regular" w:eastAsia="Times New Roman" w:cs="Times New Roman Regular"/>
          <w:sz w:val="24"/>
          <w:szCs w:val="24"/>
          <w:lang w:val="en-US"/>
        </w:rPr>
      </w:pPr>
      <w:r>
        <w:rPr>
          <w:rFonts w:hint="default" w:ascii="Times New Roman Regular" w:hAnsi="Times New Roman Regular" w:eastAsia="Times New Roman" w:cs="Times New Roman Regular"/>
          <w:sz w:val="24"/>
          <w:szCs w:val="24"/>
          <w:lang w:val="en-US"/>
        </w:rPr>
        <w:t>The subject is currently using immunosuppressive agents, systemic or absorbable local hormone therapy to achieve immunosuppressive effects (dose&gt;10mg/day prednisone or other therapeutic hormones), and has continued to use them within 2 weeks prior to enrollment.</w:t>
      </w:r>
    </w:p>
    <w:p w14:paraId="45D12D74">
      <w:pPr>
        <w:numPr>
          <w:ilvl w:val="0"/>
          <w:numId w:val="7"/>
        </w:numPr>
        <w:spacing w:before="58" w:line="480" w:lineRule="auto"/>
        <w:ind w:left="425" w:leftChars="0" w:hanging="425" w:firstLineChars="0"/>
        <w:jc w:val="both"/>
        <w:rPr>
          <w:rFonts w:hint="default" w:ascii="Times New Roman Regular" w:hAnsi="Times New Roman Regular" w:eastAsia="Times New Roman" w:cs="Times New Roman Regular"/>
          <w:sz w:val="24"/>
          <w:szCs w:val="24"/>
          <w:lang w:val="en-US"/>
        </w:rPr>
      </w:pPr>
      <w:r>
        <w:rPr>
          <w:rFonts w:hint="default" w:ascii="Times New Roman Regular" w:hAnsi="Times New Roman Regular" w:eastAsia="Times New Roman" w:cs="Times New Roman Regular"/>
          <w:sz w:val="24"/>
          <w:szCs w:val="24"/>
          <w:lang w:val="en-US"/>
        </w:rPr>
        <w:t>Serious infections (CTCAE&gt;grade 2) occurred within the first 4 weeks prior to the first use of the investigational drug, such as severe pneumonia requiring hospitalization, bacteremia, infection complications, etc; Baseline chest imaging examination suggests the presence of active pulmonary inflammation, symptoms and signs of infection within 2 weeks prior to the first use of the study drug, or the need for oral and intravenous antibiotic treatment, except for prophylactic use of antibiotics.</w:t>
      </w:r>
    </w:p>
    <w:p w14:paraId="2966527C">
      <w:pPr>
        <w:numPr>
          <w:ilvl w:val="0"/>
          <w:numId w:val="7"/>
        </w:numPr>
        <w:spacing w:before="58" w:line="480" w:lineRule="auto"/>
        <w:ind w:left="425" w:leftChars="0" w:hanging="425" w:firstLineChars="0"/>
        <w:jc w:val="both"/>
        <w:rPr>
          <w:rFonts w:hint="default" w:ascii="Times New Roman Regular" w:hAnsi="Times New Roman Regular" w:eastAsia="Times New Roman" w:cs="Times New Roman Regular"/>
          <w:sz w:val="24"/>
          <w:szCs w:val="24"/>
          <w:lang w:val="en-US"/>
        </w:rPr>
      </w:pPr>
      <w:r>
        <w:rPr>
          <w:rFonts w:hint="default" w:ascii="Times New Roman Regular" w:hAnsi="Times New Roman Regular" w:eastAsia="Times New Roman" w:cs="Times New Roman Regular"/>
          <w:sz w:val="24"/>
          <w:szCs w:val="24"/>
          <w:lang w:val="en-US"/>
        </w:rPr>
        <w:t>The subject has experienced acute cardiovascular and cerebrovascular diseases such as acute cerebral infarction, acute coronary syndrome, etc. within one month, and the clinical symptoms or diseases of cardiovascular disease have not been well controlled.</w:t>
      </w:r>
    </w:p>
    <w:p w14:paraId="260A0E93">
      <w:pPr>
        <w:numPr>
          <w:ilvl w:val="0"/>
          <w:numId w:val="7"/>
        </w:numPr>
        <w:spacing w:before="58" w:line="480" w:lineRule="auto"/>
        <w:ind w:left="425" w:leftChars="0" w:hanging="425" w:firstLineChars="0"/>
        <w:jc w:val="both"/>
        <w:rPr>
          <w:rFonts w:hint="default" w:ascii="Times New Roman Regular" w:hAnsi="Times New Roman Regular" w:eastAsia="Times New Roman" w:cs="Times New Roman Regular"/>
          <w:sz w:val="24"/>
          <w:szCs w:val="24"/>
          <w:lang w:val="en-US"/>
        </w:rPr>
      </w:pPr>
      <w:r>
        <w:rPr>
          <w:rFonts w:hint="default" w:ascii="Times New Roman Regular" w:hAnsi="Times New Roman Regular" w:eastAsia="Times New Roman" w:cs="Times New Roman Regular"/>
          <w:sz w:val="24"/>
          <w:szCs w:val="24"/>
          <w:lang w:val="en-US"/>
        </w:rPr>
        <w:t>According to New York Heart Association (NYHA) standards, patients with grade III-IV cardiac dysfunction or those with left ventricular ejection fraction (LVEF)&lt;50% as indicated by cardiac ultrasound examination.</w:t>
      </w:r>
    </w:p>
    <w:p w14:paraId="1C5B715C">
      <w:pPr>
        <w:numPr>
          <w:ilvl w:val="0"/>
          <w:numId w:val="7"/>
        </w:numPr>
        <w:spacing w:before="58" w:line="480" w:lineRule="auto"/>
        <w:ind w:left="425" w:leftChars="0" w:hanging="425" w:firstLineChars="0"/>
        <w:jc w:val="both"/>
        <w:rPr>
          <w:rFonts w:hint="default" w:ascii="Times New Roman Regular" w:hAnsi="Times New Roman Regular" w:eastAsia="Times New Roman" w:cs="Times New Roman Regular"/>
          <w:sz w:val="24"/>
          <w:szCs w:val="24"/>
          <w:lang w:val="en-US"/>
        </w:rPr>
      </w:pPr>
      <w:r>
        <w:rPr>
          <w:rFonts w:hint="default" w:ascii="Times New Roman Regular" w:hAnsi="Times New Roman Regular" w:eastAsia="Times New Roman" w:cs="Times New Roman Regular"/>
          <w:sz w:val="24"/>
          <w:szCs w:val="24"/>
          <w:lang w:val="en-US"/>
        </w:rPr>
        <w:t>Patients with a clear tendency towards gastrointestinal bleeding, including the following conditions: local active ulcer lesions, and fecal occult blood [(++) cannot be included]; Individuals with a history of black stool and vomiting blood within 2 months.</w:t>
      </w:r>
    </w:p>
    <w:p w14:paraId="17704AE1">
      <w:pPr>
        <w:numPr>
          <w:ilvl w:val="0"/>
          <w:numId w:val="7"/>
        </w:numPr>
        <w:spacing w:before="58" w:line="480" w:lineRule="auto"/>
        <w:ind w:left="425" w:leftChars="0" w:hanging="425" w:firstLineChars="0"/>
        <w:jc w:val="both"/>
        <w:rPr>
          <w:rFonts w:hint="default" w:ascii="Times New Roman Regular" w:hAnsi="Times New Roman Regular" w:eastAsia="Times New Roman" w:cs="Times New Roman Regular"/>
          <w:sz w:val="24"/>
          <w:szCs w:val="24"/>
          <w:lang w:val="en-US"/>
        </w:rPr>
      </w:pPr>
      <w:r>
        <w:rPr>
          <w:rFonts w:hint="default" w:ascii="Times New Roman Regular" w:hAnsi="Times New Roman Regular" w:eastAsia="Times New Roman" w:cs="Times New Roman Regular"/>
          <w:sz w:val="24"/>
          <w:szCs w:val="24"/>
          <w:lang w:val="en-US"/>
        </w:rPr>
        <w:t>Individuals with abnormal coagulation function [international normalized ratio (INR) &gt;1.5 activated partial thromboplastin time (APTT) &gt;1.5 ULN] and a tendency towards bleeding.</w:t>
      </w:r>
    </w:p>
    <w:p w14:paraId="45F49EAB">
      <w:pPr>
        <w:numPr>
          <w:ilvl w:val="0"/>
          <w:numId w:val="7"/>
        </w:numPr>
        <w:spacing w:before="58" w:line="480" w:lineRule="auto"/>
        <w:ind w:left="425" w:leftChars="0" w:hanging="425" w:firstLineChars="0"/>
        <w:jc w:val="both"/>
        <w:rPr>
          <w:rFonts w:hint="default" w:ascii="Times New Roman Regular" w:hAnsi="Times New Roman Regular" w:eastAsia="Times New Roman" w:cs="Times New Roman Regular"/>
          <w:sz w:val="24"/>
          <w:szCs w:val="24"/>
          <w:lang w:val="en-US"/>
        </w:rPr>
      </w:pPr>
      <w:r>
        <w:rPr>
          <w:rFonts w:hint="default" w:ascii="Times New Roman Regular" w:hAnsi="Times New Roman Regular" w:eastAsia="Times New Roman" w:cs="Times New Roman Regular"/>
          <w:sz w:val="24"/>
          <w:szCs w:val="24"/>
          <w:lang w:val="en-US"/>
        </w:rPr>
        <w:t>Long term untreated wounds or fractures; Having undergone major surgical procedures or experienced severe traumatic injuries, fractures, or ulcers within the past 4 weeks.</w:t>
      </w:r>
    </w:p>
    <w:p w14:paraId="5F889DD3">
      <w:pPr>
        <w:numPr>
          <w:ilvl w:val="0"/>
          <w:numId w:val="7"/>
        </w:numPr>
        <w:spacing w:before="58" w:line="480" w:lineRule="auto"/>
        <w:ind w:left="425" w:leftChars="0" w:hanging="425" w:firstLineChars="0"/>
        <w:jc w:val="both"/>
        <w:rPr>
          <w:rFonts w:hint="default" w:ascii="Times New Roman Regular" w:hAnsi="Times New Roman Regular" w:eastAsia="Times New Roman" w:cs="Times New Roman Regular"/>
          <w:sz w:val="24"/>
          <w:szCs w:val="24"/>
          <w:lang w:val="en-US"/>
        </w:rPr>
      </w:pPr>
      <w:r>
        <w:rPr>
          <w:rFonts w:hint="default" w:ascii="Times New Roman Regular" w:hAnsi="Times New Roman Regular" w:eastAsia="Times New Roman" w:cs="Times New Roman Regular"/>
          <w:sz w:val="24"/>
          <w:szCs w:val="24"/>
          <w:lang w:val="en-US"/>
        </w:rPr>
        <w:t>Subjects with congenital or acquired immune function defects (such as HIV infected persons), or active hepatitis (hepatitis B reference: HBV DNA detection value exceeds 2000 IU/ml) need to be excluded; If patients have active hepatitis B virus (HBV) infection: HBV deoxyribonucleic acid (DNA&lt;2000 IU/mL), and have received at least 14 days of anti HBV treatment before enrollment and are willing to receive antiviral treatment throughout the study period (recommended nucleoside analogues such as entecavir or tenofovir disoproxil), they can be included in the study</w:t>
      </w:r>
      <w:r>
        <w:rPr>
          <w:rFonts w:hint="eastAsia" w:ascii="Times New Roman Regular" w:hAnsi="Times New Roman Regular" w:eastAsia="宋体" w:cs="Times New Roman Regular"/>
          <w:sz w:val="24"/>
          <w:szCs w:val="24"/>
          <w:lang w:val="en-US" w:eastAsia="zh-CN"/>
        </w:rPr>
        <w:t>。</w:t>
      </w:r>
    </w:p>
    <w:p w14:paraId="124019E5">
      <w:pPr>
        <w:numPr>
          <w:ilvl w:val="0"/>
          <w:numId w:val="7"/>
        </w:numPr>
        <w:spacing w:before="58" w:line="480" w:lineRule="auto"/>
        <w:ind w:left="425" w:leftChars="0" w:hanging="425" w:firstLineChars="0"/>
        <w:jc w:val="both"/>
        <w:rPr>
          <w:rFonts w:hint="default" w:ascii="Times New Roman Regular" w:hAnsi="Times New Roman Regular" w:eastAsia="Times New Roman" w:cs="Times New Roman Regular"/>
          <w:sz w:val="24"/>
          <w:szCs w:val="24"/>
          <w:lang w:val="en-US"/>
        </w:rPr>
      </w:pPr>
      <w:r>
        <w:rPr>
          <w:rFonts w:hint="default" w:ascii="Times New Roman Regular" w:hAnsi="Times New Roman Regular" w:eastAsia="Times New Roman" w:cs="Times New Roman Regular"/>
          <w:sz w:val="24"/>
          <w:szCs w:val="24"/>
          <w:lang w:val="en-US"/>
        </w:rPr>
        <w:t>Patients with a history of abuse of psychotropic drugs and inability to quit, or those with mental disorders.</w:t>
      </w:r>
    </w:p>
    <w:p w14:paraId="40315683">
      <w:pPr>
        <w:numPr>
          <w:ilvl w:val="0"/>
          <w:numId w:val="7"/>
        </w:numPr>
        <w:spacing w:before="58" w:line="480" w:lineRule="auto"/>
        <w:ind w:left="425" w:leftChars="0" w:hanging="425" w:firstLineChars="0"/>
        <w:jc w:val="both"/>
        <w:rPr>
          <w:rFonts w:hint="default" w:ascii="Times New Roman Regular" w:hAnsi="Times New Roman Regular" w:eastAsia="Times New Roman" w:cs="Times New Roman Regular"/>
          <w:sz w:val="24"/>
          <w:szCs w:val="24"/>
          <w:lang w:val="en-US"/>
        </w:rPr>
      </w:pPr>
      <w:r>
        <w:rPr>
          <w:rFonts w:hint="default" w:ascii="Times New Roman Regular" w:hAnsi="Times New Roman Regular" w:eastAsia="Times New Roman" w:cs="Times New Roman Regular"/>
          <w:sz w:val="24"/>
          <w:szCs w:val="24"/>
          <w:lang w:val="en-US"/>
        </w:rPr>
        <w:t>According to the researchers' assessment, patients with accompanying diseases that pose a serious threat to patient safety or affect their ability to complete the study.</w:t>
      </w:r>
    </w:p>
    <w:p w14:paraId="0DCAB58E">
      <w:pPr>
        <w:numPr>
          <w:ilvl w:val="0"/>
          <w:numId w:val="7"/>
        </w:numPr>
        <w:spacing w:before="58" w:line="480" w:lineRule="auto"/>
        <w:ind w:left="425" w:leftChars="0" w:hanging="425" w:firstLineChars="0"/>
        <w:jc w:val="both"/>
        <w:rPr>
          <w:rFonts w:hint="default" w:ascii="Times New Roman Regular" w:hAnsi="Times New Roman Regular" w:eastAsia="Times New Roman" w:cs="Times New Roman Regular"/>
          <w:sz w:val="24"/>
          <w:szCs w:val="24"/>
          <w:lang w:val="en-US"/>
        </w:rPr>
      </w:pPr>
      <w:r>
        <w:rPr>
          <w:rFonts w:hint="default" w:ascii="Times New Roman Regular" w:hAnsi="Times New Roman Regular" w:eastAsia="Times New Roman" w:cs="Times New Roman Regular"/>
          <w:sz w:val="24"/>
          <w:szCs w:val="24"/>
          <w:lang w:val="en-US"/>
        </w:rPr>
        <w:t>Researchers believe that it is not suitable for inclusion.</w:t>
      </w:r>
    </w:p>
    <w:p w14:paraId="4B438951">
      <w:pPr>
        <w:spacing w:before="58" w:line="480" w:lineRule="auto"/>
        <w:ind w:left="42"/>
        <w:jc w:val="both"/>
        <w:rPr>
          <w:rFonts w:hint="default" w:ascii="Times New Roman Bold" w:hAnsi="Times New Roman Bold" w:eastAsia="Times New Roman" w:cs="Times New Roman Bold"/>
          <w:b/>
          <w:bCs/>
          <w:sz w:val="24"/>
          <w:szCs w:val="24"/>
        </w:rPr>
      </w:pPr>
      <w:r>
        <w:rPr>
          <w:rFonts w:hint="default" w:ascii="Times New Roman Bold" w:hAnsi="Times New Roman Bold" w:eastAsia="Times New Roman" w:cs="Times New Roman Bold"/>
          <w:b/>
          <w:bCs/>
          <w:sz w:val="24"/>
          <w:szCs w:val="24"/>
        </w:rPr>
        <w:t>Study procedures</w:t>
      </w:r>
    </w:p>
    <w:p w14:paraId="0892663F">
      <w:pPr>
        <w:spacing w:before="58" w:line="480" w:lineRule="auto"/>
        <w:ind w:left="42"/>
        <w:jc w:val="both"/>
        <w:rPr>
          <w:rFonts w:hint="default" w:ascii="Times New Roman Regular" w:hAnsi="Times New Roman Regular" w:eastAsia="Times New Roman" w:cs="Times New Roman Regular"/>
          <w:sz w:val="24"/>
          <w:szCs w:val="24"/>
        </w:rPr>
      </w:pPr>
      <w:r>
        <w:rPr>
          <w:rFonts w:hint="default" w:ascii="Times New Roman Regular" w:hAnsi="Times New Roman Regular" w:eastAsia="Times New Roman" w:cs="Times New Roman Regular"/>
          <w:sz w:val="24"/>
          <w:szCs w:val="24"/>
        </w:rPr>
        <w:t>All participants were administered apatinib (250 mg daily, taken orally, beginning on day 1 after enrollment) and camrelizumab (200 mg intravenously, commencing on day 3 after enrollment and repeated every 21 days), since day 4, patient underwent up to eight cycles of HAIC, each lasting 21 days, with the FOLFOX regimen. This regimen consisted of a 2-h infusion of oxaliplatin at 85 mg/m</w:t>
      </w:r>
      <w:r>
        <w:rPr>
          <w:rFonts w:hint="default" w:ascii="Times New Roman Regular" w:hAnsi="Times New Roman Regular" w:eastAsia="Times New Roman" w:cs="Times New Roman Regular"/>
          <w:sz w:val="24"/>
          <w:szCs w:val="24"/>
          <w:vertAlign w:val="superscript"/>
        </w:rPr>
        <w:t>2</w:t>
      </w:r>
      <w:r>
        <w:rPr>
          <w:rFonts w:hint="default" w:ascii="Times New Roman Regular" w:hAnsi="Times New Roman Regular" w:eastAsia="Times New Roman" w:cs="Times New Roman Regular"/>
          <w:sz w:val="24"/>
          <w:szCs w:val="24"/>
        </w:rPr>
        <w:t>,a 2-3-h administration of leucovorin at 400 mg/m</w:t>
      </w:r>
      <w:r>
        <w:rPr>
          <w:rFonts w:hint="default" w:ascii="Times New Roman Regular" w:hAnsi="Times New Roman Regular" w:eastAsia="Times New Roman" w:cs="Times New Roman Regular"/>
          <w:sz w:val="24"/>
          <w:szCs w:val="24"/>
          <w:vertAlign w:val="superscript"/>
        </w:rPr>
        <w:t>2</w:t>
      </w:r>
      <w:r>
        <w:rPr>
          <w:rFonts w:hint="default" w:ascii="Times New Roman Regular" w:hAnsi="Times New Roman Regular" w:eastAsia="Times New Roman" w:cs="Times New Roman Regular"/>
          <w:sz w:val="24"/>
          <w:szCs w:val="24"/>
        </w:rPr>
        <w:t>, a 1-h infusion of fluorouracil at 400mg/m</w:t>
      </w:r>
      <w:r>
        <w:rPr>
          <w:rFonts w:hint="default" w:ascii="Times New Roman Regular" w:hAnsi="Times New Roman Regular" w:eastAsia="Times New Roman" w:cs="Times New Roman Regular"/>
          <w:sz w:val="24"/>
          <w:szCs w:val="24"/>
          <w:vertAlign w:val="superscript"/>
        </w:rPr>
        <w:t>2</w:t>
      </w:r>
      <w:r>
        <w:rPr>
          <w:rFonts w:hint="default" w:ascii="Times New Roman Regular" w:hAnsi="Times New Roman Regular" w:eastAsia="Times New Roman" w:cs="Times New Roman Regular"/>
          <w:sz w:val="24"/>
          <w:szCs w:val="24"/>
        </w:rPr>
        <w:t>, and a 46-h delivery of fluorouracil at 2400 mg/m</w:t>
      </w:r>
      <w:r>
        <w:rPr>
          <w:rFonts w:hint="default" w:ascii="Times New Roman Regular" w:hAnsi="Times New Roman Regular" w:eastAsia="Times New Roman" w:cs="Times New Roman Regular"/>
          <w:sz w:val="24"/>
          <w:szCs w:val="24"/>
          <w:vertAlign w:val="superscript"/>
        </w:rPr>
        <w:t>2</w:t>
      </w:r>
      <w:r>
        <w:rPr>
          <w:rFonts w:hint="default" w:ascii="Times New Roman Regular" w:hAnsi="Times New Roman Regular" w:eastAsia="Times New Roman" w:cs="Times New Roman Regular"/>
          <w:sz w:val="24"/>
          <w:szCs w:val="24"/>
        </w:rPr>
        <w:t>. HAIC was performed by inserting a 5-French Rosch Hepatic catheter (Terumo Corporation, Tokyo, Japan) through the femoral artery with a 2.4 or 2.7-French microcatheter inside, and then, advancing the tip of the microcatheter to the tumor-feeding artery, guided by concurrent arteriography. The catheter and sheath were removed after the completion of each HAIC.</w:t>
      </w:r>
    </w:p>
    <w:p w14:paraId="0C197360">
      <w:pPr>
        <w:spacing w:before="58" w:line="480" w:lineRule="auto"/>
        <w:ind w:left="42" w:firstLine="240" w:firstLineChars="100"/>
        <w:jc w:val="both"/>
        <w:rPr>
          <w:rFonts w:hint="default" w:ascii="Times New Roman Regular" w:hAnsi="Times New Roman Regular" w:eastAsia="Times New Roman" w:cs="Times New Roman Regular"/>
          <w:sz w:val="24"/>
          <w:szCs w:val="24"/>
        </w:rPr>
      </w:pPr>
      <w:r>
        <w:rPr>
          <w:rFonts w:hint="default" w:ascii="Times New Roman Regular" w:hAnsi="Times New Roman Regular" w:eastAsia="Times New Roman" w:cs="Times New Roman Regular"/>
          <w:sz w:val="24"/>
          <w:szCs w:val="24"/>
        </w:rPr>
        <w:t>During the course, liver baseline enhanced MRI or CT scans were performed every 2 cycles (consistent with the baseline examination), and the efficacy is evaluated according to the RECIST v1.1 and mRECIST criteria for solid tumors. The patients were assessed for surgery: eligible patients who able undergo curative surgery would undergo curative surgery at a scheduled time, and PD1 antibody had been stopped for one month before surgery, and TKI drugs had been stopped for 2-6 weeks before surgery. If the patients unable undergo curative surgery after 8 cycles, the treatment will be discontinued and the patients will be discharged. After discharge, they received any treatment as instructed by the doctor and continue follow-up until disease progression, intolerable toxicities, or withdrawal of informed consent.</w:t>
      </w:r>
    </w:p>
    <w:p w14:paraId="470C5875">
      <w:pPr>
        <w:spacing w:before="58" w:line="480" w:lineRule="auto"/>
        <w:ind w:left="42" w:firstLine="240" w:firstLineChars="100"/>
        <w:jc w:val="both"/>
        <w:rPr>
          <w:rFonts w:hint="default" w:ascii="Times New Roman Regular" w:hAnsi="Times New Roman Regular" w:eastAsia="Times New Roman" w:cs="Times New Roman Regular"/>
          <w:sz w:val="24"/>
          <w:szCs w:val="24"/>
        </w:rPr>
      </w:pPr>
      <w:bookmarkStart w:id="0" w:name="_GoBack"/>
      <w:bookmarkEnd w:id="0"/>
      <w:r>
        <w:rPr>
          <w:rFonts w:hint="default" w:ascii="Times New Roman Regular" w:hAnsi="Times New Roman Regular" w:eastAsia="Times New Roman" w:cs="Times New Roman Regular"/>
          <w:sz w:val="24"/>
          <w:szCs w:val="24"/>
        </w:rPr>
        <w:t>All patients underwent various checks, including vital signs, physical examination, laboratory tests, before and after each treatment cycle. All patients were discussed at the multidisciplinary board meeting, which was composed of surgeons specializing in liver surgery, clinical oncologists, interventional radiologists, and diagnostic radiologists. The meeting was held every two weeks to decide on resectability and treatment failure. Safety assessments were recorded throughout the treatment period. The severity of adverse reactions was graded according to the NCI-CTCAE 5.0, the fifth edition of the National Cancer Institute's Common Terminology Criteria for Adverse Events. The frequency, duration, and severity of adverse events were recorded.</w:t>
      </w:r>
    </w:p>
    <w:p w14:paraId="066F6F67">
      <w:pPr>
        <w:spacing w:before="58" w:line="480" w:lineRule="auto"/>
        <w:ind w:left="42"/>
        <w:jc w:val="both"/>
        <w:rPr>
          <w:rFonts w:hint="default" w:ascii="Times New Roman Bold" w:hAnsi="Times New Roman Bold" w:eastAsia="Times New Roman" w:cs="Times New Roman Bold"/>
          <w:b/>
          <w:bCs/>
          <w:sz w:val="24"/>
          <w:szCs w:val="24"/>
        </w:rPr>
      </w:pPr>
      <w:r>
        <w:rPr>
          <w:rFonts w:hint="default" w:ascii="Times New Roman Bold" w:hAnsi="Times New Roman Bold" w:eastAsia="Times New Roman" w:cs="Times New Roman Bold"/>
          <w:b/>
          <w:bCs/>
          <w:sz w:val="24"/>
          <w:szCs w:val="24"/>
        </w:rPr>
        <w:t>Endpoints</w:t>
      </w:r>
    </w:p>
    <w:p w14:paraId="15EDF9B7">
      <w:pPr>
        <w:spacing w:before="58" w:line="480" w:lineRule="auto"/>
        <w:ind w:left="42"/>
        <w:jc w:val="both"/>
        <w:rPr>
          <w:rFonts w:hint="default" w:ascii="Times New Roman Regular" w:hAnsi="Times New Roman Regular" w:eastAsia="Times New Roman" w:cs="Times New Roman Regular"/>
          <w:sz w:val="24"/>
          <w:szCs w:val="24"/>
        </w:rPr>
      </w:pPr>
      <w:r>
        <w:rPr>
          <w:rFonts w:hint="default" w:ascii="Times New Roman" w:hAnsi="Times New Roman" w:eastAsia="Times New Roman" w:cs="Times New Roman"/>
          <w:b w:val="0"/>
          <w:bCs w:val="0"/>
          <w:sz w:val="24"/>
          <w:szCs w:val="24"/>
        </w:rPr>
        <w:t>The primary endpoints were the conversion rate of patients who were considered suitable for radical resection after conversion therapy, and the R0 resection rate</w:t>
      </w:r>
      <w:r>
        <w:rPr>
          <w:rFonts w:hint="default" w:ascii="Times New Roman" w:hAnsi="Times New Roman" w:eastAsia="Times New Roman" w:cs="Times New Roman"/>
          <w:b w:val="0"/>
          <w:bCs w:val="0"/>
          <w:sz w:val="24"/>
          <w:szCs w:val="24"/>
          <w:lang w:val="en-US"/>
        </w:rPr>
        <w:t xml:space="preserve">, and </w:t>
      </w:r>
      <w:r>
        <w:rPr>
          <w:rFonts w:hint="default" w:ascii="Times New Roman Regular" w:hAnsi="Times New Roman Regular" w:eastAsia="Times New Roman" w:cs="Times New Roman Regular"/>
          <w:sz w:val="24"/>
          <w:szCs w:val="24"/>
        </w:rPr>
        <w:t>the safety and tolerability of the H</w:t>
      </w:r>
      <w:r>
        <w:rPr>
          <w:rFonts w:hint="default" w:ascii="Times New Roman Regular" w:hAnsi="Times New Roman Regular" w:eastAsia="Times New Roman" w:cs="Times New Roman Regular"/>
          <w:sz w:val="24"/>
          <w:szCs w:val="24"/>
          <w:lang w:val="en-US"/>
        </w:rPr>
        <w:t>AIC</w:t>
      </w:r>
      <w:r>
        <w:rPr>
          <w:rFonts w:hint="default" w:ascii="Times New Roman Regular" w:hAnsi="Times New Roman Regular" w:eastAsia="Times New Roman" w:cs="Times New Roman Regular"/>
          <w:sz w:val="24"/>
          <w:szCs w:val="24"/>
        </w:rPr>
        <w:t xml:space="preserve"> combined with camrelizumab and apatinib, as well as the </w:t>
      </w:r>
      <w:r>
        <w:rPr>
          <w:rFonts w:hint="default" w:ascii="Times New Roman Regular" w:hAnsi="Times New Roman Regular" w:eastAsia="Times New Roman" w:cs="Times New Roman Regular"/>
          <w:sz w:val="24"/>
          <w:szCs w:val="24"/>
          <w:lang w:val="en-US"/>
        </w:rPr>
        <w:t>conversion</w:t>
      </w:r>
      <w:r>
        <w:rPr>
          <w:rFonts w:hint="default" w:ascii="Times New Roman Regular" w:hAnsi="Times New Roman Regular" w:eastAsia="Times New Roman" w:cs="Times New Roman Regular"/>
          <w:sz w:val="24"/>
          <w:szCs w:val="24"/>
        </w:rPr>
        <w:t xml:space="preserve"> therapy with the Common Terminology Criteria for Adverse Events (CTCAE) version  5.0.  Secondary endpoints were </w:t>
      </w:r>
      <w:r>
        <w:rPr>
          <w:rFonts w:hint="default" w:ascii="Times New Roman" w:hAnsi="Times New Roman" w:eastAsia="Songti SC"/>
          <w:sz w:val="24"/>
          <w:lang w:val="en-US" w:eastAsia="zh-CN"/>
        </w:rPr>
        <w:t>objective response rate (ORR)</w:t>
      </w:r>
      <w:r>
        <w:rPr>
          <w:rFonts w:hint="default" w:ascii="Times New Roman" w:hAnsi="Times New Roman" w:eastAsia="Times New Roman" w:cs="Times New Roman"/>
          <w:b w:val="0"/>
          <w:bCs w:val="0"/>
          <w:sz w:val="24"/>
          <w:szCs w:val="24"/>
        </w:rPr>
        <w:t xml:space="preserve">  after the </w:t>
      </w:r>
      <w:r>
        <w:rPr>
          <w:rFonts w:hint="default" w:ascii="Times New Roman" w:hAnsi="Times New Roman" w:eastAsia="Times New Roman" w:cs="Times New Roman"/>
          <w:b w:val="0"/>
          <w:bCs w:val="0"/>
          <w:sz w:val="24"/>
          <w:szCs w:val="24"/>
          <w:lang w:val="en-US"/>
        </w:rPr>
        <w:t>conversion</w:t>
      </w:r>
      <w:r>
        <w:rPr>
          <w:rFonts w:hint="default" w:ascii="Times New Roman" w:hAnsi="Times New Roman" w:eastAsia="Times New Roman" w:cs="Times New Roman"/>
          <w:b w:val="0"/>
          <w:bCs w:val="0"/>
          <w:sz w:val="24"/>
          <w:szCs w:val="24"/>
        </w:rPr>
        <w:t xml:space="preserve"> therapy according to the RECIST v1.1 and mRECIST criteria, pathological response rates, and </w:t>
      </w:r>
      <w:r>
        <w:rPr>
          <w:rFonts w:hint="default" w:ascii="Times New Roman" w:hAnsi="Times New Roman" w:eastAsia="Times New Roman" w:cs="Times New Roman"/>
          <w:b w:val="0"/>
          <w:bCs w:val="0"/>
          <w:sz w:val="24"/>
          <w:szCs w:val="24"/>
          <w:lang w:val="en-US"/>
        </w:rPr>
        <w:t xml:space="preserve">overall </w:t>
      </w:r>
      <w:r>
        <w:rPr>
          <w:rFonts w:hint="default" w:ascii="Times New Roman" w:hAnsi="Times New Roman" w:eastAsia="Times New Roman" w:cs="Times New Roman"/>
          <w:b w:val="0"/>
          <w:bCs w:val="0"/>
          <w:sz w:val="24"/>
          <w:szCs w:val="24"/>
        </w:rPr>
        <w:t>survival (OS) rates</w:t>
      </w:r>
      <w:r>
        <w:rPr>
          <w:rFonts w:hint="eastAsia" w:ascii="Times New Roman" w:hAnsi="Times New Roman" w:eastAsia="宋体" w:cs="Times New Roman"/>
          <w:b w:val="0"/>
          <w:bCs w:val="0"/>
          <w:sz w:val="24"/>
          <w:szCs w:val="24"/>
          <w:lang w:val="en-US" w:eastAsia="zh-CN"/>
        </w:rPr>
        <w:t xml:space="preserve"> </w:t>
      </w:r>
      <w:r>
        <w:rPr>
          <w:rFonts w:hint="default" w:ascii="Times New Roman" w:hAnsi="Times New Roman" w:eastAsia="Times New Roman" w:cs="Times New Roman"/>
          <w:b w:val="0"/>
          <w:bCs w:val="0"/>
          <w:sz w:val="24"/>
          <w:szCs w:val="24"/>
          <w:lang w:val="en-US"/>
        </w:rPr>
        <w:t>and progression-free survival</w:t>
      </w:r>
      <w:r>
        <w:rPr>
          <w:rFonts w:hint="eastAsia" w:ascii="Times New Roman" w:hAnsi="Times New Roman" w:eastAsia="宋体" w:cs="Times New Roman"/>
          <w:b w:val="0"/>
          <w:bCs w:val="0"/>
          <w:sz w:val="24"/>
          <w:szCs w:val="24"/>
          <w:lang w:val="en-US" w:eastAsia="zh-CN"/>
        </w:rPr>
        <w:t xml:space="preserve"> </w:t>
      </w:r>
      <w:r>
        <w:rPr>
          <w:rFonts w:hint="default" w:ascii="Times New Roman" w:hAnsi="Times New Roman" w:eastAsia="宋体" w:cs="Times New Roman"/>
          <w:b w:val="0"/>
          <w:bCs w:val="0"/>
          <w:sz w:val="24"/>
          <w:szCs w:val="24"/>
          <w:lang w:val="en-US" w:eastAsia="zh-CN"/>
        </w:rPr>
        <w:t>(PFS)</w:t>
      </w:r>
      <w:r>
        <w:rPr>
          <w:rFonts w:hint="default" w:ascii="Times New Roman" w:hAnsi="Times New Roman" w:eastAsia="Songti SC"/>
          <w:sz w:val="24"/>
          <w:lang w:val="en-US" w:eastAsia="zh-CN"/>
        </w:rPr>
        <w:t>.</w:t>
      </w:r>
      <w:r>
        <w:rPr>
          <w:rFonts w:hint="default" w:ascii="Times New Roman Regular" w:hAnsi="Times New Roman Regular" w:eastAsia="Times New Roman" w:cs="Times New Roman Regular"/>
          <w:sz w:val="24"/>
          <w:szCs w:val="24"/>
        </w:rPr>
        <w:t xml:space="preserve"> </w:t>
      </w:r>
    </w:p>
    <w:p w14:paraId="14CEB9F0">
      <w:pPr>
        <w:spacing w:before="58" w:line="480" w:lineRule="auto"/>
        <w:ind w:left="42"/>
        <w:jc w:val="both"/>
        <w:rPr>
          <w:rFonts w:hint="default" w:ascii="Times New Roman Bold" w:hAnsi="Times New Roman Bold" w:eastAsia="Times New Roman" w:cs="Times New Roman Bold"/>
          <w:b/>
          <w:bCs/>
          <w:sz w:val="24"/>
          <w:szCs w:val="24"/>
        </w:rPr>
      </w:pPr>
      <w:r>
        <w:rPr>
          <w:rFonts w:hint="default" w:ascii="Times New Roman Bold" w:hAnsi="Times New Roman Bold" w:eastAsia="Times New Roman" w:cs="Times New Roman Bold"/>
          <w:b/>
          <w:bCs/>
          <w:sz w:val="24"/>
          <w:szCs w:val="24"/>
        </w:rPr>
        <w:t>Statistical analysis</w:t>
      </w:r>
    </w:p>
    <w:p w14:paraId="4823C057">
      <w:pPr>
        <w:spacing w:before="58" w:line="480" w:lineRule="auto"/>
        <w:ind w:left="42"/>
        <w:jc w:val="both"/>
        <w:rPr>
          <w:rFonts w:hint="default" w:ascii="Times New Roman Regular" w:hAnsi="Times New Roman Regular" w:eastAsia="Times New Roman" w:cs="Times New Roman Regular"/>
          <w:sz w:val="24"/>
          <w:szCs w:val="24"/>
        </w:rPr>
      </w:pPr>
      <w:r>
        <w:rPr>
          <w:rFonts w:hint="default" w:ascii="Times New Roman Regular" w:hAnsi="Times New Roman Regular" w:eastAsia="Times New Roman" w:cs="Times New Roman Regular"/>
          <w:sz w:val="24"/>
          <w:szCs w:val="24"/>
        </w:rPr>
        <w:t>The percentage of patients considered eligible for curative treatment and the corresponding 95% CI were represented by a binomial distribution. The objective response rate and the corresponding 95% CI were estimated using the Clopper-Pearson method. The survival distribution at the time-to-event endpoint of all events was estimated using the Kaplan-Meier method. Survival rates were estimated using life-table method. The median time to event and the corresponding 95% CI were estimated using the Brookmeyer and Crowley method. For the overall survival rate, the data of patients who died during the analysis were reviewed after the last known survival date of patients who were alive. For the progression-free survival, the data of patients who did not experience a progression event or death during the analysis were reviewed at the last assessable time point. There was no data monitoring committee.</w:t>
      </w:r>
    </w:p>
    <w:p w14:paraId="79DD9A28">
      <w:pPr>
        <w:spacing w:before="58" w:line="480" w:lineRule="auto"/>
        <w:ind w:left="42"/>
        <w:jc w:val="both"/>
        <w:rPr>
          <w:rFonts w:hint="default" w:ascii="Times New Roman Bold" w:hAnsi="Times New Roman Bold" w:eastAsia="Times New Roman" w:cs="Times New Roman Bold"/>
          <w:b/>
          <w:bCs/>
          <w:sz w:val="24"/>
          <w:szCs w:val="24"/>
        </w:rPr>
      </w:pPr>
      <w:r>
        <w:rPr>
          <w:rFonts w:hint="default" w:ascii="Times New Roman Bold" w:hAnsi="Times New Roman Bold" w:eastAsia="Times New Roman" w:cs="Times New Roman Bold"/>
          <w:b/>
          <w:bCs/>
          <w:sz w:val="24"/>
          <w:szCs w:val="24"/>
        </w:rPr>
        <w:t>Discussion</w:t>
      </w:r>
    </w:p>
    <w:p w14:paraId="370132F2">
      <w:pPr>
        <w:spacing w:before="58" w:line="480" w:lineRule="auto"/>
        <w:ind w:left="42"/>
        <w:jc w:val="both"/>
        <w:rPr>
          <w:rFonts w:hint="default" w:ascii="Times New Roman Regular" w:hAnsi="Times New Roman Regular" w:eastAsia="Times New Roman" w:cs="Times New Roman Regular"/>
          <w:sz w:val="24"/>
          <w:szCs w:val="24"/>
        </w:rPr>
      </w:pPr>
      <w:r>
        <w:rPr>
          <w:rFonts w:hint="default" w:ascii="Times New Roman Regular" w:hAnsi="Times New Roman Regular" w:eastAsia="Times New Roman" w:cs="Times New Roman Regular"/>
          <w:sz w:val="24"/>
          <w:szCs w:val="24"/>
        </w:rPr>
        <w:t>(</w:t>
      </w:r>
      <w:r>
        <w:rPr>
          <w:rFonts w:hint="default" w:ascii="Times New Roman Italic" w:hAnsi="Times New Roman Italic" w:eastAsia="Times New Roman" w:cs="Times New Roman Italic"/>
          <w:i/>
          <w:iCs/>
          <w:sz w:val="24"/>
          <w:szCs w:val="24"/>
        </w:rPr>
        <w:t>Be omitted</w:t>
      </w:r>
      <w:r>
        <w:rPr>
          <w:rFonts w:hint="default" w:ascii="Times New Roman Regular" w:hAnsi="Times New Roman Regular" w:eastAsia="Times New Roman" w:cs="Times New Roman Regular"/>
          <w:sz w:val="24"/>
          <w:szCs w:val="24"/>
        </w:rPr>
        <w:t>)</w:t>
      </w:r>
    </w:p>
    <w:sectPr>
      <w:headerReference r:id="rId5" w:type="default"/>
      <w:pgSz w:w="11900" w:h="16840"/>
      <w:pgMar w:top="1173" w:right="1767" w:bottom="0" w:left="1771" w:header="857"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Times New Roman Regular">
    <w:panose1 w:val="02020503050405090304"/>
    <w:charset w:val="00"/>
    <w:family w:val="auto"/>
    <w:pitch w:val="default"/>
    <w:sig w:usb0="E0000AFF" w:usb1="00007843" w:usb2="00000001" w:usb3="00000000" w:csb0="400001BF" w:csb1="DFF70000"/>
  </w:font>
  <w:font w:name="Times New Roman Bold">
    <w:panose1 w:val="02020503050405090304"/>
    <w:charset w:val="00"/>
    <w:family w:val="auto"/>
    <w:pitch w:val="default"/>
    <w:sig w:usb0="E0000AFF" w:usb1="00007843" w:usb2="00000001" w:usb3="00000000" w:csb0="400001BF" w:csb1="DFF70000"/>
  </w:font>
  <w:font w:name="Times New Roman Italic">
    <w:panose1 w:val="02020503050405090304"/>
    <w:charset w:val="00"/>
    <w:family w:val="auto"/>
    <w:pitch w:val="default"/>
    <w:sig w:usb0="E0000AFF" w:usb1="00007843" w:usb2="00000001" w:usb3="00000000" w:csb0="400001BF" w:csb1="DFF70000"/>
  </w:font>
  <w:font w:name="Songti SC">
    <w:panose1 w:val="02010800040101010101"/>
    <w:charset w:val="86"/>
    <w:family w:val="auto"/>
    <w:pitch w:val="default"/>
    <w:sig w:usb0="00000001" w:usb1="080F0000" w:usb2="00000000" w:usb3="00000000" w:csb0="00040000" w:csb1="00000000"/>
  </w:font>
  <w:font w:name="汉仪书宋二KW">
    <w:panose1 w:val="00020600040101010101"/>
    <w:charset w:val="86"/>
    <w:family w:val="auto"/>
    <w:pitch w:val="default"/>
    <w:sig w:usb0="A00002BF" w:usb1="18EF7CFA" w:usb2="00000016" w:usb3="00000000" w:csb0="00040000" w:csb1="00000000"/>
  </w:font>
  <w:font w:name="宋体-简">
    <w:panose1 w:val="02010800040101010101"/>
    <w:charset w:val="86"/>
    <w:family w:val="auto"/>
    <w:pitch w:val="default"/>
    <w:sig w:usb0="00000001" w:usb1="080F0000" w:usb2="00000000"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BA0949">
    <w:pPr>
      <w:pStyle w:val="2"/>
      <w:spacing w:before="46" w:line="198" w:lineRule="auto"/>
      <w:ind w:left="30"/>
      <w:rPr>
        <w:rFonts w:hint="eastAsia" w:eastAsia="宋体"/>
        <w:spacing w:val="-2"/>
        <w:sz w:val="17"/>
        <w:szCs w:val="17"/>
        <w:lang w:val="en-US" w:eastAsia="zh-CN"/>
      </w:rPr>
    </w:pPr>
    <w:r>
      <w:drawing>
        <wp:anchor distT="0" distB="0" distL="0" distR="0" simplePos="0" relativeHeight="251659264" behindDoc="0" locked="0" layoutInCell="0" allowOverlap="1">
          <wp:simplePos x="0" y="0"/>
          <wp:positionH relativeFrom="page">
            <wp:posOffset>1124585</wp:posOffset>
          </wp:positionH>
          <wp:positionV relativeFrom="page">
            <wp:posOffset>706755</wp:posOffset>
          </wp:positionV>
          <wp:extent cx="5309870" cy="8890"/>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1"/>
                  <a:stretch>
                    <a:fillRect/>
                  </a:stretch>
                </pic:blipFill>
                <pic:spPr>
                  <a:xfrm>
                    <a:off x="0" y="0"/>
                    <a:ext cx="5309616" cy="9144"/>
                  </a:xfrm>
                  <a:prstGeom prst="rect">
                    <a:avLst/>
                  </a:prstGeom>
                </pic:spPr>
              </pic:pic>
            </a:graphicData>
          </a:graphic>
        </wp:anchor>
      </w:drawing>
    </w:r>
    <w:r>
      <w:rPr>
        <w:spacing w:val="-2"/>
        <w:sz w:val="17"/>
        <w:szCs w:val="17"/>
      </w:rPr>
      <w:t>Version</w:t>
    </w:r>
    <w:r>
      <w:rPr>
        <w:spacing w:val="17"/>
        <w:sz w:val="17"/>
        <w:szCs w:val="17"/>
      </w:rPr>
      <w:t xml:space="preserve"> </w:t>
    </w:r>
    <w:r>
      <w:rPr>
        <w:rFonts w:hint="eastAsia" w:eastAsia="宋体"/>
        <w:spacing w:val="-2"/>
        <w:sz w:val="17"/>
        <w:szCs w:val="17"/>
        <w:lang w:val="en-US" w:eastAsia="zh-CN"/>
      </w:rPr>
      <w:t>1.2</w:t>
    </w:r>
    <w:r>
      <w:rPr>
        <w:spacing w:val="-2"/>
        <w:sz w:val="17"/>
        <w:szCs w:val="17"/>
      </w:rPr>
      <w:t xml:space="preserve">    202</w:t>
    </w:r>
    <w:r>
      <w:rPr>
        <w:rFonts w:hint="eastAsia" w:eastAsia="宋体"/>
        <w:spacing w:val="-2"/>
        <w:sz w:val="17"/>
        <w:szCs w:val="17"/>
        <w:lang w:val="en-US" w:eastAsia="zh-CN"/>
      </w:rPr>
      <w:t>1</w:t>
    </w:r>
    <w:r>
      <w:rPr>
        <w:spacing w:val="-2"/>
        <w:sz w:val="17"/>
        <w:szCs w:val="17"/>
      </w:rPr>
      <w:t>.</w:t>
    </w:r>
    <w:r>
      <w:rPr>
        <w:rFonts w:hint="eastAsia" w:eastAsia="宋体"/>
        <w:spacing w:val="-2"/>
        <w:sz w:val="17"/>
        <w:szCs w:val="17"/>
        <w:lang w:val="en-US" w:eastAsia="zh-CN"/>
      </w:rPr>
      <w:t>4</w:t>
    </w:r>
    <w:r>
      <w:rPr>
        <w:spacing w:val="-2"/>
        <w:sz w:val="17"/>
        <w:szCs w:val="17"/>
      </w:rPr>
      <w:t>.2</w:t>
    </w:r>
    <w:r>
      <w:rPr>
        <w:rFonts w:hint="eastAsia" w:eastAsia="宋体"/>
        <w:spacing w:val="-2"/>
        <w:sz w:val="17"/>
        <w:szCs w:val="17"/>
        <w:lang w:val="en-US" w:eastAsia="zh-CN"/>
      </w:rPr>
      <w:t>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4CFB4FB"/>
    <w:multiLevelType w:val="multilevel"/>
    <w:tmpl w:val="A4CFB4FB"/>
    <w:lvl w:ilvl="0" w:tentative="0">
      <w:start w:val="1"/>
      <w:numFmt w:val="decimal"/>
      <w:lvlText w:val="%1)"/>
      <w:lvlJc w:val="left"/>
      <w:pPr>
        <w:tabs>
          <w:tab w:val="left" w:pos="420"/>
        </w:tabs>
        <w:ind w:left="845" w:hanging="425"/>
      </w:pPr>
      <w:rPr>
        <w:rFonts w:hint="default"/>
      </w:rPr>
    </w:lvl>
    <w:lvl w:ilvl="1" w:tentative="0">
      <w:start w:val="1"/>
      <w:numFmt w:val="lowerLetter"/>
      <w:lvlText w:val="%2."/>
      <w:lvlJc w:val="left"/>
      <w:pPr>
        <w:tabs>
          <w:tab w:val="left" w:pos="1260"/>
        </w:tabs>
        <w:ind w:left="1260" w:leftChars="0" w:hanging="420" w:firstLineChars="0"/>
      </w:pPr>
      <w:rPr>
        <w:rFonts w:hint="default"/>
      </w:rPr>
    </w:lvl>
    <w:lvl w:ilvl="2" w:tentative="0">
      <w:start w:val="1"/>
      <w:numFmt w:val="lowerLetter"/>
      <w:lvlText w:val="%3)"/>
      <w:lvlJc w:val="left"/>
      <w:pPr>
        <w:tabs>
          <w:tab w:val="left" w:pos="1680"/>
        </w:tabs>
        <w:ind w:left="1680" w:leftChars="0" w:hanging="420" w:firstLineChars="0"/>
      </w:pPr>
      <w:rPr>
        <w:rFonts w:hint="default"/>
      </w:rPr>
    </w:lvl>
    <w:lvl w:ilvl="3" w:tentative="0">
      <w:start w:val="1"/>
      <w:numFmt w:val="lowerRoman"/>
      <w:lvlText w:val="%4."/>
      <w:lvlJc w:val="left"/>
      <w:pPr>
        <w:tabs>
          <w:tab w:val="left" w:pos="2100"/>
        </w:tabs>
        <w:ind w:left="2100" w:leftChars="0" w:hanging="420" w:firstLineChars="0"/>
      </w:pPr>
      <w:rPr>
        <w:rFonts w:hint="default"/>
      </w:rPr>
    </w:lvl>
    <w:lvl w:ilvl="4" w:tentative="0">
      <w:start w:val="1"/>
      <w:numFmt w:val="lowerRoman"/>
      <w:lvlText w:val="%5)"/>
      <w:lvlJc w:val="left"/>
      <w:pPr>
        <w:tabs>
          <w:tab w:val="left" w:pos="2520"/>
        </w:tabs>
        <w:ind w:left="2520" w:leftChars="0" w:hanging="420" w:firstLineChars="0"/>
      </w:pPr>
      <w:rPr>
        <w:rFonts w:hint="default"/>
      </w:rPr>
    </w:lvl>
    <w:lvl w:ilvl="5" w:tentative="0">
      <w:start w:val="1"/>
      <w:numFmt w:val="lowerLetter"/>
      <w:lvlText w:val="%6."/>
      <w:lvlJc w:val="left"/>
      <w:pPr>
        <w:tabs>
          <w:tab w:val="left" w:pos="2940"/>
        </w:tabs>
        <w:ind w:left="2940" w:leftChars="0" w:hanging="420" w:firstLineChars="0"/>
      </w:pPr>
      <w:rPr>
        <w:rFonts w:hint="default"/>
      </w:rPr>
    </w:lvl>
    <w:lvl w:ilvl="6" w:tentative="0">
      <w:start w:val="1"/>
      <w:numFmt w:val="lowerLetter"/>
      <w:lvlText w:val="%7)"/>
      <w:lvlJc w:val="left"/>
      <w:pPr>
        <w:tabs>
          <w:tab w:val="left" w:pos="3360"/>
        </w:tabs>
        <w:ind w:left="3360" w:leftChars="0" w:hanging="420" w:firstLineChars="0"/>
      </w:pPr>
      <w:rPr>
        <w:rFonts w:hint="default"/>
      </w:rPr>
    </w:lvl>
    <w:lvl w:ilvl="7" w:tentative="0">
      <w:start w:val="1"/>
      <w:numFmt w:val="lowerRoman"/>
      <w:lvlText w:val="%8."/>
      <w:lvlJc w:val="left"/>
      <w:pPr>
        <w:tabs>
          <w:tab w:val="left" w:pos="3780"/>
        </w:tabs>
        <w:ind w:left="3780" w:leftChars="0" w:hanging="420" w:firstLineChars="0"/>
      </w:pPr>
      <w:rPr>
        <w:rFonts w:hint="default"/>
      </w:rPr>
    </w:lvl>
    <w:lvl w:ilvl="8" w:tentative="0">
      <w:start w:val="1"/>
      <w:numFmt w:val="lowerRoman"/>
      <w:lvlText w:val="%9)"/>
      <w:lvlJc w:val="left"/>
      <w:pPr>
        <w:tabs>
          <w:tab w:val="left" w:pos="4200"/>
        </w:tabs>
        <w:ind w:left="4200" w:leftChars="0" w:hanging="420" w:firstLineChars="0"/>
      </w:pPr>
      <w:rPr>
        <w:rFonts w:hint="default"/>
      </w:rPr>
    </w:lvl>
  </w:abstractNum>
  <w:abstractNum w:abstractNumId="1">
    <w:nsid w:val="BEC60900"/>
    <w:multiLevelType w:val="singleLevel"/>
    <w:tmpl w:val="BEC60900"/>
    <w:lvl w:ilvl="0" w:tentative="0">
      <w:start w:val="1"/>
      <w:numFmt w:val="decimal"/>
      <w:lvlText w:val="%1."/>
      <w:lvlJc w:val="left"/>
      <w:pPr>
        <w:ind w:left="425" w:hanging="425"/>
      </w:pPr>
      <w:rPr>
        <w:rFonts w:hint="default"/>
      </w:rPr>
    </w:lvl>
  </w:abstractNum>
  <w:abstractNum w:abstractNumId="2">
    <w:nsid w:val="FBFA7350"/>
    <w:multiLevelType w:val="multilevel"/>
    <w:tmpl w:val="FBFA7350"/>
    <w:lvl w:ilvl="0" w:tentative="0">
      <w:start w:val="1"/>
      <w:numFmt w:val="decimal"/>
      <w:lvlText w:val="%1."/>
      <w:lvlJc w:val="left"/>
      <w:pPr>
        <w:ind w:left="425" w:hanging="425"/>
      </w:pPr>
      <w:rPr>
        <w:rFonts w:hint="default"/>
      </w:rPr>
    </w:lvl>
    <w:lvl w:ilvl="1" w:tentative="0">
      <w:start w:val="1"/>
      <w:numFmt w:val="decimal"/>
      <w:lvlText w:val="(%2)"/>
      <w:lvlJc w:val="left"/>
      <w:pPr>
        <w:tabs>
          <w:tab w:val="left" w:pos="840"/>
        </w:tabs>
        <w:ind w:left="840" w:leftChars="0" w:hanging="420" w:firstLineChars="0"/>
      </w:pPr>
      <w:rPr>
        <w:rFonts w:hint="default"/>
      </w:rPr>
    </w:lvl>
    <w:lvl w:ilvl="2" w:tentative="0">
      <w:start w:val="1"/>
      <w:numFmt w:val="decimalEnclosedCircleChinese"/>
      <w:lvlText w:val="%3"/>
      <w:lvlJc w:val="left"/>
      <w:pPr>
        <w:tabs>
          <w:tab w:val="left" w:pos="1260"/>
        </w:tabs>
        <w:ind w:left="1260" w:leftChars="0" w:hanging="420" w:firstLineChars="0"/>
      </w:pPr>
      <w:rPr>
        <w:rFonts w:hint="default"/>
      </w:rPr>
    </w:lvl>
    <w:lvl w:ilvl="3" w:tentative="0">
      <w:start w:val="1"/>
      <w:numFmt w:val="decimal"/>
      <w:lvlText w:val="%4)"/>
      <w:lvlJc w:val="left"/>
      <w:pPr>
        <w:tabs>
          <w:tab w:val="left" w:pos="1680"/>
        </w:tabs>
        <w:ind w:left="1680" w:leftChars="0" w:hanging="420" w:firstLineChars="0"/>
      </w:pPr>
      <w:rPr>
        <w:rFonts w:hint="default"/>
      </w:rPr>
    </w:lvl>
    <w:lvl w:ilvl="4" w:tentative="0">
      <w:start w:val="1"/>
      <w:numFmt w:val="lowerLetter"/>
      <w:lvlText w:val="%5."/>
      <w:lvlJc w:val="left"/>
      <w:pPr>
        <w:tabs>
          <w:tab w:val="left" w:pos="2100"/>
        </w:tabs>
        <w:ind w:left="2100" w:leftChars="0" w:hanging="420" w:firstLineChars="0"/>
      </w:pPr>
      <w:rPr>
        <w:rFonts w:hint="default"/>
      </w:rPr>
    </w:lvl>
    <w:lvl w:ilvl="5" w:tentative="0">
      <w:start w:val="1"/>
      <w:numFmt w:val="lowerLetter"/>
      <w:lvlText w:val="%6)"/>
      <w:lvlJc w:val="left"/>
      <w:pPr>
        <w:tabs>
          <w:tab w:val="left" w:pos="2520"/>
        </w:tabs>
        <w:ind w:left="2520" w:leftChars="0" w:hanging="420" w:firstLineChars="0"/>
      </w:pPr>
      <w:rPr>
        <w:rFonts w:hint="default"/>
      </w:rPr>
    </w:lvl>
    <w:lvl w:ilvl="6" w:tentative="0">
      <w:start w:val="1"/>
      <w:numFmt w:val="lowerRoman"/>
      <w:lvlText w:val="%7."/>
      <w:lvlJc w:val="left"/>
      <w:pPr>
        <w:tabs>
          <w:tab w:val="left" w:pos="2940"/>
        </w:tabs>
        <w:ind w:left="2940" w:leftChars="0" w:hanging="420" w:firstLineChars="0"/>
      </w:pPr>
      <w:rPr>
        <w:rFonts w:hint="default"/>
      </w:rPr>
    </w:lvl>
    <w:lvl w:ilvl="7" w:tentative="0">
      <w:start w:val="1"/>
      <w:numFmt w:val="lowerRoman"/>
      <w:lvlText w:val="%8)"/>
      <w:lvlJc w:val="left"/>
      <w:pPr>
        <w:tabs>
          <w:tab w:val="left" w:pos="3360"/>
        </w:tabs>
        <w:ind w:left="3360" w:leftChars="0" w:hanging="420" w:firstLineChars="0"/>
      </w:pPr>
      <w:rPr>
        <w:rFonts w:hint="default"/>
      </w:rPr>
    </w:lvl>
    <w:lvl w:ilvl="8" w:tentative="0">
      <w:start w:val="1"/>
      <w:numFmt w:val="lowerLetter"/>
      <w:lvlText w:val="%9."/>
      <w:lvlJc w:val="left"/>
      <w:pPr>
        <w:tabs>
          <w:tab w:val="left" w:pos="3780"/>
        </w:tabs>
        <w:ind w:left="3780" w:leftChars="0" w:hanging="420" w:firstLineChars="0"/>
      </w:pPr>
      <w:rPr>
        <w:rFonts w:hint="default"/>
      </w:rPr>
    </w:lvl>
  </w:abstractNum>
  <w:abstractNum w:abstractNumId="3">
    <w:nsid w:val="FC9AA3B2"/>
    <w:multiLevelType w:val="singleLevel"/>
    <w:tmpl w:val="FC9AA3B2"/>
    <w:lvl w:ilvl="0" w:tentative="0">
      <w:start w:val="1"/>
      <w:numFmt w:val="lowerLetter"/>
      <w:lvlText w:val="%1."/>
      <w:lvlJc w:val="left"/>
      <w:pPr>
        <w:tabs>
          <w:tab w:val="left" w:pos="840"/>
        </w:tabs>
        <w:ind w:left="1265" w:hanging="425"/>
      </w:pPr>
      <w:rPr>
        <w:rFonts w:hint="default"/>
      </w:rPr>
    </w:lvl>
  </w:abstractNum>
  <w:abstractNum w:abstractNumId="4">
    <w:nsid w:val="FFF4DEC4"/>
    <w:multiLevelType w:val="singleLevel"/>
    <w:tmpl w:val="FFF4DEC4"/>
    <w:lvl w:ilvl="0" w:tentative="0">
      <w:start w:val="1"/>
      <w:numFmt w:val="decimal"/>
      <w:lvlText w:val="%1)"/>
      <w:lvlJc w:val="left"/>
      <w:pPr>
        <w:tabs>
          <w:tab w:val="left" w:pos="420"/>
        </w:tabs>
        <w:ind w:left="845" w:hanging="425"/>
      </w:pPr>
      <w:rPr>
        <w:rFonts w:hint="default"/>
      </w:rPr>
    </w:lvl>
  </w:abstractNum>
  <w:abstractNum w:abstractNumId="5">
    <w:nsid w:val="2DFEA812"/>
    <w:multiLevelType w:val="singleLevel"/>
    <w:tmpl w:val="2DFEA812"/>
    <w:lvl w:ilvl="0" w:tentative="0">
      <w:start w:val="10"/>
      <w:numFmt w:val="decimal"/>
      <w:lvlText w:val="%1."/>
      <w:lvlJc w:val="left"/>
      <w:pPr>
        <w:tabs>
          <w:tab w:val="left" w:pos="420"/>
        </w:tabs>
        <w:ind w:left="425" w:leftChars="0" w:hanging="425" w:firstLineChars="0"/>
      </w:pPr>
      <w:rPr>
        <w:rFonts w:hint="default"/>
      </w:rPr>
    </w:lvl>
  </w:abstractNum>
  <w:abstractNum w:abstractNumId="6">
    <w:nsid w:val="759F0C9C"/>
    <w:multiLevelType w:val="singleLevel"/>
    <w:tmpl w:val="759F0C9C"/>
    <w:lvl w:ilvl="0" w:tentative="0">
      <w:start w:val="1"/>
      <w:numFmt w:val="lowerLetter"/>
      <w:lvlText w:val="%1."/>
      <w:lvlJc w:val="left"/>
      <w:pPr>
        <w:tabs>
          <w:tab w:val="left" w:pos="840"/>
        </w:tabs>
        <w:ind w:left="1265" w:hanging="425"/>
      </w:pPr>
      <w:rPr>
        <w:rFonts w:hint="default"/>
      </w:rPr>
    </w:lvl>
  </w:abstractNum>
  <w:num w:numId="1">
    <w:abstractNumId w:val="2"/>
  </w:num>
  <w:num w:numId="2">
    <w:abstractNumId w:val="4"/>
  </w:num>
  <w:num w:numId="3">
    <w:abstractNumId w:val="0"/>
  </w:num>
  <w:num w:numId="4">
    <w:abstractNumId w:val="3"/>
  </w:num>
  <w:num w:numId="5">
    <w:abstractNumId w:val="6"/>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rsids>
    <w:rsidRoot w:val="00000000"/>
    <w:rsid w:val="19AE75E5"/>
    <w:rsid w:val="1FC747BE"/>
    <w:rsid w:val="25BF254E"/>
    <w:rsid w:val="294D5351"/>
    <w:rsid w:val="3BBF2FA5"/>
    <w:rsid w:val="5DFEAA98"/>
    <w:rsid w:val="5FB5801E"/>
    <w:rsid w:val="6B3B3EED"/>
    <w:rsid w:val="7779F155"/>
    <w:rsid w:val="7DFFA039"/>
    <w:rsid w:val="9FB27BC8"/>
    <w:rsid w:val="9FE73D03"/>
    <w:rsid w:val="BB8D1957"/>
    <w:rsid w:val="BFBDA898"/>
    <w:rsid w:val="C5638E27"/>
    <w:rsid w:val="DFEE8754"/>
    <w:rsid w:val="F4FE2235"/>
    <w:rsid w:val="F77DBF0B"/>
    <w:rsid w:val="F8F6FCC9"/>
    <w:rsid w:val="FB6BF2C6"/>
    <w:rsid w:val="FBED60F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paragraph" w:styleId="3">
    <w:name w:val="footer"/>
    <w:basedOn w:val="1"/>
    <w:uiPriority w:val="0"/>
    <w:pPr>
      <w:tabs>
        <w:tab w:val="center" w:pos="4153"/>
        <w:tab w:val="right" w:pos="8306"/>
      </w:tabs>
      <w:snapToGrid w:val="0"/>
      <w:jc w:val="left"/>
    </w:pPr>
    <w:rPr>
      <w:sz w:val="18"/>
    </w:rPr>
  </w:style>
  <w:style w:type="table" w:customStyle="1" w:styleId="6">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10</Pages>
  <TotalTime>4</TotalTime>
  <ScaleCrop>false</ScaleCrop>
  <LinksUpToDate>false</LinksUpToDate>
  <Application>WPS Office_6.8.2.8850_F1E327BC-269C-435d-A152-05C5408002CA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2024-06-16T13:55:00Z</dcterms:created>
  <dc:creator>Data</dc:creator>
  <cp:lastModifiedBy>福</cp:lastModifiedBy>
  <dcterms:modified xsi:type="dcterms:W3CDTF">2024-10-27T09:49:58Z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2024-06-15T21:55:44Z</vt:filetime>
  </property>
  <property fmtid="{D5CDD505-2E9C-101B-9397-08002B2CF9AE}" pid="4" name="KSOProductBuildVer">
    <vt:lpwstr>2052-6.8.2.8850</vt:lpwstr>
  </property>
  <property fmtid="{D5CDD505-2E9C-101B-9397-08002B2CF9AE}" pid="5" name="ICV">
    <vt:lpwstr>E1885A659AAB26F5469C1D67E26E29D5_43</vt:lpwstr>
  </property>
</Properties>
</file>