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6114" w14:textId="77777777" w:rsidR="00813A72" w:rsidRDefault="00813A72" w:rsidP="00813A72">
      <w:pPr>
        <w:pStyle w:val="2"/>
        <w:numPr>
          <w:ilvl w:val="1"/>
          <w:numId w:val="0"/>
        </w:numPr>
        <w:spacing w:line="480" w:lineRule="auto"/>
        <w:jc w:val="both"/>
        <w:rPr>
          <w:rFonts w:eastAsiaTheme="minorEastAsia"/>
          <w:sz w:val="32"/>
          <w:szCs w:val="32"/>
          <w:lang w:eastAsia="zh-CN"/>
        </w:rPr>
      </w:pPr>
      <w:r w:rsidRPr="00813A72">
        <w:rPr>
          <w:rFonts w:eastAsiaTheme="minorEastAsia"/>
          <w:sz w:val="32"/>
          <w:szCs w:val="32"/>
          <w:lang w:eastAsia="zh-CN"/>
        </w:rPr>
        <w:t>Supplementary Material 1</w:t>
      </w:r>
    </w:p>
    <w:p w14:paraId="673C06E5" w14:textId="741FCE4D" w:rsidR="003A5FEE" w:rsidRDefault="00000000" w:rsidP="00813A72">
      <w:pPr>
        <w:pStyle w:val="2"/>
        <w:numPr>
          <w:ilvl w:val="1"/>
          <w:numId w:val="0"/>
        </w:numPr>
        <w:spacing w:line="480" w:lineRule="auto"/>
        <w:jc w:val="both"/>
        <w:rPr>
          <w:rFonts w:eastAsiaTheme="minorEastAsia"/>
          <w:lang w:eastAsia="zh-CN"/>
        </w:rPr>
      </w:pPr>
      <w:r>
        <w:rPr>
          <w:lang w:eastAsia="zh-CN"/>
        </w:rPr>
        <w:t>Materials and Methods</w:t>
      </w:r>
    </w:p>
    <w:p w14:paraId="502A44D0" w14:textId="77777777" w:rsidR="00813A72" w:rsidRDefault="00000000" w:rsidP="00813A72">
      <w:pPr>
        <w:spacing w:line="480" w:lineRule="auto"/>
        <w:jc w:val="both"/>
        <w:rPr>
          <w:rFonts w:cs="Times New Roman"/>
          <w:b/>
          <w:bCs/>
          <w:lang w:eastAsia="zh-CN"/>
        </w:rPr>
      </w:pPr>
      <w:r w:rsidRPr="00813A72">
        <w:rPr>
          <w:rFonts w:cs="Times New Roman"/>
          <w:b/>
          <w:bCs/>
        </w:rPr>
        <w:t>Datasets Acquisition</w:t>
      </w:r>
      <w:bookmarkStart w:id="0" w:name="_Hlk173158311"/>
      <w:r w:rsidR="00813A72">
        <w:rPr>
          <w:rFonts w:cs="Times New Roman" w:hint="eastAsia"/>
          <w:b/>
          <w:bCs/>
          <w:lang w:eastAsia="zh-CN"/>
        </w:rPr>
        <w:t xml:space="preserve"> </w:t>
      </w:r>
    </w:p>
    <w:p w14:paraId="58B624D0" w14:textId="14EC8155" w:rsidR="003A5FEE" w:rsidRPr="00813A72" w:rsidRDefault="00000000" w:rsidP="00813A72">
      <w:pPr>
        <w:spacing w:line="480" w:lineRule="auto"/>
        <w:jc w:val="both"/>
        <w:rPr>
          <w:rFonts w:cs="Times New Roman"/>
          <w:b/>
          <w:bCs/>
          <w:lang w:eastAsia="zh-CN"/>
        </w:rPr>
      </w:pPr>
      <w:r>
        <w:rPr>
          <w:rFonts w:cs="Times New Roman"/>
          <w:szCs w:val="24"/>
          <w:lang w:eastAsia="zh-CN"/>
        </w:rPr>
        <w:t xml:space="preserve">Survival-essential genes within glioblastoma (GBM) cell lines were retrieved from the </w:t>
      </w:r>
      <w:proofErr w:type="spellStart"/>
      <w:r>
        <w:rPr>
          <w:rFonts w:cs="Times New Roman"/>
          <w:szCs w:val="24"/>
          <w:lang w:eastAsia="zh-CN"/>
        </w:rPr>
        <w:t>DepMap</w:t>
      </w:r>
      <w:proofErr w:type="spellEnd"/>
      <w:r>
        <w:rPr>
          <w:rFonts w:cs="Times New Roman"/>
          <w:szCs w:val="24"/>
          <w:lang w:eastAsia="zh-CN"/>
        </w:rPr>
        <w:t xml:space="preserve"> database (</w:t>
      </w:r>
      <w:hyperlink r:id="rId8" w:tgtFrame="https://www.doubao.com/chat/_blank" w:history="1">
        <w:r w:rsidR="003A5FEE">
          <w:rPr>
            <w:rFonts w:cs="Times New Roman"/>
            <w:szCs w:val="24"/>
            <w:lang w:eastAsia="zh-CN"/>
          </w:rPr>
          <w:t>https://depmap.org/</w:t>
        </w:r>
      </w:hyperlink>
      <w:r>
        <w:rPr>
          <w:rFonts w:cs="Times New Roman"/>
          <w:szCs w:val="24"/>
          <w:lang w:eastAsia="zh-CN"/>
        </w:rPr>
        <w:t xml:space="preserve">). Through the application of the Robust Rank Aggregation (RRA) algorithm, a total of 762 genes were determined to possess a significant influence on GBM survival. Moreover, 866 genes related to cellular senescence were acquired from the </w:t>
      </w:r>
      <w:proofErr w:type="spellStart"/>
      <w:r>
        <w:rPr>
          <w:rFonts w:cs="Times New Roman"/>
          <w:szCs w:val="24"/>
          <w:lang w:eastAsia="zh-CN"/>
        </w:rPr>
        <w:t>CellAge</w:t>
      </w:r>
      <w:proofErr w:type="spellEnd"/>
      <w:r>
        <w:rPr>
          <w:rFonts w:cs="Times New Roman"/>
          <w:szCs w:val="24"/>
          <w:lang w:eastAsia="zh-CN"/>
        </w:rPr>
        <w:t xml:space="preserve"> database (</w:t>
      </w:r>
      <w:hyperlink r:id="rId9" w:tgtFrame="https://www.doubao.com/chat/_blank" w:history="1">
        <w:r w:rsidR="003A5FEE">
          <w:rPr>
            <w:rFonts w:cs="Times New Roman"/>
            <w:szCs w:val="24"/>
            <w:lang w:eastAsia="zh-CN"/>
          </w:rPr>
          <w:t>https://genomics.senescence.info/</w:t>
        </w:r>
      </w:hyperlink>
      <w:r>
        <w:rPr>
          <w:rFonts w:cs="Times New Roman"/>
          <w:szCs w:val="24"/>
          <w:lang w:eastAsia="zh-CN"/>
        </w:rPr>
        <w:t>). Gene expression profiles along with the corresponding clinical data of GBM patients were obtained from the Chinese Glioma Genome Atlas (CGGA) (</w:t>
      </w:r>
      <w:hyperlink r:id="rId10" w:tgtFrame="https://www.doubao.com/chat/_blank" w:history="1">
        <w:r w:rsidR="003A5FEE">
          <w:rPr>
            <w:rFonts w:cs="Times New Roman"/>
            <w:szCs w:val="24"/>
            <w:lang w:eastAsia="zh-CN"/>
          </w:rPr>
          <w:t>http://www.cgga.org.cn/</w:t>
        </w:r>
      </w:hyperlink>
      <w:r>
        <w:rPr>
          <w:rFonts w:cs="Times New Roman"/>
          <w:szCs w:val="24"/>
          <w:lang w:eastAsia="zh-CN"/>
        </w:rPr>
        <w:t>) and The Cancer Genome Atlas (TCGA) (</w:t>
      </w:r>
      <w:hyperlink r:id="rId11" w:tgtFrame="https://www.doubao.com/chat/_blank" w:history="1">
        <w:r w:rsidR="003A5FEE">
          <w:rPr>
            <w:rFonts w:cs="Times New Roman"/>
            <w:szCs w:val="24"/>
            <w:lang w:eastAsia="zh-CN"/>
          </w:rPr>
          <w:t>https://portal.gdc.cancer.gov/</w:t>
        </w:r>
      </w:hyperlink>
      <w:r>
        <w:rPr>
          <w:rFonts w:cs="Times New Roman"/>
          <w:szCs w:val="24"/>
          <w:lang w:eastAsia="zh-CN"/>
        </w:rPr>
        <w:t>) databases. The CGGA-325 dataset was designated as the training set, whereas the CGGA-693 and TCGA-GBM-LGG datasets functioned as validation sets 1 and 2, respectively.</w:t>
      </w:r>
    </w:p>
    <w:bookmarkEnd w:id="0"/>
    <w:p w14:paraId="10CAB80B" w14:textId="77777777" w:rsidR="00813A72" w:rsidRDefault="00000000" w:rsidP="00813A72">
      <w:pPr>
        <w:spacing w:line="480" w:lineRule="auto"/>
        <w:jc w:val="both"/>
        <w:rPr>
          <w:rFonts w:cs="Times New Roman"/>
          <w:b/>
          <w:bCs/>
        </w:rPr>
      </w:pPr>
      <w:r w:rsidRPr="00813A72">
        <w:rPr>
          <w:rFonts w:cs="Times New Roman"/>
          <w:b/>
          <w:bCs/>
        </w:rPr>
        <w:t>Antibodies with Associated Working Concentrations</w:t>
      </w:r>
    </w:p>
    <w:p w14:paraId="67290240" w14:textId="09E61794" w:rsidR="00A71FEB" w:rsidRDefault="00405B53" w:rsidP="00813A72">
      <w:pPr>
        <w:spacing w:line="480" w:lineRule="auto"/>
        <w:jc w:val="both"/>
        <w:rPr>
          <w:rFonts w:cs="Times New Roman"/>
          <w:szCs w:val="24"/>
          <w:lang w:eastAsia="zh-CN"/>
        </w:rPr>
      </w:pPr>
      <w:r w:rsidRPr="00405B53">
        <w:rPr>
          <w:rFonts w:cs="Times New Roman"/>
          <w:szCs w:val="24"/>
          <w:lang w:eastAsia="zh-CN"/>
        </w:rPr>
        <w:t xml:space="preserve">Primary and secondary antibodies were procured from Wuhan </w:t>
      </w:r>
      <w:proofErr w:type="spellStart"/>
      <w:r w:rsidRPr="00405B53">
        <w:rPr>
          <w:rFonts w:cs="Times New Roman"/>
          <w:szCs w:val="24"/>
          <w:lang w:eastAsia="zh-CN"/>
        </w:rPr>
        <w:t>Proteintech</w:t>
      </w:r>
      <w:proofErr w:type="spellEnd"/>
      <w:r w:rsidRPr="00405B53">
        <w:rPr>
          <w:rFonts w:cs="Times New Roman"/>
          <w:szCs w:val="24"/>
          <w:lang w:eastAsia="zh-CN"/>
        </w:rPr>
        <w:t xml:space="preserve"> Group, Inc. In this research, the anti-PSMA5 antibody (</w:t>
      </w:r>
      <w:r w:rsidRPr="00D97E93">
        <w:rPr>
          <w:rFonts w:cs="Times New Roman"/>
        </w:rPr>
        <w:t xml:space="preserve">cat. no. </w:t>
      </w:r>
      <w:r w:rsidRPr="00405B53">
        <w:rPr>
          <w:rFonts w:cs="Times New Roman"/>
          <w:szCs w:val="24"/>
          <w:lang w:eastAsia="zh-CN"/>
        </w:rPr>
        <w:t xml:space="preserve">30580-1-AP) was diluted at a ratio of 1:1500 for Western Blot and 1:150 for Immunohistochemistry; the anti-P16-INK4A antibody (cat. no. 10883-1-AP) was employed with a dilution ratio of 1:2000 for Western Blot; the anti-P53 antibody (cat. no. 10442-1-AP) had a dilution ratio of 1:5000 for Western Blot; the anti-Bax antibody (cat. no. 50599-2-Ig) was diluted 1:2000 for Western Blot; the anti-Bcl-2 antibody (cat. no. 12789-1-AP) was used at a dilution ratio of 1:2000 for Western Blot; </w:t>
      </w:r>
      <w:r w:rsidR="0080742C" w:rsidRPr="00405B53">
        <w:rPr>
          <w:rFonts w:cs="Times New Roman"/>
          <w:szCs w:val="24"/>
          <w:lang w:eastAsia="zh-CN"/>
        </w:rPr>
        <w:t>the anti-</w:t>
      </w:r>
      <w:r w:rsidR="0080742C">
        <w:rPr>
          <w:rFonts w:cs="Times New Roman" w:hint="eastAsia"/>
          <w:szCs w:val="24"/>
          <w:lang w:eastAsia="zh-CN"/>
        </w:rPr>
        <w:t>Ki-67</w:t>
      </w:r>
      <w:r w:rsidR="0080742C" w:rsidRPr="00405B53">
        <w:rPr>
          <w:rFonts w:cs="Times New Roman"/>
          <w:szCs w:val="24"/>
          <w:lang w:eastAsia="zh-CN"/>
        </w:rPr>
        <w:t xml:space="preserve"> antibody (cat. no. </w:t>
      </w:r>
      <w:r w:rsidR="0080742C">
        <w:rPr>
          <w:rFonts w:cs="Times New Roman" w:hint="eastAsia"/>
          <w:szCs w:val="24"/>
          <w:lang w:eastAsia="zh-CN"/>
        </w:rPr>
        <w:t>27309</w:t>
      </w:r>
      <w:r w:rsidR="0080742C" w:rsidRPr="00405B53">
        <w:rPr>
          <w:rFonts w:cs="Times New Roman"/>
          <w:szCs w:val="24"/>
          <w:lang w:eastAsia="zh-CN"/>
        </w:rPr>
        <w:t>-</w:t>
      </w:r>
      <w:r w:rsidR="0080742C">
        <w:rPr>
          <w:rFonts w:cs="Times New Roman" w:hint="eastAsia"/>
          <w:szCs w:val="24"/>
          <w:lang w:eastAsia="zh-CN"/>
        </w:rPr>
        <w:t>1</w:t>
      </w:r>
      <w:r w:rsidR="0080742C" w:rsidRPr="00405B53">
        <w:rPr>
          <w:rFonts w:cs="Times New Roman"/>
          <w:szCs w:val="24"/>
          <w:lang w:eastAsia="zh-CN"/>
        </w:rPr>
        <w:t>-</w:t>
      </w:r>
      <w:r w:rsidR="0080742C">
        <w:rPr>
          <w:rFonts w:cs="Times New Roman" w:hint="eastAsia"/>
          <w:szCs w:val="24"/>
          <w:lang w:eastAsia="zh-CN"/>
        </w:rPr>
        <w:t>AP</w:t>
      </w:r>
      <w:r w:rsidR="0080742C" w:rsidRPr="00405B53">
        <w:rPr>
          <w:rFonts w:cs="Times New Roman"/>
          <w:szCs w:val="24"/>
          <w:lang w:eastAsia="zh-CN"/>
        </w:rPr>
        <w:t>) was diluted 1:</w:t>
      </w:r>
      <w:r w:rsidR="0080742C">
        <w:rPr>
          <w:rFonts w:cs="Times New Roman" w:hint="eastAsia"/>
          <w:szCs w:val="24"/>
          <w:lang w:eastAsia="zh-CN"/>
        </w:rPr>
        <w:t>10</w:t>
      </w:r>
      <w:r w:rsidR="0080742C" w:rsidRPr="00405B53">
        <w:rPr>
          <w:rFonts w:cs="Times New Roman"/>
          <w:szCs w:val="24"/>
          <w:lang w:eastAsia="zh-CN"/>
        </w:rPr>
        <w:t>000 for Immunohistochemistry</w:t>
      </w:r>
      <w:r w:rsidR="0080742C">
        <w:rPr>
          <w:rFonts w:cs="Times New Roman" w:hint="eastAsia"/>
          <w:szCs w:val="24"/>
          <w:lang w:eastAsia="zh-CN"/>
        </w:rPr>
        <w:t>;</w:t>
      </w:r>
      <w:r w:rsidR="00032EB8">
        <w:rPr>
          <w:rFonts w:cs="Times New Roman" w:hint="eastAsia"/>
          <w:szCs w:val="24"/>
          <w:lang w:eastAsia="zh-CN"/>
        </w:rPr>
        <w:t xml:space="preserve"> </w:t>
      </w:r>
      <w:r w:rsidRPr="00405B53">
        <w:rPr>
          <w:rFonts w:cs="Times New Roman"/>
          <w:szCs w:val="24"/>
          <w:lang w:eastAsia="zh-CN"/>
        </w:rPr>
        <w:t xml:space="preserve">the anti-GAPDH antibody (cat. no. 60004-1-Ig) was diluted at a ratio of </w:t>
      </w:r>
      <w:r w:rsidRPr="00405B53">
        <w:rPr>
          <w:rFonts w:cs="Times New Roman"/>
          <w:szCs w:val="24"/>
          <w:lang w:eastAsia="zh-CN"/>
        </w:rPr>
        <w:lastRenderedPageBreak/>
        <w:t xml:space="preserve">1:50,000 for Western Blot. The secondary antibodies consisted of HRP-conjugated </w:t>
      </w:r>
      <w:proofErr w:type="spellStart"/>
      <w:r w:rsidRPr="00405B53">
        <w:rPr>
          <w:rFonts w:cs="Times New Roman"/>
          <w:szCs w:val="24"/>
          <w:lang w:eastAsia="zh-CN"/>
        </w:rPr>
        <w:t>AffiniPure</w:t>
      </w:r>
      <w:proofErr w:type="spellEnd"/>
      <w:r w:rsidRPr="00405B53">
        <w:rPr>
          <w:rFonts w:cs="Times New Roman"/>
          <w:szCs w:val="24"/>
          <w:lang w:eastAsia="zh-CN"/>
        </w:rPr>
        <w:t xml:space="preserve"> goat anti-mouse IgG (H+L) (cat. no. SA00001-1) with a dilution ratio of 1:5000 and HRP - conjugated </w:t>
      </w:r>
      <w:proofErr w:type="spellStart"/>
      <w:r w:rsidRPr="00405B53">
        <w:rPr>
          <w:rFonts w:cs="Times New Roman"/>
          <w:szCs w:val="24"/>
          <w:lang w:eastAsia="zh-CN"/>
        </w:rPr>
        <w:t>AffiniPure</w:t>
      </w:r>
      <w:proofErr w:type="spellEnd"/>
      <w:r w:rsidRPr="00405B53">
        <w:rPr>
          <w:rFonts w:cs="Times New Roman"/>
          <w:szCs w:val="24"/>
          <w:lang w:eastAsia="zh-CN"/>
        </w:rPr>
        <w:t xml:space="preserve"> goat anti-rabbit IgG (H+L) (cat. no. SA00001-2) with a dilution ratio of 1:5000.</w:t>
      </w:r>
    </w:p>
    <w:p w14:paraId="5EAF1F8B" w14:textId="2B4838BA" w:rsidR="003A5FEE" w:rsidRPr="00A71FEB" w:rsidRDefault="003A5FEE" w:rsidP="00813A72">
      <w:pPr>
        <w:spacing w:line="480" w:lineRule="auto"/>
        <w:rPr>
          <w:rFonts w:cs="Times New Roman"/>
          <w:i/>
          <w:iCs/>
          <w:lang w:eastAsia="zh-CN"/>
        </w:rPr>
      </w:pPr>
    </w:p>
    <w:p w14:paraId="086858EB" w14:textId="77777777" w:rsidR="003A5FEE" w:rsidRDefault="003A5FEE" w:rsidP="00813A72">
      <w:pPr>
        <w:spacing w:before="240" w:line="480" w:lineRule="auto"/>
        <w:rPr>
          <w:rFonts w:cs="Times New Roman"/>
          <w:szCs w:val="24"/>
          <w:lang w:eastAsia="zh-CN"/>
        </w:rPr>
      </w:pPr>
    </w:p>
    <w:sectPr w:rsidR="003A5FEE"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A41E0" w14:textId="77777777" w:rsidR="009440DA" w:rsidRDefault="009440DA">
      <w:r>
        <w:separator/>
      </w:r>
    </w:p>
  </w:endnote>
  <w:endnote w:type="continuationSeparator" w:id="0">
    <w:p w14:paraId="6AECAE06" w14:textId="77777777" w:rsidR="009440DA" w:rsidRDefault="0094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A7EF" w14:textId="77777777" w:rsidR="003A5FEE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0A393C" wp14:editId="3342A07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E7FDFD" w14:textId="77777777" w:rsidR="003A5FEE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A39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" filled="f" stroked="f" strokeweight=".5pt">
              <v:textbox style="mso-fit-shape-to-text:t">
                <w:txbxContent>
                  <w:p w14:paraId="1CE7FDFD" w14:textId="77777777" w:rsidR="003A5FEE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6C93" w14:textId="77777777" w:rsidR="003A5FEE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3D89E" wp14:editId="7A69ECE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CB15884" w14:textId="77777777" w:rsidR="003A5FEE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3D89E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jNCQ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" filled="f" stroked="f" strokeweight=".5pt">
              <v:textbox style="mso-fit-shape-to-text:t">
                <w:txbxContent>
                  <w:p w14:paraId="4CB15884" w14:textId="77777777" w:rsidR="003A5FEE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1DC84" w14:textId="77777777" w:rsidR="009440DA" w:rsidRDefault="009440DA">
      <w:pPr>
        <w:spacing w:before="0" w:after="0"/>
      </w:pPr>
      <w:r>
        <w:separator/>
      </w:r>
    </w:p>
  </w:footnote>
  <w:footnote w:type="continuationSeparator" w:id="0">
    <w:p w14:paraId="063E9AB1" w14:textId="77777777" w:rsidR="009440DA" w:rsidRDefault="009440D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D2F98" w14:textId="77777777" w:rsidR="003A5FEE" w:rsidRDefault="00000000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5359" w14:textId="77777777" w:rsidR="003A5FEE" w:rsidRDefault="00000000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E3A437"/>
    <w:multiLevelType w:val="singleLevel"/>
    <w:tmpl w:val="87E3A43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5754010">
    <w:abstractNumId w:val="1"/>
  </w:num>
  <w:num w:numId="2" w16cid:durableId="227886304">
    <w:abstractNumId w:val="2"/>
  </w:num>
  <w:num w:numId="3" w16cid:durableId="190802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attachedTemplate r:id="rId1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24"/>
    <w:rsid w:val="00005BC4"/>
    <w:rsid w:val="0001436A"/>
    <w:rsid w:val="000315A3"/>
    <w:rsid w:val="00032EB8"/>
    <w:rsid w:val="00034304"/>
    <w:rsid w:val="00035434"/>
    <w:rsid w:val="00052A14"/>
    <w:rsid w:val="00077D53"/>
    <w:rsid w:val="00083140"/>
    <w:rsid w:val="000C0BB4"/>
    <w:rsid w:val="00105FD9"/>
    <w:rsid w:val="00117666"/>
    <w:rsid w:val="00150E05"/>
    <w:rsid w:val="001549D3"/>
    <w:rsid w:val="00160065"/>
    <w:rsid w:val="00177D84"/>
    <w:rsid w:val="00187F1A"/>
    <w:rsid w:val="001A04E8"/>
    <w:rsid w:val="00213CBA"/>
    <w:rsid w:val="00267D18"/>
    <w:rsid w:val="00271F81"/>
    <w:rsid w:val="00281CD1"/>
    <w:rsid w:val="002868E2"/>
    <w:rsid w:val="002869C3"/>
    <w:rsid w:val="002936E4"/>
    <w:rsid w:val="002B4A57"/>
    <w:rsid w:val="002C632C"/>
    <w:rsid w:val="002C74CA"/>
    <w:rsid w:val="00332CB1"/>
    <w:rsid w:val="003544FB"/>
    <w:rsid w:val="00385C3E"/>
    <w:rsid w:val="003A5FEE"/>
    <w:rsid w:val="003D2F2D"/>
    <w:rsid w:val="003E75B8"/>
    <w:rsid w:val="00401590"/>
    <w:rsid w:val="00405B53"/>
    <w:rsid w:val="00447801"/>
    <w:rsid w:val="00452E9C"/>
    <w:rsid w:val="004735C8"/>
    <w:rsid w:val="004946CF"/>
    <w:rsid w:val="004961FF"/>
    <w:rsid w:val="004C6CDC"/>
    <w:rsid w:val="00517A89"/>
    <w:rsid w:val="005250F2"/>
    <w:rsid w:val="00540F71"/>
    <w:rsid w:val="00551E19"/>
    <w:rsid w:val="00570334"/>
    <w:rsid w:val="00593EEA"/>
    <w:rsid w:val="005A5EEE"/>
    <w:rsid w:val="00615672"/>
    <w:rsid w:val="006375C7"/>
    <w:rsid w:val="006519D5"/>
    <w:rsid w:val="00654E8F"/>
    <w:rsid w:val="00660D05"/>
    <w:rsid w:val="00663391"/>
    <w:rsid w:val="006820B1"/>
    <w:rsid w:val="006B7D14"/>
    <w:rsid w:val="00701727"/>
    <w:rsid w:val="0070566C"/>
    <w:rsid w:val="00710F4A"/>
    <w:rsid w:val="00714C50"/>
    <w:rsid w:val="00725A7D"/>
    <w:rsid w:val="007501BE"/>
    <w:rsid w:val="00774354"/>
    <w:rsid w:val="00780293"/>
    <w:rsid w:val="00790BB3"/>
    <w:rsid w:val="007931E3"/>
    <w:rsid w:val="007C206C"/>
    <w:rsid w:val="00803D24"/>
    <w:rsid w:val="0080742C"/>
    <w:rsid w:val="00813A72"/>
    <w:rsid w:val="00817DD6"/>
    <w:rsid w:val="00874A8F"/>
    <w:rsid w:val="00885156"/>
    <w:rsid w:val="008F1536"/>
    <w:rsid w:val="009151AA"/>
    <w:rsid w:val="0093429D"/>
    <w:rsid w:val="00943573"/>
    <w:rsid w:val="009440DA"/>
    <w:rsid w:val="00957F67"/>
    <w:rsid w:val="00970F7D"/>
    <w:rsid w:val="00994A3D"/>
    <w:rsid w:val="009C2B12"/>
    <w:rsid w:val="009C70F3"/>
    <w:rsid w:val="00A172AE"/>
    <w:rsid w:val="00A174D9"/>
    <w:rsid w:val="00A569CD"/>
    <w:rsid w:val="00A71A8A"/>
    <w:rsid w:val="00A71FEB"/>
    <w:rsid w:val="00AB2F75"/>
    <w:rsid w:val="00AB6715"/>
    <w:rsid w:val="00AE3895"/>
    <w:rsid w:val="00B06BC8"/>
    <w:rsid w:val="00B1671E"/>
    <w:rsid w:val="00B25EB8"/>
    <w:rsid w:val="00B354E1"/>
    <w:rsid w:val="00B37F4D"/>
    <w:rsid w:val="00BA78B2"/>
    <w:rsid w:val="00C52A7B"/>
    <w:rsid w:val="00C56BAF"/>
    <w:rsid w:val="00C679AA"/>
    <w:rsid w:val="00C75972"/>
    <w:rsid w:val="00CC0A3A"/>
    <w:rsid w:val="00CD066B"/>
    <w:rsid w:val="00CE4000"/>
    <w:rsid w:val="00CE4FEE"/>
    <w:rsid w:val="00D17877"/>
    <w:rsid w:val="00DB59C3"/>
    <w:rsid w:val="00DC259A"/>
    <w:rsid w:val="00DD1EED"/>
    <w:rsid w:val="00DE23E8"/>
    <w:rsid w:val="00DE6DA9"/>
    <w:rsid w:val="00E52377"/>
    <w:rsid w:val="00E64E17"/>
    <w:rsid w:val="00E866C9"/>
    <w:rsid w:val="00EA3D3C"/>
    <w:rsid w:val="00EA50B2"/>
    <w:rsid w:val="00EA5138"/>
    <w:rsid w:val="00EE75D5"/>
    <w:rsid w:val="00F008CD"/>
    <w:rsid w:val="00F46900"/>
    <w:rsid w:val="00F61D89"/>
    <w:rsid w:val="02D84C0B"/>
    <w:rsid w:val="10702077"/>
    <w:rsid w:val="107C2883"/>
    <w:rsid w:val="118C2F9A"/>
    <w:rsid w:val="13D56C5B"/>
    <w:rsid w:val="1B103820"/>
    <w:rsid w:val="21902E41"/>
    <w:rsid w:val="28F65471"/>
    <w:rsid w:val="2A834244"/>
    <w:rsid w:val="306E2603"/>
    <w:rsid w:val="3FFE3C15"/>
    <w:rsid w:val="5B294982"/>
    <w:rsid w:val="5FE63B66"/>
    <w:rsid w:val="6492464F"/>
    <w:rsid w:val="67A55390"/>
    <w:rsid w:val="77CD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4BB527"/>
  <w15:docId w15:val="{7E33F297-6149-4BF2-B76A-946725D2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before="120" w:after="240"/>
    </w:pPr>
    <w:rPr>
      <w:rFonts w:eastAsiaTheme="minorEastAsia" w:cstheme="minorBidi"/>
      <w:sz w:val="24"/>
      <w:szCs w:val="22"/>
      <w:lang w:eastAsia="en-US"/>
    </w:rPr>
  </w:style>
  <w:style w:type="paragraph" w:styleId="1">
    <w:name w:val="heading 1"/>
    <w:basedOn w:val="a"/>
    <w:next w:val="a0"/>
    <w:link w:val="1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eastAsiaTheme="minorEastAsia" w:cstheme="minorBidi"/>
      <w:sz w:val="24"/>
      <w:szCs w:val="22"/>
      <w:lang w:eastAsia="en-US"/>
    </w:rPr>
  </w:style>
  <w:style w:type="paragraph" w:styleId="a6">
    <w:name w:val="annotation text"/>
    <w:basedOn w:val="a0"/>
    <w:link w:val="a7"/>
    <w:uiPriority w:val="99"/>
    <w:semiHidden/>
    <w:unhideWhenUsed/>
    <w:qFormat/>
    <w:rPr>
      <w:sz w:val="20"/>
      <w:szCs w:val="20"/>
    </w:rPr>
  </w:style>
  <w:style w:type="paragraph" w:styleId="a8">
    <w:name w:val="endnote text"/>
    <w:basedOn w:val="a0"/>
    <w:link w:val="a9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e">
    <w:name w:val="header"/>
    <w:basedOn w:val="a0"/>
    <w:link w:val="af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f0">
    <w:name w:val="Subtitle"/>
    <w:basedOn w:val="a0"/>
    <w:next w:val="a0"/>
    <w:link w:val="af1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2">
    <w:name w:val="footnote text"/>
    <w:basedOn w:val="a0"/>
    <w:link w:val="af3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f4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0"/>
    <w:next w:val="a0"/>
    <w:link w:val="af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7">
    <w:name w:val="annotation subject"/>
    <w:basedOn w:val="a6"/>
    <w:next w:val="a6"/>
    <w:link w:val="af8"/>
    <w:uiPriority w:val="99"/>
    <w:semiHidden/>
    <w:unhideWhenUsed/>
    <w:qFormat/>
    <w:rPr>
      <w:b/>
      <w:bCs/>
    </w:rPr>
  </w:style>
  <w:style w:type="table" w:styleId="af9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c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d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e">
    <w:name w:val="line number"/>
    <w:basedOn w:val="a1"/>
    <w:uiPriority w:val="99"/>
    <w:semiHidden/>
    <w:unhideWhenUsed/>
    <w:qFormat/>
  </w:style>
  <w:style w:type="character" w:styleId="aff">
    <w:name w:val="Hyperlink"/>
    <w:basedOn w:val="a1"/>
    <w:uiPriority w:val="99"/>
    <w:unhideWhenUsed/>
    <w:qFormat/>
    <w:rPr>
      <w:color w:val="0000FF"/>
      <w:u w:val="single"/>
    </w:rPr>
  </w:style>
  <w:style w:type="character" w:styleId="aff0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f1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1">
    <w:name w:val="副标题 字符"/>
    <w:basedOn w:val="a1"/>
    <w:link w:val="af0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f0"/>
    <w:next w:val="a0"/>
    <w:uiPriority w:val="1"/>
    <w:qFormat/>
  </w:style>
  <w:style w:type="character" w:customStyle="1" w:styleId="ab">
    <w:name w:val="批注框文本 字符"/>
    <w:basedOn w:val="a1"/>
    <w:link w:val="a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1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a7">
    <w:name w:val="批注文字 字符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8">
    <w:name w:val="批注主题 字符"/>
    <w:basedOn w:val="a7"/>
    <w:link w:val="af7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a9">
    <w:name w:val="尾注文本 字符"/>
    <w:basedOn w:val="a1"/>
    <w:link w:val="a8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d">
    <w:name w:val="页脚 字符"/>
    <w:basedOn w:val="a1"/>
    <w:link w:val="ac"/>
    <w:uiPriority w:val="99"/>
    <w:qFormat/>
    <w:rPr>
      <w:rFonts w:ascii="Times New Roman" w:hAnsi="Times New Roman"/>
      <w:sz w:val="24"/>
    </w:rPr>
  </w:style>
  <w:style w:type="character" w:customStyle="1" w:styleId="af3">
    <w:name w:val="脚注文本 字符"/>
    <w:basedOn w:val="a1"/>
    <w:link w:val="af2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">
    <w:name w:val="页眉 字符"/>
    <w:basedOn w:val="a1"/>
    <w:link w:val="ae"/>
    <w:uiPriority w:val="99"/>
    <w:qFormat/>
    <w:rPr>
      <w:rFonts w:ascii="Times New Roman" w:hAnsi="Times New Roman"/>
      <w:b/>
      <w:sz w:val="24"/>
    </w:rPr>
  </w:style>
  <w:style w:type="character" w:customStyle="1" w:styleId="12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3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0">
    <w:name w:val="标题 3 字符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2">
    <w:name w:val="Quote"/>
    <w:basedOn w:val="a0"/>
    <w:next w:val="a0"/>
    <w:link w:val="aff3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4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af6">
    <w:name w:val="标题 字符"/>
    <w:basedOn w:val="a1"/>
    <w:link w:val="af5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5"/>
    <w:next w:val="af5"/>
    <w:qFormat/>
    <w:pPr>
      <w:spacing w:after="120"/>
    </w:pPr>
    <w:rPr>
      <w:i/>
    </w:rPr>
  </w:style>
  <w:style w:type="paragraph" w:customStyle="1" w:styleId="15">
    <w:name w:val="修订1"/>
    <w:hidden/>
    <w:uiPriority w:val="99"/>
    <w:semiHidden/>
    <w:qFormat/>
    <w:rPr>
      <w:rFonts w:eastAsiaTheme="minorEastAsia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map.org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gdc.cancer.gov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cgga.org.c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nomics.senescence.info/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31</TotalTime>
  <Pages>2</Pages>
  <Words>327</Words>
  <Characters>2010</Characters>
  <Application>Microsoft Office Word</Application>
  <DocSecurity>0</DocSecurity>
  <Lines>29</Lines>
  <Paragraphs>8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Y Y</cp:lastModifiedBy>
  <cp:revision>12</cp:revision>
  <cp:lastPrinted>2013-10-03T12:51:00Z</cp:lastPrinted>
  <dcterms:created xsi:type="dcterms:W3CDTF">2024-08-27T06:47:00Z</dcterms:created>
  <dcterms:modified xsi:type="dcterms:W3CDTF">2025-05-01T12:43:00Z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2052-12.1.0.20305</vt:lpwstr>
  </property>
  <property fmtid="{D5CDD505-2E9C-101B-9397-08002B2CF9AE}" pid="11" name="ICV">
    <vt:lpwstr>654973841081439594BAC65025A06FDF_12</vt:lpwstr>
  </property>
  <property fmtid="{D5CDD505-2E9C-101B-9397-08002B2CF9AE}" pid="12" name="KSOTemplateDocerSaveRecord">
    <vt:lpwstr>eyJoZGlkIjoiNGZjMzBjY2NhMWU4MDBlMTYzMTFhNjQwYzA4ZDA2YWMiLCJ1c2VySWQiOiIyNjM2MTcxOTEifQ==</vt:lpwstr>
  </property>
</Properties>
</file>