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Table S1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 The clinical characteristics of WBRT+SIB group</w:t>
      </w:r>
    </w:p>
    <w:tbl>
      <w:tblPr/>
      <w:tblGrid>
        <w:gridCol w:w="3402"/>
        <w:gridCol w:w="2766"/>
      </w:tblGrid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1"/>
                <w:shd w:fill="auto" w:val="clear"/>
              </w:rPr>
              <w:t xml:space="preserve">Characteristics</w:t>
            </w:r>
          </w:p>
        </w:tc>
        <w:tc>
          <w:tcPr>
            <w:tcW w:w="27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1"/>
                <w:shd w:fill="auto" w:val="clear"/>
              </w:rPr>
              <w:t xml:space="preserve">WBRT+SIB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SimSun" w:hAnsi="SimSun" w:cs="SimSun" w:eastAsia="SimSun"/>
                <w:b/>
                <w:color w:val="000000"/>
                <w:spacing w:val="0"/>
                <w:position w:val="0"/>
                <w:sz w:val="21"/>
                <w:shd w:fill="auto" w:val="clear"/>
              </w:rPr>
              <w:t xml:space="preserve">（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1"/>
                <w:shd w:fill="auto" w:val="clear"/>
              </w:rPr>
              <w:t xml:space="preserve">N=54</w:t>
            </w:r>
            <w:r>
              <w:rPr>
                <w:rFonts w:ascii="SimSun" w:hAnsi="SimSun" w:cs="SimSun" w:eastAsia="SimSun"/>
                <w:b/>
                <w:color w:val="000000"/>
                <w:spacing w:val="0"/>
                <w:position w:val="0"/>
                <w:sz w:val="21"/>
                <w:shd w:fill="auto" w:val="clear"/>
              </w:rPr>
              <w:t xml:space="preserve">）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1274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auto" w:val="clear"/>
              </w:rPr>
              <w:t xml:space="preserve">Age, mean (range, years)</w:t>
            </w:r>
          </w:p>
        </w:tc>
        <w:tc>
          <w:tcPr>
            <w:tcW w:w="27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auto" w:val="clear"/>
              </w:rPr>
              <w:t xml:space="preserve">61.8 (40-76)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auto" w:val="clear"/>
              </w:rPr>
              <w:t xml:space="preserve">Gender</w:t>
            </w:r>
          </w:p>
        </w:tc>
        <w:tc>
          <w:tcPr>
            <w:tcW w:w="27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auto" w:val="clear"/>
              </w:rPr>
              <w:t xml:space="preserve">  Male</w:t>
            </w:r>
          </w:p>
        </w:tc>
        <w:tc>
          <w:tcPr>
            <w:tcW w:w="27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auto" w:val="clear"/>
              </w:rPr>
              <w:t xml:space="preserve">47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1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auto" w:val="clear"/>
              </w:rPr>
              <w:t xml:space="preserve">Female</w:t>
            </w:r>
          </w:p>
        </w:tc>
        <w:tc>
          <w:tcPr>
            <w:tcW w:w="27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auto" w:val="clear"/>
              </w:rPr>
              <w:t xml:space="preserve">7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auto" w:val="clear"/>
              </w:rPr>
              <w:t xml:space="preserve">Numbrt of BMs, mean (range)</w:t>
            </w:r>
          </w:p>
        </w:tc>
        <w:tc>
          <w:tcPr>
            <w:tcW w:w="27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auto" w:val="clear"/>
              </w:rPr>
              <w:t xml:space="preserve">4.5 (1-34)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auto" w:val="clear"/>
              </w:rPr>
              <w:t xml:space="preserve">WBRT</w:t>
            </w:r>
          </w:p>
        </w:tc>
        <w:tc>
          <w:tcPr>
            <w:tcW w:w="27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1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auto" w:val="clear"/>
              </w:rPr>
              <w:t xml:space="preserve">Whole brain dose, mean (range, Gy)</w:t>
            </w:r>
          </w:p>
        </w:tc>
        <w:tc>
          <w:tcPr>
            <w:tcW w:w="27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auto" w:val="clear"/>
              </w:rPr>
              <w:t xml:space="preserve">34.8 (25.0-52.5)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auto" w:val="clear"/>
              </w:rPr>
              <w:t xml:space="preserve">  Whole brain fractions, mean (range)</w:t>
            </w:r>
          </w:p>
        </w:tc>
        <w:tc>
          <w:tcPr>
            <w:tcW w:w="27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auto" w:val="clear"/>
              </w:rPr>
              <w:t xml:space="preserve">17 (10-21)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auto" w:val="clear"/>
              </w:rPr>
              <w:t xml:space="preserve">SIB</w:t>
            </w:r>
          </w:p>
        </w:tc>
        <w:tc>
          <w:tcPr>
            <w:tcW w:w="27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1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auto" w:val="clear"/>
              </w:rPr>
              <w:t xml:space="preserve">Boost dose, mean (range, Gy)</w:t>
            </w:r>
          </w:p>
        </w:tc>
        <w:tc>
          <w:tcPr>
            <w:tcW w:w="27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auto" w:val="clear"/>
              </w:rPr>
              <w:t xml:space="preserve">48.4 (18.0-60.0)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auto" w:val="clear"/>
              </w:rPr>
              <w:t xml:space="preserve">  Boost fractions, mean (range)</w:t>
            </w:r>
          </w:p>
        </w:tc>
        <w:tc>
          <w:tcPr>
            <w:tcW w:w="27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auto" w:val="clear"/>
              </w:rPr>
              <w:t xml:space="preserve">16 (5-20)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auto" w:val="clear"/>
              </w:rPr>
              <w:t xml:space="preserve">Concurrent targeted therapy</w:t>
            </w:r>
          </w:p>
        </w:tc>
        <w:tc>
          <w:tcPr>
            <w:tcW w:w="27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auto" w:val="clear"/>
              </w:rPr>
              <w:t xml:space="preserve">  Yes</w:t>
            </w:r>
          </w:p>
        </w:tc>
        <w:tc>
          <w:tcPr>
            <w:tcW w:w="27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auto" w:val="clear"/>
              </w:rPr>
              <w:t xml:space="preserve">32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auto" w:val="clear"/>
              </w:rPr>
              <w:t xml:space="preserve">  No</w:t>
            </w:r>
          </w:p>
        </w:tc>
        <w:tc>
          <w:tcPr>
            <w:tcW w:w="27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1"/>
                <w:shd w:fill="auto" w:val="clear"/>
              </w:rPr>
              <w:t xml:space="preserve">22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WBRT, whole brain radiotherapy; SIB, simultaneous integrated boost; BMs, brain metastases.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</w:pPr>
      <w:r>
        <w:object w:dxaOrig="7973" w:dyaOrig="2504">
          <v:rect xmlns:o="urn:schemas-microsoft-com:office:office" xmlns:v="urn:schemas-microsoft-com:vml" id="rectole0000000000" style="width:398.650000pt;height:125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Fig. S1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 The K-M survival curves of iPFS in different subgroups. (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) iPFS in male patients. (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B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) iPFS in patients &lt;60 years old. (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1"/>
          <w:shd w:fill="auto" w:val="clear"/>
        </w:rPr>
        <w:t xml:space="preserve">C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) iPFS in patients with </w:t>
      </w:r>
      <w:r>
        <w:rPr>
          <w:rFonts w:ascii="Cambria Math" w:hAnsi="Cambria Math" w:cs="Cambria Math" w:eastAsia="Cambria Math"/>
          <w:color w:val="000000"/>
          <w:spacing w:val="0"/>
          <w:position w:val="0"/>
          <w:sz w:val="21"/>
          <w:shd w:fill="auto" w:val="clear"/>
        </w:rPr>
        <w:t xml:space="preserve">≥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1"/>
          <w:shd w:fill="auto" w:val="clear"/>
        </w:rPr>
        <w:t xml:space="preserve">2 BMs. K-M, Kaplan-meier; iPFS, intracranial progression-free survival; BMs, brain metastases.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1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