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9EEE" w14:textId="77777777" w:rsidR="00756EB2" w:rsidRDefault="00000000">
      <w:r>
        <w:rPr>
          <w:rFonts w:hint="eastAsia"/>
          <w:noProof/>
        </w:rPr>
        <w:drawing>
          <wp:inline distT="0" distB="0" distL="114300" distR="114300" wp14:anchorId="1EF49EEF" wp14:editId="2981EC66">
            <wp:extent cx="5238750" cy="5473700"/>
            <wp:effectExtent l="0" t="0" r="19050" b="1270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3C13E" w14:textId="77777777" w:rsidR="00756EB2" w:rsidRDefault="00000000">
      <w:pPr>
        <w:spacing w:line="480" w:lineRule="auto"/>
        <w:jc w:val="both"/>
        <w:rPr>
          <w:rFonts w:ascii="Times New Roman" w:hAnsi="Times New Roman" w:cs="Times New Roman"/>
          <w:kern w:val="0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Figure S1. </w:t>
      </w:r>
      <w:r>
        <w:rPr>
          <w:rFonts w:ascii="Times New Roman" w:hAnsi="Times New Roman" w:cs="Times New Roman"/>
          <w:szCs w:val="22"/>
        </w:rPr>
        <w:t xml:space="preserve">Kaplan‐Meier estimate of </w:t>
      </w:r>
      <w:r>
        <w:rPr>
          <w:rFonts w:ascii="Times New Roman" w:hAnsi="Times New Roman" w:cs="Times New Roman"/>
          <w:kern w:val="0"/>
          <w:szCs w:val="22"/>
        </w:rPr>
        <w:t xml:space="preserve">overall survival </w:t>
      </w:r>
      <w:r>
        <w:rPr>
          <w:rFonts w:ascii="Times New Roman" w:hAnsi="Times New Roman" w:cs="Times New Roman" w:hint="eastAsia"/>
          <w:kern w:val="0"/>
          <w:szCs w:val="22"/>
        </w:rPr>
        <w:t xml:space="preserve">and </w:t>
      </w:r>
      <w:r>
        <w:rPr>
          <w:rFonts w:ascii="Times New Roman" w:hAnsi="Times New Roman" w:cs="Times New Roman"/>
          <w:kern w:val="0"/>
          <w:szCs w:val="22"/>
        </w:rPr>
        <w:t xml:space="preserve">progress free survival in new diagnosed DLBCL patients according to age </w:t>
      </w:r>
      <w:r>
        <w:rPr>
          <w:rFonts w:ascii="Times New Roman" w:hAnsi="Times New Roman" w:cs="Times New Roman"/>
          <w:b/>
          <w:bCs/>
          <w:kern w:val="0"/>
          <w:szCs w:val="22"/>
        </w:rPr>
        <w:t>(A)</w:t>
      </w:r>
      <w:r>
        <w:rPr>
          <w:rFonts w:ascii="Times New Roman" w:hAnsi="Times New Roman" w:cs="Times New Roman"/>
          <w:kern w:val="0"/>
          <w:szCs w:val="22"/>
        </w:rPr>
        <w:t xml:space="preserve">, IPI </w:t>
      </w:r>
      <w:r>
        <w:rPr>
          <w:rFonts w:ascii="Times New Roman Bold" w:hAnsi="Times New Roman Bold" w:cs="Times New Roman Bold"/>
          <w:b/>
          <w:bCs/>
          <w:kern w:val="0"/>
          <w:szCs w:val="22"/>
        </w:rPr>
        <w:t>(B)</w:t>
      </w:r>
      <w:r>
        <w:rPr>
          <w:rFonts w:ascii="Times New Roman" w:hAnsi="Times New Roman" w:cs="Times New Roman"/>
          <w:kern w:val="0"/>
          <w:szCs w:val="22"/>
        </w:rPr>
        <w:t xml:space="preserve">, β2-MG </w:t>
      </w:r>
      <w:r>
        <w:rPr>
          <w:rFonts w:ascii="Times New Roman" w:hAnsi="Times New Roman" w:cs="Times New Roman"/>
          <w:b/>
          <w:bCs/>
          <w:kern w:val="0"/>
          <w:szCs w:val="22"/>
        </w:rPr>
        <w:t>(C)</w:t>
      </w:r>
      <w:r>
        <w:rPr>
          <w:rFonts w:ascii="Times New Roman" w:hAnsi="Times New Roman" w:cs="Times New Roman"/>
          <w:kern w:val="0"/>
          <w:szCs w:val="22"/>
        </w:rPr>
        <w:t xml:space="preserve">, CD4+ T cell count </w:t>
      </w:r>
      <w:r>
        <w:rPr>
          <w:rFonts w:ascii="Times New Roman" w:hAnsi="Times New Roman" w:cs="Times New Roman"/>
          <w:b/>
          <w:bCs/>
          <w:kern w:val="0"/>
          <w:szCs w:val="22"/>
        </w:rPr>
        <w:t>(D)</w:t>
      </w:r>
      <w:r>
        <w:rPr>
          <w:rFonts w:ascii="Times New Roman" w:hAnsi="Times New Roman" w:cs="Times New Roman"/>
          <w:kern w:val="0"/>
          <w:szCs w:val="22"/>
        </w:rPr>
        <w:t xml:space="preserve">, CD8+ T cell count </w:t>
      </w:r>
      <w:r>
        <w:rPr>
          <w:rFonts w:ascii="Times New Roman" w:hAnsi="Times New Roman" w:cs="Times New Roman"/>
          <w:b/>
          <w:bCs/>
          <w:kern w:val="0"/>
          <w:szCs w:val="22"/>
        </w:rPr>
        <w:t>(E)</w:t>
      </w:r>
      <w:r>
        <w:rPr>
          <w:rFonts w:ascii="Times New Roman" w:hAnsi="Times New Roman" w:cs="Times New Roman"/>
          <w:kern w:val="0"/>
          <w:szCs w:val="22"/>
        </w:rPr>
        <w:t>, IFN-</w:t>
      </w:r>
      <w:r>
        <w:rPr>
          <w:rFonts w:ascii="Times New Roman" w:hAnsi="Times New Roman" w:cs="Times New Roman"/>
          <w:szCs w:val="22"/>
        </w:rPr>
        <w:t>γ level</w:t>
      </w:r>
      <w:r>
        <w:rPr>
          <w:rFonts w:ascii="Times New Roman" w:hAnsi="Times New Roman" w:cs="Times New Roman"/>
          <w:kern w:val="0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Cs w:val="22"/>
        </w:rPr>
        <w:t>(F)</w:t>
      </w:r>
      <w:r>
        <w:rPr>
          <w:rFonts w:ascii="Times New Roman" w:hAnsi="Times New Roman" w:cs="Times New Roman" w:hint="eastAsia"/>
          <w:kern w:val="0"/>
          <w:szCs w:val="22"/>
        </w:rPr>
        <w:t>.</w:t>
      </w:r>
    </w:p>
    <w:p w14:paraId="10E92485" w14:textId="77777777" w:rsidR="00756EB2" w:rsidRDefault="00756EB2">
      <w:pPr>
        <w:spacing w:line="480" w:lineRule="auto"/>
        <w:jc w:val="both"/>
        <w:rPr>
          <w:rFonts w:ascii="Times New Roman" w:hAnsi="Times New Roman" w:cs="Times New Roman"/>
          <w:kern w:val="0"/>
          <w:sz w:val="24"/>
        </w:rPr>
      </w:pPr>
    </w:p>
    <w:p w14:paraId="5B2AC73E" w14:textId="77777777" w:rsidR="00756EB2" w:rsidRDefault="00756EB2">
      <w:pPr>
        <w:spacing w:line="480" w:lineRule="auto"/>
        <w:jc w:val="both"/>
        <w:rPr>
          <w:rFonts w:ascii="Times New Roman" w:hAnsi="Times New Roman" w:cs="Times New Roman"/>
          <w:kern w:val="0"/>
          <w:sz w:val="24"/>
        </w:rPr>
      </w:pPr>
    </w:p>
    <w:p w14:paraId="132A88F4" w14:textId="77777777" w:rsidR="00756EB2" w:rsidRDefault="00756EB2">
      <w:pPr>
        <w:spacing w:line="480" w:lineRule="auto"/>
        <w:jc w:val="both"/>
        <w:rPr>
          <w:rFonts w:ascii="Times New Roman" w:hAnsi="Times New Roman" w:cs="Times New Roman"/>
          <w:kern w:val="0"/>
          <w:sz w:val="24"/>
        </w:rPr>
      </w:pPr>
    </w:p>
    <w:p w14:paraId="441D193D" w14:textId="77777777" w:rsidR="00756EB2" w:rsidRDefault="00756EB2">
      <w:pPr>
        <w:spacing w:line="480" w:lineRule="auto"/>
        <w:jc w:val="both"/>
        <w:rPr>
          <w:rFonts w:ascii="Times New Roman" w:hAnsi="Times New Roman" w:cs="Times New Roman" w:hint="eastAsia"/>
          <w:kern w:val="0"/>
          <w:sz w:val="24"/>
        </w:rPr>
      </w:pPr>
    </w:p>
    <w:p w14:paraId="2B5E0656" w14:textId="77777777" w:rsidR="00756EB2" w:rsidRDefault="00000000">
      <w:pPr>
        <w:jc w:val="center"/>
        <w:rPr>
          <w:rFonts w:ascii="Times New Roman Regular" w:hAnsi="Times New Roman Regular" w:cs="Times New Roman Regular"/>
          <w:kern w:val="0"/>
          <w:szCs w:val="22"/>
        </w:rPr>
      </w:pPr>
      <w:r>
        <w:rPr>
          <w:rFonts w:ascii="Times New Roman Regular" w:hAnsi="Times New Roman Regular" w:cs="Times New Roman Regular"/>
          <w:b/>
          <w:bCs/>
          <w:kern w:val="0"/>
          <w:szCs w:val="22"/>
        </w:rPr>
        <w:lastRenderedPageBreak/>
        <w:t>Supplementary</w:t>
      </w:r>
      <w:r>
        <w:rPr>
          <w:rFonts w:ascii="Times New Roman Regular" w:hAnsi="Times New Roman Regular" w:cs="Times New Roman Regular" w:hint="eastAsia"/>
          <w:b/>
          <w:bCs/>
          <w:kern w:val="0"/>
          <w:szCs w:val="22"/>
        </w:rPr>
        <w:t xml:space="preserve"> </w:t>
      </w:r>
      <w:r>
        <w:rPr>
          <w:rFonts w:ascii="Times New Roman Regular" w:hAnsi="Times New Roman Regular" w:cs="Times New Roman Regular"/>
          <w:b/>
          <w:bCs/>
          <w:kern w:val="0"/>
          <w:szCs w:val="22"/>
        </w:rPr>
        <w:t>Table</w:t>
      </w:r>
      <w:r>
        <w:rPr>
          <w:rFonts w:ascii="Times New Roman Regular" w:hAnsi="Times New Roman Regular" w:cs="Times New Roman Regular" w:hint="eastAsia"/>
          <w:b/>
          <w:bCs/>
          <w:kern w:val="0"/>
          <w:szCs w:val="22"/>
        </w:rPr>
        <w:t>1</w:t>
      </w:r>
      <w:r>
        <w:rPr>
          <w:rFonts w:ascii="Times New Roman Regular" w:hAnsi="Times New Roman Regular" w:cs="Times New Roman Regular"/>
          <w:b/>
          <w:bCs/>
          <w:kern w:val="0"/>
          <w:szCs w:val="22"/>
        </w:rPr>
        <w:t>.</w:t>
      </w:r>
      <w:r>
        <w:rPr>
          <w:rFonts w:hint="eastAsia"/>
          <w:b/>
          <w:bCs/>
          <w:szCs w:val="22"/>
        </w:rPr>
        <w:t xml:space="preserve"> 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Comparison of </w:t>
      </w:r>
      <w:r>
        <w:rPr>
          <w:rFonts w:ascii="Times New Roman Regular" w:hAnsi="Times New Roman Regular" w:cs="Times New Roman Regular" w:hint="eastAsia"/>
          <w:kern w:val="0"/>
          <w:szCs w:val="22"/>
        </w:rPr>
        <w:t>c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linical </w:t>
      </w:r>
      <w:r>
        <w:rPr>
          <w:rFonts w:ascii="Times New Roman Regular" w:hAnsi="Times New Roman Regular" w:cs="Times New Roman Regular" w:hint="eastAsia"/>
          <w:kern w:val="0"/>
          <w:szCs w:val="22"/>
        </w:rPr>
        <w:t>c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haracteristics </w:t>
      </w:r>
      <w:r>
        <w:rPr>
          <w:rFonts w:ascii="Times New Roman Regular" w:hAnsi="Times New Roman Regular" w:cs="Times New Roman Regular" w:hint="eastAsia"/>
          <w:kern w:val="0"/>
          <w:szCs w:val="22"/>
        </w:rPr>
        <w:t>b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etween </w:t>
      </w:r>
      <w:r>
        <w:rPr>
          <w:rFonts w:ascii="Times New Roman Regular" w:hAnsi="Times New Roman Regular" w:cs="Times New Roman Regular" w:hint="eastAsia"/>
          <w:kern w:val="0"/>
          <w:szCs w:val="22"/>
        </w:rPr>
        <w:t>i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ncluded and </w:t>
      </w:r>
      <w:r>
        <w:rPr>
          <w:rFonts w:ascii="Times New Roman Regular" w:hAnsi="Times New Roman Regular" w:cs="Times New Roman Regular" w:hint="eastAsia"/>
          <w:kern w:val="0"/>
          <w:szCs w:val="22"/>
        </w:rPr>
        <w:t>e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xcluded </w:t>
      </w:r>
      <w:r>
        <w:rPr>
          <w:rFonts w:ascii="Times New Roman Regular" w:hAnsi="Times New Roman Regular" w:cs="Times New Roman Regular" w:hint="eastAsia"/>
          <w:kern w:val="0"/>
          <w:szCs w:val="22"/>
        </w:rPr>
        <w:t>n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ewly </w:t>
      </w:r>
      <w:r>
        <w:rPr>
          <w:rFonts w:ascii="Times New Roman Regular" w:hAnsi="Times New Roman Regular" w:cs="Times New Roman Regular" w:hint="eastAsia"/>
          <w:kern w:val="0"/>
          <w:szCs w:val="22"/>
        </w:rPr>
        <w:t>d</w:t>
      </w:r>
      <w:r>
        <w:rPr>
          <w:rFonts w:ascii="Times New Roman Regular" w:hAnsi="Times New Roman Regular" w:cs="Times New Roman Regular"/>
          <w:kern w:val="0"/>
          <w:szCs w:val="22"/>
        </w:rPr>
        <w:t xml:space="preserve">iagnosed DLBCL </w:t>
      </w:r>
      <w:r>
        <w:rPr>
          <w:rFonts w:ascii="Times New Roman Regular" w:hAnsi="Times New Roman Regular" w:cs="Times New Roman Regular" w:hint="eastAsia"/>
          <w:kern w:val="0"/>
          <w:szCs w:val="22"/>
        </w:rPr>
        <w:t>p</w:t>
      </w:r>
      <w:r>
        <w:rPr>
          <w:rFonts w:ascii="Times New Roman Regular" w:hAnsi="Times New Roman Regular" w:cs="Times New Roman Regular"/>
          <w:kern w:val="0"/>
          <w:szCs w:val="22"/>
        </w:rPr>
        <w:t>atients</w:t>
      </w:r>
      <w:r>
        <w:rPr>
          <w:rFonts w:ascii="Times New Roman Regular" w:hAnsi="Times New Roman Regular" w:cs="Times New Roman Regular" w:hint="eastAsia"/>
          <w:kern w:val="0"/>
          <w:szCs w:val="22"/>
        </w:rPr>
        <w:t xml:space="preserve"> in our study </w:t>
      </w:r>
    </w:p>
    <w:p w14:paraId="5125EE87" w14:textId="77777777" w:rsidR="00756EB2" w:rsidRDefault="00756EB2"/>
    <w:tbl>
      <w:tblPr>
        <w:tblStyle w:val="a7"/>
        <w:tblW w:w="8718" w:type="dxa"/>
        <w:tblInd w:w="135" w:type="dxa"/>
        <w:tblLook w:val="04A0" w:firstRow="1" w:lastRow="0" w:firstColumn="1" w:lastColumn="0" w:noHBand="0" w:noVBand="1"/>
      </w:tblPr>
      <w:tblGrid>
        <w:gridCol w:w="2794"/>
        <w:gridCol w:w="2122"/>
        <w:gridCol w:w="2685"/>
        <w:gridCol w:w="1117"/>
      </w:tblGrid>
      <w:tr w:rsidR="00756EB2" w14:paraId="75C00924" w14:textId="77777777">
        <w:trPr>
          <w:trHeight w:val="893"/>
        </w:trPr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C905A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Clinical Characteristics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AA85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Included patients(n=94)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8A45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Excluded patients without special subtype (n=507)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560D1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756EB2" w14:paraId="4953F3EF" w14:textId="77777777">
        <w:trPr>
          <w:trHeight w:val="453"/>
        </w:trPr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B946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Age&gt;60, n (%)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903AB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51 (54.2</w:t>
            </w:r>
            <w:r>
              <w:rPr>
                <w:rFonts w:ascii="Times New Roman Regular" w:eastAsia="SimSun" w:hAnsi="Times New Roman Regular" w:cs="Times New Roman Regular" w:hint="eastAsia"/>
                <w:kern w:val="0"/>
                <w:sz w:val="20"/>
                <w:szCs w:val="20"/>
                <w14:ligatures w14:val="none"/>
              </w:rPr>
              <w:t>%</w:t>
            </w: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E7F34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258 (50.9</w:t>
            </w:r>
            <w:r>
              <w:rPr>
                <w:rFonts w:ascii="Times New Roman Regular" w:eastAsia="SimSun" w:hAnsi="Times New Roman Regular" w:cs="Times New Roman Regular" w:hint="eastAsia"/>
                <w:kern w:val="0"/>
                <w:sz w:val="20"/>
                <w:szCs w:val="20"/>
                <w14:ligatures w14:val="none"/>
              </w:rPr>
              <w:t>%</w:t>
            </w: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2BDB0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0.548</w:t>
            </w:r>
          </w:p>
        </w:tc>
      </w:tr>
      <w:tr w:rsidR="00756EB2" w14:paraId="484AE4CF" w14:textId="77777777">
        <w:trPr>
          <w:trHeight w:val="453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34C2005A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Male,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1943F1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45 (47.8%)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7F44DFEB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272 (53.6%)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4F2BAA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0.303</w:t>
            </w:r>
          </w:p>
        </w:tc>
      </w:tr>
      <w:tr w:rsidR="00756EB2" w14:paraId="76AB3BC0" w14:textId="77777777">
        <w:trPr>
          <w:trHeight w:val="453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7C38C10C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ECOG&gt;2,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852E01F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14 (14.8%)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0E6CDB5C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96 (18.9%)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28009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0.352</w:t>
            </w:r>
          </w:p>
        </w:tc>
      </w:tr>
      <w:tr w:rsidR="00756EB2" w14:paraId="2B8FF99C" w14:textId="77777777">
        <w:trPr>
          <w:trHeight w:val="453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22203CF9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B symptoms,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9CFE403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39 (41.4%)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476B32D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166 (32.7%)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8A1D39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0.100</w:t>
            </w:r>
          </w:p>
        </w:tc>
      </w:tr>
      <w:tr w:rsidR="00756EB2" w14:paraId="6D85C38C" w14:textId="77777777">
        <w:trPr>
          <w:trHeight w:val="453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4D67B0B6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Ann Arbor stage Ⅲ/Ⅳ,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DF30432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68 (72.3%)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0EF4AFFC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409 (80.7%)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100467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0.067</w:t>
            </w:r>
          </w:p>
        </w:tc>
      </w:tr>
      <w:tr w:rsidR="00756EB2" w14:paraId="262B37A8" w14:textId="77777777">
        <w:trPr>
          <w:trHeight w:val="453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3FABD3C9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LDH&gt;250U/L,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DE89EA9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56 (59.6</w:t>
            </w:r>
            <w:r>
              <w:rPr>
                <w:rFonts w:ascii="Times New Roman Regular" w:eastAsia="SimSun" w:hAnsi="Times New Roman Regular" w:cs="Times New Roman Regular" w:hint="eastAsia"/>
                <w:kern w:val="0"/>
                <w:sz w:val="20"/>
                <w:szCs w:val="20"/>
                <w14:ligatures w14:val="none"/>
              </w:rPr>
              <w:t>%</w:t>
            </w: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201B8EAA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269 (53.1</w:t>
            </w:r>
            <w:r>
              <w:rPr>
                <w:rFonts w:ascii="Times New Roman Regular" w:eastAsia="SimSun" w:hAnsi="Times New Roman Regular" w:cs="Times New Roman Regular" w:hint="eastAsia"/>
                <w:kern w:val="0"/>
                <w:sz w:val="20"/>
                <w:szCs w:val="20"/>
                <w14:ligatures w14:val="none"/>
              </w:rPr>
              <w:t>%</w:t>
            </w: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3CDE5B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0.244</w:t>
            </w:r>
          </w:p>
        </w:tc>
      </w:tr>
      <w:tr w:rsidR="00756EB2" w14:paraId="55E69F67" w14:textId="77777777">
        <w:trPr>
          <w:trHeight w:val="470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6302DF67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Extra nodal involvement&gt;2,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041552D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24 (</w:t>
            </w:r>
            <w:r>
              <w:rPr>
                <w:rFonts w:ascii="Times New Roman Regular" w:eastAsia="SimSun" w:hAnsi="Times New Roman Regular" w:cs="Times New Roman Regular" w:hint="eastAsia"/>
                <w:kern w:val="0"/>
                <w:sz w:val="20"/>
                <w:szCs w:val="20"/>
                <w14:ligatures w14:val="none"/>
              </w:rPr>
              <w:t>25.5</w:t>
            </w: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%)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656D6242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181 (35.7%)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5F5FB0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0.056</w:t>
            </w:r>
          </w:p>
        </w:tc>
      </w:tr>
      <w:tr w:rsidR="00756EB2" w14:paraId="50467569" w14:textId="77777777">
        <w:trPr>
          <w:trHeight w:val="453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0B7E22AA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IPI score&gt;3, n (%)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1048AFC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50 (53.2%)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26549401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307 (60.6%)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BEB585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0.098</w:t>
            </w:r>
          </w:p>
        </w:tc>
      </w:tr>
      <w:tr w:rsidR="00756EB2" w14:paraId="18F6994B" w14:textId="77777777">
        <w:trPr>
          <w:trHeight w:val="467"/>
        </w:trPr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32748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Bone marrow Involvement, n (%)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6C722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27 (28.7%)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20BE3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169 (33.3%)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EE791" w14:textId="77777777" w:rsidR="00756EB2" w:rsidRDefault="00000000">
            <w:pPr>
              <w:spacing w:after="0" w:line="240" w:lineRule="auto"/>
              <w:rPr>
                <w:rFonts w:ascii="Times New Roman Regular" w:eastAsia="SimSun" w:hAnsi="Times New Roman Regular" w:cs="Times New Roman Regular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  <w14:ligatures w14:val="none"/>
              </w:rPr>
              <w:t>0.381</w:t>
            </w:r>
          </w:p>
        </w:tc>
      </w:tr>
    </w:tbl>
    <w:p w14:paraId="47639023" w14:textId="77777777" w:rsidR="00756EB2" w:rsidRDefault="00000000">
      <w:pPr>
        <w:ind w:leftChars="64" w:left="141" w:rightChars="-219" w:right="-482"/>
        <w:jc w:val="both"/>
        <w:rPr>
          <w:rFonts w:ascii="Times New Roman Regular" w:hAnsi="Times New Roman Regular" w:cs="Times New Roman Regular"/>
          <w:kern w:val="0"/>
          <w:sz w:val="20"/>
          <w:szCs w:val="20"/>
        </w:rPr>
      </w:pPr>
      <w:r>
        <w:rPr>
          <w:rFonts w:ascii="Times New Roman Regular" w:hAnsi="Times New Roman Regular" w:cs="Times New Roman Regular"/>
          <w:kern w:val="0"/>
          <w:sz w:val="20"/>
          <w:szCs w:val="20"/>
        </w:rPr>
        <w:t>Abbreviations: ECOG, Eastern Cooperative Oncology Group;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 xml:space="preserve"> 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 xml:space="preserve">LDH, 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>L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 xml:space="preserve">actate 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>d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>ehydrogenase; IPI, International Prognostic Index.</w:t>
      </w:r>
    </w:p>
    <w:p w14:paraId="5E07176F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0EA3390D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235898EA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27D99EDC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1CD6AB55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747D9148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5305E5B0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2FEB41F5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234A7FC6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3E64ED35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58A1594A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1EC745E5" w14:textId="77777777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</w:rPr>
      </w:pPr>
    </w:p>
    <w:p w14:paraId="2345BDF4" w14:textId="40EB5276" w:rsidR="007B276A" w:rsidRDefault="007B276A" w:rsidP="007B276A">
      <w:pPr>
        <w:jc w:val="center"/>
        <w:rPr>
          <w:rFonts w:ascii="Times New Roman Regular" w:hAnsi="Times New Roman Regular" w:cs="Times New Roman Regular"/>
          <w:kern w:val="0"/>
          <w:sz w:val="20"/>
          <w:szCs w:val="20"/>
          <w14:ligatures w14:val="none"/>
        </w:rPr>
      </w:pPr>
      <w:r w:rsidRPr="007B276A">
        <w:rPr>
          <w:rFonts w:ascii="Times New Roman Regular" w:hAnsi="Times New Roman Regular" w:cs="Times New Roman Regular"/>
          <w:b/>
          <w:bCs/>
          <w:kern w:val="0"/>
          <w:sz w:val="20"/>
          <w:szCs w:val="20"/>
        </w:rPr>
        <w:lastRenderedPageBreak/>
        <w:t>Supplementary Table</w:t>
      </w:r>
      <w:r w:rsidRPr="007B276A">
        <w:rPr>
          <w:rFonts w:ascii="Times New Roman Regular" w:hAnsi="Times New Roman Regular" w:cs="Times New Roman Regular" w:hint="eastAsia"/>
          <w:b/>
          <w:bCs/>
          <w:kern w:val="0"/>
          <w:sz w:val="20"/>
          <w:szCs w:val="20"/>
        </w:rPr>
        <w:t>2</w:t>
      </w:r>
      <w:r w:rsidRPr="007B276A">
        <w:rPr>
          <w:rFonts w:ascii="Times New Roman Regular" w:hAnsi="Times New Roman Regular" w:cs="Times New Roman Regular"/>
          <w:b/>
          <w:bCs/>
          <w:kern w:val="0"/>
          <w:sz w:val="20"/>
          <w:szCs w:val="20"/>
        </w:rPr>
        <w:t>.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 xml:space="preserve"> The general clinical features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 xml:space="preserve"> of DLBCL 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>patients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 xml:space="preserve"> in another independent 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>cohort</w:t>
      </w:r>
    </w:p>
    <w:tbl>
      <w:tblPr>
        <w:tblStyle w:val="a7"/>
        <w:tblW w:w="0" w:type="auto"/>
        <w:tblInd w:w="121" w:type="dxa"/>
        <w:tblBorders>
          <w:top w:val="single" w:sz="8" w:space="0" w:color="000000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3"/>
        <w:gridCol w:w="3549"/>
      </w:tblGrid>
      <w:tr w:rsidR="007B276A" w14:paraId="6BFBA662" w14:textId="77777777" w:rsidTr="007B276A">
        <w:trPr>
          <w:trHeight w:val="320"/>
        </w:trPr>
        <w:tc>
          <w:tcPr>
            <w:tcW w:w="446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594F4AF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Clinical Characteristics</w:t>
            </w:r>
          </w:p>
        </w:tc>
        <w:tc>
          <w:tcPr>
            <w:tcW w:w="354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E7BBC81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 xml:space="preserve">Total patients 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(47)</w:t>
            </w:r>
          </w:p>
        </w:tc>
      </w:tr>
      <w:tr w:rsidR="007B276A" w14:paraId="5BA99AFB" w14:textId="77777777" w:rsidTr="007B276A">
        <w:trPr>
          <w:trHeight w:val="312"/>
        </w:trPr>
        <w:tc>
          <w:tcPr>
            <w:tcW w:w="4463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302AF1D1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Median age(range)</w:t>
            </w:r>
          </w:p>
        </w:tc>
        <w:tc>
          <w:tcPr>
            <w:tcW w:w="354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7A8BAE46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55 (19-78)</w:t>
            </w:r>
          </w:p>
        </w:tc>
      </w:tr>
      <w:tr w:rsidR="007B276A" w14:paraId="7AD40ED5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B6A39" w14:textId="77777777" w:rsidR="007B276A" w:rsidRDefault="007B276A">
            <w:pPr>
              <w:ind w:firstLineChars="50" w:firstLine="100"/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&gt;60 years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6DAC9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19 (40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4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4FA4C610" w14:textId="77777777" w:rsidTr="007B276A">
        <w:trPr>
          <w:trHeight w:val="356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9FBF6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Male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3EC81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21 (44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7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51593DF6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F2C4D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ECOG&gt;2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373AC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10 (21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3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3681284C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AF436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B symptoms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7A066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23 (48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9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2EE23A18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3AAC7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Ann Arbor stage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05EB4C7E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</w:p>
        </w:tc>
      </w:tr>
      <w:tr w:rsidR="007B276A" w14:paraId="13FF29C8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B66AA" w14:textId="77777777" w:rsidR="007B276A" w:rsidRDefault="007B276A">
            <w:pPr>
              <w:ind w:firstLineChars="50" w:firstLine="100"/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PingFang SC" w:hAnsi="Times New Roman Regular" w:cs="Times New Roman Regular"/>
                <w:kern w:val="0"/>
                <w:sz w:val="20"/>
                <w:szCs w:val="20"/>
              </w:rPr>
              <w:t>Ⅰ</w:t>
            </w:r>
            <w:r>
              <w:rPr>
                <w:rFonts w:ascii="Times New Roman Regular" w:eastAsia="PingFang SC" w:hAnsi="Times New Roman Regular" w:cs="Times New Roman Regular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 Regular" w:eastAsia="PingFang SC" w:hAnsi="Times New Roman Regular" w:cs="Times New Roman Regular"/>
                <w:kern w:val="0"/>
                <w:sz w:val="20"/>
                <w:szCs w:val="20"/>
              </w:rPr>
              <w:t>Ⅱ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E4738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14 (29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8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364B3D81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289A4" w14:textId="77777777" w:rsidR="007B276A" w:rsidRDefault="007B276A">
            <w:pPr>
              <w:ind w:firstLineChars="50" w:firstLine="100"/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Ⅲ/Ⅳ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723F4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33 (70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2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33F190BB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34D0F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LDH&gt;250U/L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0386D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29 (61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7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7441A3D2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A1566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Extra nodal involvement&gt;2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3BE21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18 (38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3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0017983F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69319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IPI score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69B5D775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</w:p>
        </w:tc>
      </w:tr>
      <w:tr w:rsidR="007B276A" w14:paraId="401BF4C0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85C37" w14:textId="77777777" w:rsidR="007B276A" w:rsidRDefault="007B276A">
            <w:pPr>
              <w:ind w:firstLineChars="50" w:firstLine="100"/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0-2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66DB8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21 (44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7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75084231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9397A" w14:textId="77777777" w:rsidR="007B276A" w:rsidRDefault="007B276A">
            <w:pPr>
              <w:ind w:firstLineChars="50" w:firstLine="100"/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3-5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EBAFD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26 (55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3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  <w:tr w:rsidR="007B276A" w14:paraId="72CA034C" w14:textId="77777777" w:rsidTr="007B276A">
        <w:trPr>
          <w:trHeight w:val="320"/>
        </w:trPr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E03A2D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Bone marrow involvement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24AB3D" w14:textId="77777777" w:rsidR="007B276A" w:rsidRDefault="007B276A">
            <w:pP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12 (25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5</w:t>
            </w:r>
            <w:r>
              <w:rPr>
                <w:rFonts w:ascii="Times New Roman Regular" w:hAnsi="Times New Roman Regular" w:cs="Times New Roman Regular" w:hint="eastAsia"/>
                <w:kern w:val="0"/>
                <w:sz w:val="20"/>
                <w:szCs w:val="20"/>
              </w:rPr>
              <w:t>%</w:t>
            </w:r>
            <w:r>
              <w:rPr>
                <w:rFonts w:ascii="Times New Roman Regular" w:hAnsi="Times New Roman Regular" w:cs="Times New Roman Regular"/>
                <w:kern w:val="0"/>
                <w:sz w:val="20"/>
                <w:szCs w:val="20"/>
              </w:rPr>
              <w:t>)</w:t>
            </w:r>
          </w:p>
        </w:tc>
      </w:tr>
    </w:tbl>
    <w:p w14:paraId="4AED6708" w14:textId="77777777" w:rsidR="007B276A" w:rsidRDefault="007B276A" w:rsidP="007B276A">
      <w:pPr>
        <w:rPr>
          <w:rFonts w:ascii="Times New Roman Regular" w:eastAsia="DengXian" w:hAnsi="Times New Roman Regular" w:cs="Times New Roman Regular"/>
          <w:kern w:val="0"/>
          <w:sz w:val="20"/>
          <w:szCs w:val="20"/>
        </w:rPr>
      </w:pPr>
      <w:r>
        <w:rPr>
          <w:rFonts w:ascii="Times New Roman Regular" w:hAnsi="Times New Roman Regular" w:cs="Times New Roman Regular"/>
          <w:kern w:val="0"/>
          <w:sz w:val="20"/>
          <w:szCs w:val="20"/>
        </w:rPr>
        <w:t>Abbreviations: ECOG, Eastern Cooperative Oncology Group;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 xml:space="preserve"> 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 xml:space="preserve">LDH, </w:t>
      </w:r>
      <w:r>
        <w:rPr>
          <w:rFonts w:ascii="Times New Roman Regular" w:hAnsi="Times New Roman Regular" w:cs="Times New Roman Regular" w:hint="eastAsia"/>
          <w:kern w:val="0"/>
          <w:sz w:val="20"/>
          <w:szCs w:val="20"/>
        </w:rPr>
        <w:t>L</w:t>
      </w:r>
      <w:r>
        <w:rPr>
          <w:rFonts w:ascii="Times New Roman Regular" w:hAnsi="Times New Roman Regular" w:cs="Times New Roman Regular"/>
          <w:kern w:val="0"/>
          <w:sz w:val="20"/>
          <w:szCs w:val="20"/>
        </w:rPr>
        <w:t>actate dehydrogenase; IPI, International Prognostic Index.</w:t>
      </w:r>
    </w:p>
    <w:p w14:paraId="10967174" w14:textId="77777777" w:rsidR="007B276A" w:rsidRDefault="007B276A" w:rsidP="007B276A">
      <w:pPr>
        <w:rPr>
          <w:rFonts w:ascii="DengXian" w:hAnsi="DengXian" w:cs="Times New Roman"/>
          <w:sz w:val="24"/>
        </w:rPr>
      </w:pPr>
      <w:r>
        <w:rPr>
          <w:rFonts w:hint="eastAsia"/>
        </w:rPr>
        <w:t xml:space="preserve"> </w:t>
      </w:r>
    </w:p>
    <w:p w14:paraId="519D69E7" w14:textId="77777777" w:rsidR="00756EB2" w:rsidRPr="007B276A" w:rsidRDefault="00756EB2">
      <w:pPr>
        <w:ind w:leftChars="64" w:left="141" w:rightChars="-219" w:right="-482"/>
      </w:pPr>
    </w:p>
    <w:sectPr w:rsidR="00756EB2" w:rsidRPr="007B2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9B0E" w14:textId="77777777" w:rsidR="00D75D0D" w:rsidRDefault="00D75D0D">
      <w:pPr>
        <w:spacing w:line="240" w:lineRule="auto"/>
      </w:pPr>
      <w:r>
        <w:separator/>
      </w:r>
    </w:p>
  </w:endnote>
  <w:endnote w:type="continuationSeparator" w:id="0">
    <w:p w14:paraId="73387011" w14:textId="77777777" w:rsidR="00D75D0D" w:rsidRDefault="00D75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99C2" w14:textId="77777777" w:rsidR="00D75D0D" w:rsidRDefault="00D75D0D">
      <w:pPr>
        <w:spacing w:after="0"/>
      </w:pPr>
      <w:r>
        <w:separator/>
      </w:r>
    </w:p>
  </w:footnote>
  <w:footnote w:type="continuationSeparator" w:id="0">
    <w:p w14:paraId="601BD568" w14:textId="77777777" w:rsidR="00D75D0D" w:rsidRDefault="00D75D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FF8"/>
    <w:rsid w:val="00136714"/>
    <w:rsid w:val="001C0E74"/>
    <w:rsid w:val="001E1085"/>
    <w:rsid w:val="002A720B"/>
    <w:rsid w:val="00302364"/>
    <w:rsid w:val="003E2016"/>
    <w:rsid w:val="00493305"/>
    <w:rsid w:val="005660E6"/>
    <w:rsid w:val="00756EB2"/>
    <w:rsid w:val="007B276A"/>
    <w:rsid w:val="0088256C"/>
    <w:rsid w:val="008E15E6"/>
    <w:rsid w:val="00990A92"/>
    <w:rsid w:val="009B076B"/>
    <w:rsid w:val="00AA59AF"/>
    <w:rsid w:val="00BF3F82"/>
    <w:rsid w:val="00D75D0D"/>
    <w:rsid w:val="00E06C87"/>
    <w:rsid w:val="00E45EF4"/>
    <w:rsid w:val="00E93FF8"/>
    <w:rsid w:val="00F2473A"/>
    <w:rsid w:val="00FD029D"/>
    <w:rsid w:val="1DDB4CD8"/>
    <w:rsid w:val="3FFA5ECA"/>
    <w:rsid w:val="7F7B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7F601E"/>
  <w15:docId w15:val="{8BCEEA27-FB0C-3F43-8A3C-93AD1FA3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99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0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 </cp:lastModifiedBy>
  <cp:revision>7</cp:revision>
  <dcterms:created xsi:type="dcterms:W3CDTF">2025-06-29T14:19:00Z</dcterms:created>
  <dcterms:modified xsi:type="dcterms:W3CDTF">2025-07-19T03:30:00Z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DD97B646B3EF604B4D0C6068F30929CD_42</vt:lpwstr>
  </property>
</Properties>
</file>