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6623FB">
      <w:pPr>
        <w:spacing w:line="480" w:lineRule="auto"/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kern w:val="0"/>
          <w:sz w:val="21"/>
          <w:szCs w:val="21"/>
          <w:lang w:val="en-US" w:eastAsia="zh-CN"/>
        </w:rPr>
        <w:t>Supplementary File 1. Detailed sites of recurrent lymph nodes (classified according to the 8th edition AJCC TNM nodal stations)</w:t>
      </w:r>
    </w:p>
    <w:tbl>
      <w:tblPr>
        <w:tblStyle w:val="2"/>
        <w:tblW w:w="0" w:type="auto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08"/>
        <w:gridCol w:w="1493"/>
        <w:gridCol w:w="1538"/>
        <w:gridCol w:w="1432"/>
      </w:tblGrid>
      <w:tr w14:paraId="0176FE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 w14:paraId="630EE914">
            <w:pPr>
              <w:spacing w:line="480" w:lineRule="auto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Region</w:t>
            </w:r>
          </w:p>
          <w:p w14:paraId="20C6FFB6">
            <w:pPr>
              <w:spacing w:line="480" w:lineRule="auto"/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/>
              </w:rPr>
              <w:t>(AJCC 8th edition)</w:t>
            </w:r>
          </w:p>
        </w:tc>
        <w:tc>
          <w:tcPr>
            <w:tcW w:w="1493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 w14:paraId="3C75F260">
            <w:pPr>
              <w:spacing w:line="480" w:lineRule="auto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IFI group</w:t>
            </w:r>
          </w:p>
          <w:p w14:paraId="51FA640B">
            <w:pPr>
              <w:spacing w:line="48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(N=57)</w:t>
            </w:r>
          </w:p>
        </w:tc>
        <w:tc>
          <w:tcPr>
            <w:tcW w:w="1538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 w14:paraId="670FB73B">
            <w:pPr>
              <w:spacing w:line="480" w:lineRule="auto"/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EFI group</w:t>
            </w:r>
          </w:p>
          <w:p w14:paraId="0DDCC873">
            <w:pPr>
              <w:spacing w:line="48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(N=49)</w:t>
            </w:r>
          </w:p>
        </w:tc>
        <w:tc>
          <w:tcPr>
            <w:tcW w:w="1432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shd w:val="clear" w:color="auto" w:fill="auto"/>
          </w:tcPr>
          <w:p w14:paraId="6A029E12">
            <w:pPr>
              <w:spacing w:line="480" w:lineRule="auto"/>
              <w:rPr>
                <w:rFonts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1"/>
                <w:szCs w:val="21"/>
              </w:rPr>
              <w:t>Total</w:t>
            </w:r>
          </w:p>
        </w:tc>
      </w:tr>
      <w:tr w14:paraId="09820BD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D0EEFF5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1 Supraclavicular (left/right)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198BCF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23 (40.4 %)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6154CE0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22 (44.9 %)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3334EC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45 (42.5 %)</w:t>
            </w:r>
          </w:p>
        </w:tc>
      </w:tr>
      <w:tr w14:paraId="4DBC056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8588861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2 Upper paratracheal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535603B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13 (22.8 %)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B9A55B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16 (32.7 %)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095985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29 (27.4 %)</w:t>
            </w:r>
          </w:p>
        </w:tc>
      </w:tr>
      <w:tr w14:paraId="086A1A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8EE3E7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3 Posterior mediastinal (prevascular, retrotracheal)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DB5A41D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 (0 %)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DD5A4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 (2.0 %)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40F0CFB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 (0.9 %)</w:t>
            </w:r>
          </w:p>
        </w:tc>
      </w:tr>
      <w:tr w14:paraId="74CC57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F9A545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4 Lower paratracheal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5114E3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20 (35.1 %)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A20F812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23 (46.9 %)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447FD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43 (40.6 %)</w:t>
            </w:r>
          </w:p>
        </w:tc>
      </w:tr>
      <w:tr w14:paraId="00A1602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AFDB7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5 Subaortic (aortopulmonary window)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6A6079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 (8.8 %)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C35B4EC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11 (22.4 %)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79FE8C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16 (15.1 %)</w:t>
            </w:r>
          </w:p>
        </w:tc>
      </w:tr>
      <w:tr w14:paraId="60CA200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CEA200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6 Anterior mediastinal (prevascular)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FC541FB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 (0 %)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9C0B1D1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 (0 %)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072571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 (0 %)</w:t>
            </w:r>
          </w:p>
        </w:tc>
      </w:tr>
      <w:tr w14:paraId="241095F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38B0B2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7 Subcarinal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7BD5FC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 (10.5 %)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3EC853C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0 (0 %)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49AAE4A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 (5.7 %)</w:t>
            </w:r>
          </w:p>
        </w:tc>
      </w:tr>
      <w:tr w14:paraId="70A464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94DA715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8 Thoracic para-oesophageal (8U/8M/8Lo)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0EB9774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16 (28.1 %)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7D7C1C1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6 (12.2 %)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BA03086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22 (20.8 %)</w:t>
            </w:r>
          </w:p>
        </w:tc>
      </w:tr>
      <w:tr w14:paraId="3E4292D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DB4B951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9 Pulmonary ligament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B39B78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5 (8.8 %)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D468E1E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 (4.1 %)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67AF123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7 (6.6 %)</w:t>
            </w:r>
          </w:p>
        </w:tc>
      </w:tr>
      <w:tr w14:paraId="43DC12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03AB9FD">
            <w:pPr>
              <w:widowControl/>
              <w:spacing w:line="480" w:lineRule="auto"/>
              <w:jc w:val="left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Anastomotic recurrence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7DF2B5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16 (28.1 %)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368563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 (16.3 %)</w:t>
            </w:r>
          </w:p>
        </w:tc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F45893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24 (22.6 %)</w:t>
            </w:r>
          </w:p>
        </w:tc>
      </w:tr>
      <w:tr w14:paraId="3AE5EF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0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29D60C2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Total events</w:t>
            </w:r>
          </w:p>
        </w:tc>
        <w:tc>
          <w:tcPr>
            <w:tcW w:w="149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C6596CF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104</w:t>
            </w:r>
          </w:p>
        </w:tc>
        <w:tc>
          <w:tcPr>
            <w:tcW w:w="1538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3B9C558F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43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top"/>
          </w:tcPr>
          <w:p w14:paraId="0CC76E85">
            <w:pPr>
              <w:widowControl/>
              <w:spacing w:line="480" w:lineRule="auto"/>
              <w:jc w:val="left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193</w:t>
            </w:r>
          </w:p>
        </w:tc>
      </w:tr>
    </w:tbl>
    <w:p w14:paraId="54FE6A1F">
      <w:pPr>
        <w:spacing w:line="480" w:lineRule="auto"/>
        <w:rPr>
          <w:rFonts w:hint="default" w:ascii="Times New Roman" w:hAnsi="Times New Roman"/>
          <w:sz w:val="21"/>
          <w:szCs w:val="21"/>
          <w:lang w:val="en-US" w:eastAsia="zh-CN"/>
        </w:rPr>
      </w:pPr>
      <w:r>
        <w:rPr>
          <w:rFonts w:hint="default" w:ascii="Times New Roman" w:hAnsi="Times New Roman"/>
          <w:sz w:val="21"/>
          <w:szCs w:val="21"/>
          <w:lang w:val="en-US" w:eastAsia="zh-CN"/>
        </w:rPr>
        <w:t>Percentages are calculated within each group.</w:t>
      </w:r>
    </w:p>
    <w:p w14:paraId="3FAC5E0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E9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2025-07-21T13:41:18Z</dcterms:created>
  <dc:creator>hp</dc:creator>
  <cp:lastModifiedBy>倩</cp:lastModifiedBy>
  <dcterms:modified xsi:type="dcterms:W3CDTF">2025-07-21T13:41:33Z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eyJoZGlkIjoiMTljZGYxYjdjY2E0ZWQ2MjI0MGViNDU0MDhmMDI0M2MiLCJ1c2VySWQiOiI3NTA2MDAwNjcifQ==</vt:lpwstr>
  </property>
  <property fmtid="{D5CDD505-2E9C-101B-9397-08002B2CF9AE}" pid="4" name="ICV">
    <vt:lpwstr>FF66D0F2FB344D0291960BC723F22B45_12</vt:lpwstr>
  </property>
</Properties>
</file>