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03FB8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  <w:t xml:space="preserve">Table 1:Tumor volume and ROC curve analysis of 60-month survival status in 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1st</w:t>
      </w: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  <w:t xml:space="preserve"> groups of patients:</w:t>
      </w:r>
    </w:p>
    <w:tbl>
      <w:tblPr>
        <w:tblStyle w:val="2"/>
        <w:tblpPr w:leftFromText="180" w:rightFromText="180" w:vertAnchor="text" w:horzAnchor="page" w:tblpXSpec="center" w:tblpY="295"/>
        <w:tblOverlap w:val="never"/>
        <w:tblW w:w="0" w:type="auto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"/>
        <w:gridCol w:w="1956"/>
        <w:gridCol w:w="876"/>
        <w:gridCol w:w="1596"/>
        <w:gridCol w:w="1596"/>
      </w:tblGrid>
      <w:tr w14:paraId="33D4597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40" w:type="dxa"/>
            <w:tcBorders>
              <w:bottom w:val="single" w:color="auto" w:sz="12" w:space="0"/>
            </w:tcBorders>
            <w:noWrap w:val="0"/>
            <w:vAlign w:val="top"/>
          </w:tcPr>
          <w:p w14:paraId="796CE2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956" w:type="dxa"/>
            <w:tcBorders>
              <w:bottom w:val="single" w:color="auto" w:sz="12" w:space="0"/>
            </w:tcBorders>
            <w:noWrap w:val="0"/>
            <w:vAlign w:val="center"/>
          </w:tcPr>
          <w:p w14:paraId="3EFB5D0C">
            <w:pPr>
              <w:autoSpaceDE w:val="0"/>
              <w:autoSpaceDN w:val="0"/>
              <w:adjustRightInd w:val="0"/>
              <w:spacing w:line="320" w:lineRule="atLeast"/>
              <w:ind w:left="60" w:right="270" w:firstLine="360" w:firstLineChars="200"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95%CI</w:t>
            </w:r>
          </w:p>
        </w:tc>
        <w:tc>
          <w:tcPr>
            <w:tcW w:w="876" w:type="dxa"/>
            <w:tcBorders>
              <w:bottom w:val="single" w:color="auto" w:sz="12" w:space="0"/>
            </w:tcBorders>
            <w:noWrap w:val="0"/>
            <w:vAlign w:val="center"/>
          </w:tcPr>
          <w:p w14:paraId="0D92F2F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val="en-US" w:eastAsia="zh-CN"/>
              </w:rPr>
              <w:t>AUC</w:t>
            </w:r>
          </w:p>
        </w:tc>
        <w:tc>
          <w:tcPr>
            <w:tcW w:w="1596" w:type="dxa"/>
            <w:tcBorders>
              <w:bottom w:val="single" w:color="auto" w:sz="12" w:space="0"/>
            </w:tcBorders>
            <w:noWrap w:val="0"/>
            <w:vAlign w:val="center"/>
          </w:tcPr>
          <w:p w14:paraId="190FD72F">
            <w:pPr>
              <w:wordWrap/>
              <w:autoSpaceDE w:val="0"/>
              <w:autoSpaceDN w:val="0"/>
              <w:adjustRightInd w:val="0"/>
              <w:spacing w:line="320" w:lineRule="atLeast"/>
              <w:ind w:left="60" w:right="420"/>
              <w:jc w:val="center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val="en-US" w:eastAsia="zh-CN"/>
              </w:rPr>
              <w:t>p</w:t>
            </w:r>
          </w:p>
        </w:tc>
        <w:tc>
          <w:tcPr>
            <w:tcW w:w="1596" w:type="dxa"/>
            <w:tcBorders>
              <w:bottom w:val="single" w:color="auto" w:sz="12" w:space="0"/>
            </w:tcBorders>
            <w:noWrap w:val="0"/>
            <w:vAlign w:val="top"/>
          </w:tcPr>
          <w:p w14:paraId="28847DEE">
            <w:pPr>
              <w:wordWrap/>
              <w:autoSpaceDE w:val="0"/>
              <w:autoSpaceDN w:val="0"/>
              <w:adjustRightInd w:val="0"/>
              <w:spacing w:line="320" w:lineRule="atLeast"/>
              <w:ind w:right="420"/>
              <w:jc w:val="both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</w:rPr>
              <w:t>Boundary Point</w:t>
            </w:r>
          </w:p>
        </w:tc>
      </w:tr>
      <w:tr w14:paraId="47F33BCD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40" w:type="dxa"/>
            <w:noWrap w:val="0"/>
            <w:vAlign w:val="top"/>
          </w:tcPr>
          <w:p w14:paraId="1DA24A3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956" w:type="dxa"/>
            <w:noWrap w:val="0"/>
            <w:vAlign w:val="center"/>
          </w:tcPr>
          <w:p w14:paraId="4E09EAD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0.572-0.728</w:t>
            </w:r>
          </w:p>
        </w:tc>
        <w:tc>
          <w:tcPr>
            <w:tcW w:w="876" w:type="dxa"/>
            <w:noWrap w:val="0"/>
            <w:vAlign w:val="center"/>
          </w:tcPr>
          <w:p w14:paraId="6723F2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0.650</w:t>
            </w:r>
          </w:p>
        </w:tc>
        <w:tc>
          <w:tcPr>
            <w:tcW w:w="1596" w:type="dxa"/>
            <w:noWrap w:val="0"/>
            <w:vAlign w:val="center"/>
          </w:tcPr>
          <w:p w14:paraId="6FE8DDE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0.000</w:t>
            </w:r>
          </w:p>
        </w:tc>
        <w:tc>
          <w:tcPr>
            <w:tcW w:w="1596" w:type="dxa"/>
            <w:noWrap w:val="0"/>
            <w:vAlign w:val="center"/>
          </w:tcPr>
          <w:p w14:paraId="547CFB6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30.81</w:t>
            </w:r>
          </w:p>
        </w:tc>
      </w:tr>
    </w:tbl>
    <w:p w14:paraId="7A0DA92D"/>
    <w:p w14:paraId="322A94CE"/>
    <w:p w14:paraId="0F425FC4"/>
    <w:p w14:paraId="1286DB99"/>
    <w:p w14:paraId="65261871"/>
    <w:p w14:paraId="5600756E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  <w:t xml:space="preserve">Table 2: Tumor volume and ROC curve analysis of 60-month survival status in 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 xml:space="preserve">2nd  </w:t>
      </w: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  <w:t>groups of patients:</w:t>
      </w:r>
    </w:p>
    <w:tbl>
      <w:tblPr>
        <w:tblStyle w:val="2"/>
        <w:tblpPr w:leftFromText="180" w:rightFromText="180" w:vertAnchor="text" w:horzAnchor="page" w:tblpXSpec="center" w:tblpY="295"/>
        <w:tblOverlap w:val="never"/>
        <w:tblW w:w="0" w:type="auto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876"/>
        <w:gridCol w:w="1596"/>
        <w:gridCol w:w="1596"/>
      </w:tblGrid>
      <w:tr w14:paraId="1366AFE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956" w:type="dxa"/>
            <w:tcBorders>
              <w:bottom w:val="single" w:color="auto" w:sz="12" w:space="0"/>
            </w:tcBorders>
            <w:noWrap w:val="0"/>
            <w:vAlign w:val="center"/>
          </w:tcPr>
          <w:p w14:paraId="6B3AD0C0">
            <w:pPr>
              <w:autoSpaceDE w:val="0"/>
              <w:autoSpaceDN w:val="0"/>
              <w:adjustRightInd w:val="0"/>
              <w:spacing w:line="320" w:lineRule="atLeast"/>
              <w:ind w:left="60" w:right="270" w:firstLine="360" w:firstLineChars="200"/>
              <w:jc w:val="center"/>
              <w:rPr>
                <w:rFonts w:hint="default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95%CI</w:t>
            </w:r>
          </w:p>
        </w:tc>
        <w:tc>
          <w:tcPr>
            <w:tcW w:w="876" w:type="dxa"/>
            <w:tcBorders>
              <w:bottom w:val="single" w:color="auto" w:sz="12" w:space="0"/>
            </w:tcBorders>
            <w:noWrap w:val="0"/>
            <w:vAlign w:val="center"/>
          </w:tcPr>
          <w:p w14:paraId="7D015FE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val="en-US" w:eastAsia="zh-CN"/>
              </w:rPr>
              <w:t>AUC</w:t>
            </w:r>
          </w:p>
        </w:tc>
        <w:tc>
          <w:tcPr>
            <w:tcW w:w="1596" w:type="dxa"/>
            <w:tcBorders>
              <w:bottom w:val="single" w:color="auto" w:sz="12" w:space="0"/>
            </w:tcBorders>
            <w:noWrap w:val="0"/>
            <w:vAlign w:val="center"/>
          </w:tcPr>
          <w:p w14:paraId="7C68DCE1">
            <w:pPr>
              <w:wordWrap/>
              <w:autoSpaceDE w:val="0"/>
              <w:autoSpaceDN w:val="0"/>
              <w:adjustRightInd w:val="0"/>
              <w:spacing w:line="320" w:lineRule="atLeast"/>
              <w:ind w:left="60" w:right="420"/>
              <w:jc w:val="center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val="en-US" w:eastAsia="zh-CN"/>
              </w:rPr>
              <w:t>p</w:t>
            </w:r>
          </w:p>
        </w:tc>
        <w:tc>
          <w:tcPr>
            <w:tcW w:w="1596" w:type="dxa"/>
            <w:tcBorders>
              <w:bottom w:val="single" w:color="auto" w:sz="12" w:space="0"/>
            </w:tcBorders>
            <w:shd w:val="clear" w:color="auto" w:fill="auto"/>
            <w:noWrap w:val="0"/>
            <w:vAlign w:val="top"/>
          </w:tcPr>
          <w:p w14:paraId="136E247F">
            <w:pPr>
              <w:wordWrap/>
              <w:autoSpaceDE w:val="0"/>
              <w:autoSpaceDN w:val="0"/>
              <w:adjustRightInd w:val="0"/>
              <w:spacing w:line="320" w:lineRule="atLeast"/>
              <w:ind w:right="420" w:rightChars="0"/>
              <w:jc w:val="both"/>
              <w:rPr>
                <w:rFonts w:hint="default" w:ascii="宋体" w:hAnsi="宋体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</w:rPr>
              <w:t>Boundary Point</w:t>
            </w:r>
          </w:p>
        </w:tc>
      </w:tr>
      <w:tr w14:paraId="77615DA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956" w:type="dxa"/>
            <w:noWrap w:val="0"/>
            <w:vAlign w:val="center"/>
          </w:tcPr>
          <w:p w14:paraId="6669123D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0.434-0.696</w:t>
            </w:r>
          </w:p>
        </w:tc>
        <w:tc>
          <w:tcPr>
            <w:tcW w:w="876" w:type="dxa"/>
            <w:noWrap w:val="0"/>
            <w:vAlign w:val="center"/>
          </w:tcPr>
          <w:p w14:paraId="7B6E44B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0.565</w:t>
            </w:r>
          </w:p>
        </w:tc>
        <w:tc>
          <w:tcPr>
            <w:tcW w:w="1596" w:type="dxa"/>
            <w:noWrap w:val="0"/>
            <w:vAlign w:val="center"/>
          </w:tcPr>
          <w:p w14:paraId="434696A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0.308</w:t>
            </w:r>
          </w:p>
        </w:tc>
        <w:tc>
          <w:tcPr>
            <w:tcW w:w="1596" w:type="dxa"/>
            <w:noWrap w:val="0"/>
            <w:vAlign w:val="center"/>
          </w:tcPr>
          <w:p w14:paraId="292F94A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19.50</w:t>
            </w:r>
          </w:p>
        </w:tc>
      </w:tr>
    </w:tbl>
    <w:p w14:paraId="4D221350"/>
    <w:p w14:paraId="45CB6838"/>
    <w:p w14:paraId="34BB19A1"/>
    <w:p w14:paraId="4923CBC1"/>
    <w:p w14:paraId="3A56A99A"/>
    <w:p w14:paraId="69618528"/>
    <w:p w14:paraId="739FC4A4">
      <w:pPr>
        <w:widowControl w:val="0"/>
        <w:spacing w:line="360" w:lineRule="auto"/>
        <w:jc w:val="center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  <w:t>Table 3: Results of Univariate Survival Analysis</w:t>
      </w:r>
    </w:p>
    <w:tbl>
      <w:tblPr>
        <w:tblStyle w:val="2"/>
        <w:tblW w:w="4997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1328"/>
        <w:gridCol w:w="1328"/>
        <w:gridCol w:w="1756"/>
        <w:gridCol w:w="1043"/>
        <w:gridCol w:w="1328"/>
        <w:gridCol w:w="692"/>
      </w:tblGrid>
      <w:tr w14:paraId="34044E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tcBorders>
              <w:bottom w:val="single" w:color="auto" w:sz="12" w:space="0"/>
            </w:tcBorders>
            <w:noWrap w:val="0"/>
            <w:vAlign w:val="top"/>
          </w:tcPr>
          <w:p w14:paraId="0B5F342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F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actor</w:t>
            </w:r>
          </w:p>
        </w:tc>
        <w:tc>
          <w:tcPr>
            <w:tcW w:w="779" w:type="pct"/>
            <w:tcBorders>
              <w:bottom w:val="single" w:color="auto" w:sz="12" w:space="0"/>
            </w:tcBorders>
            <w:noWrap w:val="0"/>
            <w:vAlign w:val="top"/>
          </w:tcPr>
          <w:p w14:paraId="3310B8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779" w:type="pct"/>
            <w:tcBorders>
              <w:bottom w:val="single" w:color="auto" w:sz="12" w:space="0"/>
            </w:tcBorders>
            <w:shd w:val="clear" w:color="auto" w:fill="auto"/>
            <w:noWrap w:val="0"/>
            <w:vAlign w:val="top"/>
          </w:tcPr>
          <w:p w14:paraId="48BB1E44">
            <w:pPr>
              <w:wordWrap/>
              <w:autoSpaceDE w:val="0"/>
              <w:autoSpaceDN w:val="0"/>
              <w:adjustRightInd w:val="0"/>
              <w:spacing w:line="320" w:lineRule="atLeast"/>
              <w:ind w:right="420" w:rightChars="0"/>
              <w:jc w:val="both"/>
              <w:rPr>
                <w:rFonts w:hint="default" w:ascii="宋体" w:hAnsi="宋体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</w:rPr>
              <w:t>Boundary Point</w:t>
            </w:r>
          </w:p>
        </w:tc>
        <w:tc>
          <w:tcPr>
            <w:tcW w:w="1030" w:type="pct"/>
            <w:tcBorders>
              <w:bottom w:val="single" w:color="auto" w:sz="12" w:space="0"/>
            </w:tcBorders>
            <w:noWrap w:val="0"/>
            <w:vAlign w:val="top"/>
          </w:tcPr>
          <w:p w14:paraId="09EA61F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95%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 xml:space="preserve">CI </w:t>
            </w:r>
          </w:p>
        </w:tc>
        <w:tc>
          <w:tcPr>
            <w:tcW w:w="612" w:type="pct"/>
            <w:tcBorders>
              <w:bottom w:val="single" w:color="auto" w:sz="12" w:space="0"/>
            </w:tcBorders>
            <w:noWrap w:val="0"/>
            <w:vAlign w:val="top"/>
          </w:tcPr>
          <w:p w14:paraId="2746025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OS</w:t>
            </w:r>
          </w:p>
        </w:tc>
        <w:tc>
          <w:tcPr>
            <w:tcW w:w="779" w:type="pct"/>
            <w:tcBorders>
              <w:bottom w:val="single" w:color="auto" w:sz="12" w:space="0"/>
            </w:tcBorders>
            <w:noWrap w:val="0"/>
            <w:vAlign w:val="top"/>
          </w:tcPr>
          <w:p w14:paraId="08954B9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 xml:space="preserve">Chi square </w:t>
            </w:r>
          </w:p>
        </w:tc>
        <w:tc>
          <w:tcPr>
            <w:tcW w:w="406" w:type="pct"/>
            <w:tcBorders>
              <w:bottom w:val="single" w:color="auto" w:sz="12" w:space="0"/>
            </w:tcBorders>
            <w:noWrap w:val="0"/>
            <w:vAlign w:val="top"/>
          </w:tcPr>
          <w:p w14:paraId="7EF578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p</w:t>
            </w:r>
          </w:p>
        </w:tc>
      </w:tr>
      <w:tr w14:paraId="2FEEC4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noWrap w:val="0"/>
            <w:vAlign w:val="top"/>
          </w:tcPr>
          <w:p w14:paraId="149C1D0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TV</w:t>
            </w:r>
          </w:p>
        </w:tc>
        <w:tc>
          <w:tcPr>
            <w:tcW w:w="779" w:type="pct"/>
            <w:noWrap w:val="0"/>
            <w:vAlign w:val="top"/>
          </w:tcPr>
          <w:p w14:paraId="3300BA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89</w:t>
            </w:r>
          </w:p>
        </w:tc>
        <w:tc>
          <w:tcPr>
            <w:tcW w:w="779" w:type="pct"/>
            <w:noWrap w:val="0"/>
            <w:vAlign w:val="top"/>
          </w:tcPr>
          <w:p w14:paraId="4C4AFB0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≥</w:t>
            </w: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30.81</w:t>
            </w:r>
          </w:p>
        </w:tc>
        <w:tc>
          <w:tcPr>
            <w:tcW w:w="1030" w:type="pct"/>
            <w:noWrap w:val="0"/>
            <w:vAlign w:val="top"/>
          </w:tcPr>
          <w:p w14:paraId="6D0D8AB4">
            <w:pPr>
              <w:autoSpaceDE w:val="0"/>
              <w:autoSpaceDN w:val="0"/>
              <w:adjustRightInd w:val="0"/>
              <w:spacing w:line="360" w:lineRule="auto"/>
              <w:ind w:firstLine="90" w:firstLineChars="50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54.012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57.117</w:t>
            </w:r>
          </w:p>
        </w:tc>
        <w:tc>
          <w:tcPr>
            <w:tcW w:w="612" w:type="pct"/>
            <w:noWrap w:val="0"/>
            <w:vAlign w:val="top"/>
          </w:tcPr>
          <w:p w14:paraId="65ED1B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66.3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restart"/>
            <w:noWrap w:val="0"/>
            <w:vAlign w:val="top"/>
          </w:tcPr>
          <w:p w14:paraId="64C8781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20.847</w:t>
            </w:r>
          </w:p>
        </w:tc>
        <w:tc>
          <w:tcPr>
            <w:tcW w:w="406" w:type="pct"/>
            <w:vMerge w:val="restart"/>
            <w:noWrap w:val="0"/>
            <w:vAlign w:val="top"/>
          </w:tcPr>
          <w:p w14:paraId="3B90B09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0.000</w:t>
            </w:r>
          </w:p>
        </w:tc>
      </w:tr>
      <w:tr w14:paraId="1B634D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noWrap w:val="0"/>
            <w:vAlign w:val="top"/>
          </w:tcPr>
          <w:p w14:paraId="684D5E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9" w:type="pct"/>
            <w:noWrap w:val="0"/>
            <w:vAlign w:val="top"/>
          </w:tcPr>
          <w:p w14:paraId="7D6A48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233</w:t>
            </w:r>
          </w:p>
        </w:tc>
        <w:tc>
          <w:tcPr>
            <w:tcW w:w="779" w:type="pct"/>
            <w:noWrap w:val="0"/>
            <w:vAlign w:val="top"/>
          </w:tcPr>
          <w:p w14:paraId="1AFFB781">
            <w:pPr>
              <w:autoSpaceDE w:val="0"/>
              <w:autoSpaceDN w:val="0"/>
              <w:adjustRightInd w:val="0"/>
              <w:spacing w:line="320" w:lineRule="atLeast"/>
              <w:ind w:right="60" w:firstLine="90" w:firstLineChars="50"/>
              <w:jc w:val="center"/>
              <w:rPr>
                <w:rFonts w:hint="default" w:ascii="Times New Roman" w:hAnsi="Times New Roman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&lt;</w:t>
            </w: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30.81</w:t>
            </w:r>
          </w:p>
        </w:tc>
        <w:tc>
          <w:tcPr>
            <w:tcW w:w="1030" w:type="pct"/>
            <w:noWrap w:val="0"/>
            <w:vAlign w:val="top"/>
          </w:tcPr>
          <w:p w14:paraId="0C95658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 xml:space="preserve"> 43.430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51.076</w:t>
            </w:r>
          </w:p>
        </w:tc>
        <w:tc>
          <w:tcPr>
            <w:tcW w:w="612" w:type="pct"/>
            <w:noWrap w:val="0"/>
            <w:vAlign w:val="top"/>
          </w:tcPr>
          <w:p w14:paraId="313FF94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86.3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continue"/>
            <w:noWrap w:val="0"/>
            <w:vAlign w:val="top"/>
          </w:tcPr>
          <w:p w14:paraId="7E332A7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noWrap w:val="0"/>
            <w:vAlign w:val="top"/>
          </w:tcPr>
          <w:p w14:paraId="756FF0B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14:paraId="6557C0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noWrap w:val="0"/>
            <w:vAlign w:val="top"/>
          </w:tcPr>
          <w:p w14:paraId="56B0E4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LVSI</w:t>
            </w:r>
          </w:p>
        </w:tc>
        <w:tc>
          <w:tcPr>
            <w:tcW w:w="779" w:type="pct"/>
            <w:noWrap w:val="0"/>
            <w:vAlign w:val="top"/>
          </w:tcPr>
          <w:p w14:paraId="1CACBCF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96</w:t>
            </w:r>
          </w:p>
        </w:tc>
        <w:tc>
          <w:tcPr>
            <w:tcW w:w="779" w:type="pct"/>
            <w:noWrap w:val="0"/>
            <w:vAlign w:val="top"/>
          </w:tcPr>
          <w:p w14:paraId="61452937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both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 xml:space="preserve">    +</w:t>
            </w:r>
          </w:p>
        </w:tc>
        <w:tc>
          <w:tcPr>
            <w:tcW w:w="1030" w:type="pct"/>
            <w:noWrap w:val="0"/>
            <w:vAlign w:val="top"/>
          </w:tcPr>
          <w:p w14:paraId="7CCA8AF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46.518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53.072</w:t>
            </w:r>
          </w:p>
        </w:tc>
        <w:tc>
          <w:tcPr>
            <w:tcW w:w="612" w:type="pct"/>
            <w:noWrap w:val="0"/>
            <w:vAlign w:val="top"/>
          </w:tcPr>
          <w:p w14:paraId="0F7078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69.8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restart"/>
            <w:noWrap w:val="0"/>
            <w:vAlign w:val="top"/>
          </w:tcPr>
          <w:p w14:paraId="7DEFAD8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10.759</w:t>
            </w:r>
          </w:p>
        </w:tc>
        <w:tc>
          <w:tcPr>
            <w:tcW w:w="406" w:type="pct"/>
            <w:vMerge w:val="restart"/>
            <w:noWrap w:val="0"/>
            <w:vAlign w:val="top"/>
          </w:tcPr>
          <w:p w14:paraId="3B59443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001</w:t>
            </w:r>
          </w:p>
        </w:tc>
      </w:tr>
      <w:tr w14:paraId="103DFC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noWrap w:val="0"/>
            <w:vAlign w:val="top"/>
          </w:tcPr>
          <w:p w14:paraId="748734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9" w:type="pct"/>
            <w:noWrap w:val="0"/>
            <w:vAlign w:val="top"/>
          </w:tcPr>
          <w:p w14:paraId="29EFEB8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 xml:space="preserve">     226</w:t>
            </w:r>
          </w:p>
        </w:tc>
        <w:tc>
          <w:tcPr>
            <w:tcW w:w="779" w:type="pct"/>
            <w:noWrap w:val="0"/>
            <w:vAlign w:val="top"/>
          </w:tcPr>
          <w:p w14:paraId="41C887ED">
            <w:pPr>
              <w:autoSpaceDE w:val="0"/>
              <w:autoSpaceDN w:val="0"/>
              <w:adjustRightInd w:val="0"/>
              <w:spacing w:line="320" w:lineRule="atLeast"/>
              <w:ind w:right="60" w:firstLine="90" w:firstLineChars="50"/>
              <w:jc w:val="both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 xml:space="preserve">   —</w:t>
            </w:r>
          </w:p>
        </w:tc>
        <w:tc>
          <w:tcPr>
            <w:tcW w:w="1030" w:type="pct"/>
            <w:noWrap w:val="0"/>
            <w:vAlign w:val="top"/>
          </w:tcPr>
          <w:p w14:paraId="266D6F1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53.085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56.658</w:t>
            </w:r>
          </w:p>
        </w:tc>
        <w:tc>
          <w:tcPr>
            <w:tcW w:w="612" w:type="pct"/>
            <w:noWrap w:val="0"/>
            <w:vAlign w:val="top"/>
          </w:tcPr>
          <w:p w14:paraId="6530D58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85.4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continue"/>
            <w:noWrap w:val="0"/>
            <w:vAlign w:val="top"/>
          </w:tcPr>
          <w:p w14:paraId="6B53166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noWrap w:val="0"/>
            <w:vAlign w:val="top"/>
          </w:tcPr>
          <w:p w14:paraId="06E073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14:paraId="53886C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noWrap w:val="0"/>
            <w:vAlign w:val="top"/>
          </w:tcPr>
          <w:p w14:paraId="1FA4C3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MTD</w:t>
            </w:r>
          </w:p>
        </w:tc>
        <w:tc>
          <w:tcPr>
            <w:tcW w:w="779" w:type="pct"/>
            <w:noWrap w:val="0"/>
            <w:vAlign w:val="top"/>
          </w:tcPr>
          <w:p w14:paraId="2034772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170</w:t>
            </w:r>
          </w:p>
        </w:tc>
        <w:tc>
          <w:tcPr>
            <w:tcW w:w="779" w:type="pct"/>
            <w:noWrap w:val="0"/>
            <w:vAlign w:val="top"/>
          </w:tcPr>
          <w:p w14:paraId="6C9248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eastAsia" w:ascii="Times New Roman" w:hAnsi="Times New Roman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&lt;</w:t>
            </w: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30" w:type="pct"/>
            <w:noWrap w:val="0"/>
            <w:vAlign w:val="top"/>
          </w:tcPr>
          <w:p w14:paraId="7E9A6D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52.402-</w:t>
            </w: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56.427</w:t>
            </w:r>
          </w:p>
        </w:tc>
        <w:tc>
          <w:tcPr>
            <w:tcW w:w="612" w:type="pct"/>
            <w:noWrap w:val="0"/>
            <w:vAlign w:val="top"/>
          </w:tcPr>
          <w:p w14:paraId="457586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83.5%</w:t>
            </w:r>
          </w:p>
        </w:tc>
        <w:tc>
          <w:tcPr>
            <w:tcW w:w="779" w:type="pct"/>
            <w:vMerge w:val="restart"/>
            <w:noWrap w:val="0"/>
            <w:vAlign w:val="top"/>
          </w:tcPr>
          <w:p w14:paraId="3EFBBBC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2.109</w:t>
            </w:r>
          </w:p>
        </w:tc>
        <w:tc>
          <w:tcPr>
            <w:tcW w:w="406" w:type="pct"/>
            <w:vMerge w:val="restart"/>
            <w:noWrap w:val="0"/>
            <w:vAlign w:val="top"/>
          </w:tcPr>
          <w:p w14:paraId="1CAED61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0.146</w:t>
            </w:r>
          </w:p>
        </w:tc>
      </w:tr>
      <w:tr w14:paraId="0AFA40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noWrap w:val="0"/>
            <w:vAlign w:val="top"/>
          </w:tcPr>
          <w:p w14:paraId="598B1EB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9" w:type="pct"/>
            <w:noWrap w:val="0"/>
            <w:vAlign w:val="top"/>
          </w:tcPr>
          <w:p w14:paraId="65E4743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 xml:space="preserve">     152</w:t>
            </w:r>
          </w:p>
        </w:tc>
        <w:tc>
          <w:tcPr>
            <w:tcW w:w="779" w:type="pct"/>
            <w:noWrap w:val="0"/>
            <w:vAlign w:val="top"/>
          </w:tcPr>
          <w:p w14:paraId="63AB7A3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eastAsia" w:ascii="Times New Roman" w:hAnsi="Times New Roman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≥</w:t>
            </w: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30" w:type="pct"/>
            <w:noWrap w:val="0"/>
            <w:vAlign w:val="top"/>
          </w:tcPr>
          <w:p w14:paraId="4DE2457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49.613-54.583</w:t>
            </w:r>
          </w:p>
        </w:tc>
        <w:tc>
          <w:tcPr>
            <w:tcW w:w="612" w:type="pct"/>
            <w:noWrap w:val="0"/>
            <w:vAlign w:val="top"/>
          </w:tcPr>
          <w:p w14:paraId="2B661BB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77.6%</w:t>
            </w:r>
          </w:p>
        </w:tc>
        <w:tc>
          <w:tcPr>
            <w:tcW w:w="779" w:type="pct"/>
            <w:vMerge w:val="continue"/>
            <w:noWrap w:val="0"/>
            <w:vAlign w:val="top"/>
          </w:tcPr>
          <w:p w14:paraId="33FC8C2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noWrap w:val="0"/>
            <w:vAlign w:val="top"/>
          </w:tcPr>
          <w:p w14:paraId="6A25D04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14:paraId="37F3F7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noWrap w:val="0"/>
            <w:vAlign w:val="top"/>
          </w:tcPr>
          <w:p w14:paraId="17E0A3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LNM</w:t>
            </w:r>
          </w:p>
        </w:tc>
        <w:tc>
          <w:tcPr>
            <w:tcW w:w="779" w:type="pct"/>
            <w:noWrap w:val="0"/>
            <w:vAlign w:val="top"/>
          </w:tcPr>
          <w:p w14:paraId="1861FB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89</w:t>
            </w:r>
          </w:p>
        </w:tc>
        <w:tc>
          <w:tcPr>
            <w:tcW w:w="779" w:type="pct"/>
            <w:noWrap w:val="0"/>
            <w:vAlign w:val="top"/>
          </w:tcPr>
          <w:p w14:paraId="0219113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30" w:type="pct"/>
            <w:noWrap w:val="0"/>
            <w:vAlign w:val="top"/>
          </w:tcPr>
          <w:p w14:paraId="6C037B8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42.349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49.706</w:t>
            </w:r>
          </w:p>
        </w:tc>
        <w:tc>
          <w:tcPr>
            <w:tcW w:w="612" w:type="pct"/>
            <w:noWrap w:val="0"/>
            <w:vAlign w:val="top"/>
          </w:tcPr>
          <w:p w14:paraId="01EFDC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59.6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restart"/>
            <w:noWrap w:val="0"/>
            <w:vAlign w:val="top"/>
          </w:tcPr>
          <w:p w14:paraId="5DDC3E5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39.433</w:t>
            </w:r>
          </w:p>
        </w:tc>
        <w:tc>
          <w:tcPr>
            <w:tcW w:w="406" w:type="pct"/>
            <w:vMerge w:val="restart"/>
            <w:noWrap w:val="0"/>
            <w:vAlign w:val="top"/>
          </w:tcPr>
          <w:p w14:paraId="218C728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0.000</w:t>
            </w:r>
          </w:p>
        </w:tc>
      </w:tr>
      <w:tr w14:paraId="5D5748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noWrap w:val="0"/>
            <w:vAlign w:val="top"/>
          </w:tcPr>
          <w:p w14:paraId="1C07311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9" w:type="pct"/>
            <w:noWrap w:val="0"/>
            <w:vAlign w:val="top"/>
          </w:tcPr>
          <w:p w14:paraId="29D1636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233</w:t>
            </w:r>
          </w:p>
        </w:tc>
        <w:tc>
          <w:tcPr>
            <w:tcW w:w="779" w:type="pct"/>
            <w:noWrap w:val="0"/>
            <w:vAlign w:val="top"/>
          </w:tcPr>
          <w:p w14:paraId="6FF9680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1030" w:type="pct"/>
            <w:noWrap w:val="0"/>
            <w:vAlign w:val="top"/>
          </w:tcPr>
          <w:p w14:paraId="11DCC5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54.523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57.610</w:t>
            </w:r>
          </w:p>
        </w:tc>
        <w:tc>
          <w:tcPr>
            <w:tcW w:w="612" w:type="pct"/>
            <w:noWrap w:val="0"/>
            <w:vAlign w:val="top"/>
          </w:tcPr>
          <w:p w14:paraId="5FBB16C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88.8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continue"/>
            <w:noWrap w:val="0"/>
            <w:vAlign w:val="top"/>
          </w:tcPr>
          <w:p w14:paraId="24340B3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noWrap w:val="0"/>
            <w:vAlign w:val="top"/>
          </w:tcPr>
          <w:p w14:paraId="4792F9D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14:paraId="7F9E1E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noWrap w:val="0"/>
            <w:vAlign w:val="top"/>
          </w:tcPr>
          <w:p w14:paraId="1067571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RT</w:t>
            </w:r>
          </w:p>
        </w:tc>
        <w:tc>
          <w:tcPr>
            <w:tcW w:w="779" w:type="pct"/>
            <w:noWrap w:val="0"/>
            <w:vAlign w:val="top"/>
          </w:tcPr>
          <w:p w14:paraId="7C9C5EA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277</w:t>
            </w:r>
          </w:p>
        </w:tc>
        <w:tc>
          <w:tcPr>
            <w:tcW w:w="779" w:type="pct"/>
            <w:noWrap w:val="0"/>
            <w:vAlign w:val="top"/>
          </w:tcPr>
          <w:p w14:paraId="1B388D0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30" w:type="pct"/>
            <w:noWrap w:val="0"/>
            <w:vAlign w:val="top"/>
          </w:tcPr>
          <w:p w14:paraId="7E3170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51.541-55.008</w:t>
            </w:r>
          </w:p>
        </w:tc>
        <w:tc>
          <w:tcPr>
            <w:tcW w:w="612" w:type="pct"/>
            <w:noWrap w:val="0"/>
            <w:vAlign w:val="top"/>
          </w:tcPr>
          <w:p w14:paraId="700FD3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80.9%</w:t>
            </w:r>
          </w:p>
        </w:tc>
        <w:tc>
          <w:tcPr>
            <w:tcW w:w="779" w:type="pct"/>
            <w:vMerge w:val="restart"/>
            <w:noWrap w:val="0"/>
            <w:vAlign w:val="top"/>
          </w:tcPr>
          <w:p w14:paraId="538624A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0.052</w:t>
            </w:r>
          </w:p>
        </w:tc>
        <w:tc>
          <w:tcPr>
            <w:tcW w:w="406" w:type="pct"/>
            <w:vMerge w:val="restart"/>
            <w:noWrap w:val="0"/>
            <w:vAlign w:val="top"/>
          </w:tcPr>
          <w:p w14:paraId="72FB9B9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0.820</w:t>
            </w:r>
          </w:p>
        </w:tc>
      </w:tr>
      <w:tr w14:paraId="43D79E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noWrap w:val="0"/>
            <w:vAlign w:val="top"/>
          </w:tcPr>
          <w:p w14:paraId="7D5C4CD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9" w:type="pct"/>
            <w:noWrap w:val="0"/>
            <w:vAlign w:val="top"/>
          </w:tcPr>
          <w:p w14:paraId="0FC2C01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779" w:type="pct"/>
            <w:noWrap w:val="0"/>
            <w:vAlign w:val="top"/>
          </w:tcPr>
          <w:p w14:paraId="323E041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1030" w:type="pct"/>
            <w:noWrap w:val="0"/>
            <w:vAlign w:val="top"/>
          </w:tcPr>
          <w:p w14:paraId="320ADA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49.872-57.491</w:t>
            </w:r>
          </w:p>
        </w:tc>
        <w:tc>
          <w:tcPr>
            <w:tcW w:w="612" w:type="pct"/>
            <w:noWrap w:val="0"/>
            <w:vAlign w:val="top"/>
          </w:tcPr>
          <w:p w14:paraId="185481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80.0%</w:t>
            </w:r>
          </w:p>
        </w:tc>
        <w:tc>
          <w:tcPr>
            <w:tcW w:w="779" w:type="pct"/>
            <w:vMerge w:val="continue"/>
            <w:noWrap w:val="0"/>
            <w:vAlign w:val="top"/>
          </w:tcPr>
          <w:p w14:paraId="6AB798C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noWrap w:val="0"/>
            <w:vAlign w:val="top"/>
          </w:tcPr>
          <w:p w14:paraId="668E897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</w:tbl>
    <w:p w14:paraId="00C071BD"/>
    <w:p w14:paraId="3CC579C9"/>
    <w:p w14:paraId="321A141D"/>
    <w:p w14:paraId="321F9AAF"/>
    <w:p w14:paraId="7BC0FC8A"/>
    <w:p w14:paraId="26383D71"/>
    <w:p w14:paraId="45899F1A"/>
    <w:p w14:paraId="171A7E4B"/>
    <w:p w14:paraId="3BD1E4E4">
      <w:pPr>
        <w:widowControl w:val="0"/>
        <w:autoSpaceDE w:val="0"/>
        <w:autoSpaceDN w:val="0"/>
        <w:adjustRightInd w:val="0"/>
        <w:spacing w:line="360" w:lineRule="auto"/>
        <w:ind w:firstLine="482" w:firstLineChars="200"/>
        <w:jc w:val="center"/>
        <w:rPr>
          <w:rFonts w:hint="eastAsia" w:ascii="Times New Roman" w:hAnsi="Times New Roman"/>
          <w:b/>
          <w:bCs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kern w:val="2"/>
          <w:sz w:val="24"/>
          <w:szCs w:val="24"/>
          <w:lang w:bidi="ar-SA"/>
        </w:rPr>
        <w:t>Table 4: Results of Univariate Survival Analysis</w:t>
      </w:r>
    </w:p>
    <w:tbl>
      <w:tblPr>
        <w:tblStyle w:val="2"/>
        <w:tblpPr w:leftFromText="180" w:rightFromText="180" w:vertAnchor="text" w:horzAnchor="page" w:tblpX="1799" w:tblpY="457"/>
        <w:tblOverlap w:val="never"/>
        <w:tblW w:w="4997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1328"/>
        <w:gridCol w:w="1328"/>
        <w:gridCol w:w="1756"/>
        <w:gridCol w:w="1043"/>
        <w:gridCol w:w="1328"/>
        <w:gridCol w:w="692"/>
      </w:tblGrid>
      <w:tr w14:paraId="3C9F2B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tcBorders>
              <w:bottom w:val="single" w:color="auto" w:sz="12" w:space="0"/>
            </w:tcBorders>
            <w:noWrap w:val="0"/>
            <w:vAlign w:val="top"/>
          </w:tcPr>
          <w:p w14:paraId="0AA51C4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F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actor</w:t>
            </w:r>
          </w:p>
        </w:tc>
        <w:tc>
          <w:tcPr>
            <w:tcW w:w="779" w:type="pct"/>
            <w:tcBorders>
              <w:bottom w:val="single" w:color="auto" w:sz="12" w:space="0"/>
            </w:tcBorders>
            <w:noWrap w:val="0"/>
            <w:vAlign w:val="top"/>
          </w:tcPr>
          <w:p w14:paraId="0142E00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779" w:type="pct"/>
            <w:tcBorders>
              <w:bottom w:val="single" w:color="auto" w:sz="12" w:space="0"/>
            </w:tcBorders>
            <w:shd w:val="clear" w:color="auto" w:fill="auto"/>
            <w:noWrap w:val="0"/>
            <w:vAlign w:val="top"/>
          </w:tcPr>
          <w:p w14:paraId="30A8A4B0">
            <w:pPr>
              <w:wordWrap/>
              <w:autoSpaceDE w:val="0"/>
              <w:autoSpaceDN w:val="0"/>
              <w:adjustRightInd w:val="0"/>
              <w:spacing w:line="320" w:lineRule="atLeast"/>
              <w:ind w:right="420" w:rightChars="0"/>
              <w:jc w:val="both"/>
              <w:rPr>
                <w:rFonts w:hint="default" w:ascii="宋体" w:hAnsi="宋体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15"/>
                <w:szCs w:val="15"/>
              </w:rPr>
              <w:t>Boundary Point</w:t>
            </w:r>
          </w:p>
        </w:tc>
        <w:tc>
          <w:tcPr>
            <w:tcW w:w="1030" w:type="pct"/>
            <w:tcBorders>
              <w:bottom w:val="single" w:color="auto" w:sz="12" w:space="0"/>
            </w:tcBorders>
            <w:noWrap w:val="0"/>
            <w:vAlign w:val="top"/>
          </w:tcPr>
          <w:p w14:paraId="017A138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95%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CI</w:t>
            </w:r>
          </w:p>
        </w:tc>
        <w:tc>
          <w:tcPr>
            <w:tcW w:w="612" w:type="pct"/>
            <w:tcBorders>
              <w:bottom w:val="single" w:color="auto" w:sz="12" w:space="0"/>
            </w:tcBorders>
            <w:noWrap w:val="0"/>
            <w:vAlign w:val="top"/>
          </w:tcPr>
          <w:p w14:paraId="696BB0B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OS</w:t>
            </w:r>
          </w:p>
        </w:tc>
        <w:tc>
          <w:tcPr>
            <w:tcW w:w="779" w:type="pct"/>
            <w:tcBorders>
              <w:bottom w:val="single" w:color="auto" w:sz="12" w:space="0"/>
            </w:tcBorders>
            <w:noWrap w:val="0"/>
            <w:vAlign w:val="top"/>
          </w:tcPr>
          <w:p w14:paraId="748CD34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 xml:space="preserve">Chi square </w:t>
            </w:r>
          </w:p>
        </w:tc>
        <w:tc>
          <w:tcPr>
            <w:tcW w:w="406" w:type="pct"/>
            <w:tcBorders>
              <w:bottom w:val="single" w:color="auto" w:sz="12" w:space="0"/>
            </w:tcBorders>
            <w:noWrap w:val="0"/>
            <w:vAlign w:val="top"/>
          </w:tcPr>
          <w:p w14:paraId="06ABA0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p</w:t>
            </w:r>
          </w:p>
        </w:tc>
      </w:tr>
      <w:tr w14:paraId="76A14D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noWrap w:val="0"/>
            <w:vAlign w:val="top"/>
          </w:tcPr>
          <w:p w14:paraId="5F0AC4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TV</w:t>
            </w:r>
          </w:p>
        </w:tc>
        <w:tc>
          <w:tcPr>
            <w:tcW w:w="779" w:type="pct"/>
            <w:noWrap w:val="0"/>
            <w:vAlign w:val="top"/>
          </w:tcPr>
          <w:p w14:paraId="2913E2B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79" w:type="pct"/>
            <w:noWrap w:val="0"/>
            <w:vAlign w:val="top"/>
          </w:tcPr>
          <w:p w14:paraId="20D6EEC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≥</w:t>
            </w: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19.50</w:t>
            </w:r>
          </w:p>
        </w:tc>
        <w:tc>
          <w:tcPr>
            <w:tcW w:w="1030" w:type="pct"/>
            <w:noWrap w:val="0"/>
            <w:vAlign w:val="top"/>
          </w:tcPr>
          <w:p w14:paraId="35196E38">
            <w:pPr>
              <w:autoSpaceDE w:val="0"/>
              <w:autoSpaceDN w:val="0"/>
              <w:adjustRightInd w:val="0"/>
              <w:spacing w:line="360" w:lineRule="auto"/>
              <w:ind w:firstLine="90" w:firstLineChars="50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51.590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58.274</w:t>
            </w:r>
          </w:p>
        </w:tc>
        <w:tc>
          <w:tcPr>
            <w:tcW w:w="612" w:type="pct"/>
            <w:noWrap w:val="0"/>
            <w:vAlign w:val="top"/>
          </w:tcPr>
          <w:p w14:paraId="4DB35D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87.7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restart"/>
            <w:noWrap w:val="0"/>
            <w:vAlign w:val="top"/>
          </w:tcPr>
          <w:p w14:paraId="7C87809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4.350</w:t>
            </w:r>
          </w:p>
        </w:tc>
        <w:tc>
          <w:tcPr>
            <w:tcW w:w="406" w:type="pct"/>
            <w:vMerge w:val="restart"/>
            <w:noWrap w:val="0"/>
            <w:vAlign w:val="top"/>
          </w:tcPr>
          <w:p w14:paraId="41C2516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0.037</w:t>
            </w:r>
          </w:p>
        </w:tc>
      </w:tr>
      <w:tr w14:paraId="52F9A4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611" w:type="pct"/>
            <w:vMerge w:val="continue"/>
            <w:noWrap w:val="0"/>
            <w:vAlign w:val="top"/>
          </w:tcPr>
          <w:p w14:paraId="4109BDA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9" w:type="pct"/>
            <w:noWrap w:val="0"/>
            <w:vAlign w:val="top"/>
          </w:tcPr>
          <w:p w14:paraId="22AF6F4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257</w:t>
            </w:r>
          </w:p>
        </w:tc>
        <w:tc>
          <w:tcPr>
            <w:tcW w:w="779" w:type="pct"/>
            <w:noWrap w:val="0"/>
            <w:vAlign w:val="top"/>
          </w:tcPr>
          <w:p w14:paraId="7870100E">
            <w:pPr>
              <w:autoSpaceDE w:val="0"/>
              <w:autoSpaceDN w:val="0"/>
              <w:adjustRightInd w:val="0"/>
              <w:spacing w:line="320" w:lineRule="atLeast"/>
              <w:ind w:right="60" w:firstLine="90" w:firstLineChars="50"/>
              <w:jc w:val="center"/>
              <w:rPr>
                <w:rFonts w:hint="default" w:ascii="Times New Roman" w:hAnsi="Times New Roman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&lt;</w:t>
            </w: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19.50</w:t>
            </w:r>
          </w:p>
        </w:tc>
        <w:tc>
          <w:tcPr>
            <w:tcW w:w="1030" w:type="pct"/>
            <w:noWrap w:val="0"/>
            <w:vAlign w:val="top"/>
          </w:tcPr>
          <w:p w14:paraId="0203663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 xml:space="preserve"> 57.551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59.383</w:t>
            </w:r>
          </w:p>
        </w:tc>
        <w:tc>
          <w:tcPr>
            <w:tcW w:w="612" w:type="pct"/>
            <w:noWrap w:val="0"/>
            <w:vAlign w:val="top"/>
          </w:tcPr>
          <w:p w14:paraId="1DA7281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94.5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continue"/>
            <w:noWrap w:val="0"/>
            <w:vAlign w:val="top"/>
          </w:tcPr>
          <w:p w14:paraId="57EE997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noWrap w:val="0"/>
            <w:vAlign w:val="top"/>
          </w:tcPr>
          <w:p w14:paraId="4C057EB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14:paraId="5C858C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noWrap w:val="0"/>
            <w:vAlign w:val="top"/>
          </w:tcPr>
          <w:p w14:paraId="6826004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VI</w:t>
            </w:r>
          </w:p>
        </w:tc>
        <w:tc>
          <w:tcPr>
            <w:tcW w:w="779" w:type="pct"/>
            <w:noWrap w:val="0"/>
            <w:vAlign w:val="top"/>
          </w:tcPr>
          <w:p w14:paraId="131C9C0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61</w:t>
            </w:r>
          </w:p>
        </w:tc>
        <w:tc>
          <w:tcPr>
            <w:tcW w:w="779" w:type="pct"/>
            <w:noWrap w:val="0"/>
            <w:vAlign w:val="top"/>
          </w:tcPr>
          <w:p w14:paraId="7EFCAB5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both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 xml:space="preserve">    +</w:t>
            </w:r>
          </w:p>
        </w:tc>
        <w:tc>
          <w:tcPr>
            <w:tcW w:w="1030" w:type="pct"/>
            <w:noWrap w:val="0"/>
            <w:vAlign w:val="top"/>
          </w:tcPr>
          <w:p w14:paraId="0E25DA5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53.061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59.409</w:t>
            </w:r>
          </w:p>
        </w:tc>
        <w:tc>
          <w:tcPr>
            <w:tcW w:w="612" w:type="pct"/>
            <w:noWrap w:val="0"/>
            <w:vAlign w:val="top"/>
          </w:tcPr>
          <w:p w14:paraId="64D0555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88.5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restart"/>
            <w:noWrap w:val="0"/>
            <w:vAlign w:val="top"/>
          </w:tcPr>
          <w:p w14:paraId="37ECD4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2.748</w:t>
            </w:r>
          </w:p>
        </w:tc>
        <w:tc>
          <w:tcPr>
            <w:tcW w:w="406" w:type="pct"/>
            <w:vMerge w:val="restart"/>
            <w:noWrap w:val="0"/>
            <w:vAlign w:val="top"/>
          </w:tcPr>
          <w:p w14:paraId="2DBFD1F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097</w:t>
            </w:r>
          </w:p>
        </w:tc>
      </w:tr>
      <w:tr w14:paraId="539EE7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noWrap w:val="0"/>
            <w:vAlign w:val="top"/>
          </w:tcPr>
          <w:p w14:paraId="5D6E24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9" w:type="pct"/>
            <w:noWrap w:val="0"/>
            <w:vAlign w:val="top"/>
          </w:tcPr>
          <w:p w14:paraId="79F0DCC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 xml:space="preserve">     261</w:t>
            </w:r>
          </w:p>
        </w:tc>
        <w:tc>
          <w:tcPr>
            <w:tcW w:w="779" w:type="pct"/>
            <w:noWrap w:val="0"/>
            <w:vAlign w:val="top"/>
          </w:tcPr>
          <w:p w14:paraId="4076362B">
            <w:pPr>
              <w:autoSpaceDE w:val="0"/>
              <w:autoSpaceDN w:val="0"/>
              <w:adjustRightInd w:val="0"/>
              <w:spacing w:line="320" w:lineRule="atLeast"/>
              <w:ind w:right="60" w:firstLine="90" w:firstLineChars="50"/>
              <w:jc w:val="both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 xml:space="preserve">   —</w:t>
            </w:r>
          </w:p>
        </w:tc>
        <w:tc>
          <w:tcPr>
            <w:tcW w:w="1030" w:type="pct"/>
            <w:noWrap w:val="0"/>
            <w:vAlign w:val="top"/>
          </w:tcPr>
          <w:p w14:paraId="49E2245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57.090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59.150</w:t>
            </w:r>
          </w:p>
        </w:tc>
        <w:tc>
          <w:tcPr>
            <w:tcW w:w="612" w:type="pct"/>
            <w:noWrap w:val="0"/>
            <w:vAlign w:val="top"/>
          </w:tcPr>
          <w:p w14:paraId="1A85229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94.3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continue"/>
            <w:noWrap w:val="0"/>
            <w:vAlign w:val="top"/>
          </w:tcPr>
          <w:p w14:paraId="24BB7E2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noWrap w:val="0"/>
            <w:vAlign w:val="top"/>
          </w:tcPr>
          <w:p w14:paraId="6D994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14:paraId="18F217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noWrap w:val="0"/>
            <w:vAlign w:val="top"/>
          </w:tcPr>
          <w:p w14:paraId="7D9E980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MTD</w:t>
            </w:r>
          </w:p>
        </w:tc>
        <w:tc>
          <w:tcPr>
            <w:tcW w:w="779" w:type="pct"/>
            <w:noWrap w:val="0"/>
            <w:vAlign w:val="top"/>
          </w:tcPr>
          <w:p w14:paraId="0BB1443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779" w:type="pct"/>
            <w:noWrap w:val="0"/>
            <w:vAlign w:val="top"/>
          </w:tcPr>
          <w:p w14:paraId="6A5DD52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eastAsia" w:ascii="Times New Roman" w:hAnsi="Times New Roman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≥</w:t>
            </w: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30" w:type="pct"/>
            <w:noWrap w:val="0"/>
            <w:vAlign w:val="top"/>
          </w:tcPr>
          <w:p w14:paraId="1D707B3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49.621-</w:t>
            </w: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58.549</w:t>
            </w:r>
          </w:p>
        </w:tc>
        <w:tc>
          <w:tcPr>
            <w:tcW w:w="612" w:type="pct"/>
            <w:noWrap w:val="0"/>
            <w:vAlign w:val="top"/>
          </w:tcPr>
          <w:p w14:paraId="7B66960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85.7%</w:t>
            </w:r>
          </w:p>
        </w:tc>
        <w:tc>
          <w:tcPr>
            <w:tcW w:w="779" w:type="pct"/>
            <w:vMerge w:val="restart"/>
            <w:noWrap w:val="0"/>
            <w:vAlign w:val="top"/>
          </w:tcPr>
          <w:p w14:paraId="73B521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4.845</w:t>
            </w:r>
          </w:p>
        </w:tc>
        <w:tc>
          <w:tcPr>
            <w:tcW w:w="406" w:type="pct"/>
            <w:vMerge w:val="restart"/>
            <w:noWrap w:val="0"/>
            <w:vAlign w:val="top"/>
          </w:tcPr>
          <w:p w14:paraId="0319498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0.028</w:t>
            </w:r>
          </w:p>
        </w:tc>
      </w:tr>
      <w:tr w14:paraId="48C336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noWrap w:val="0"/>
            <w:vAlign w:val="top"/>
          </w:tcPr>
          <w:p w14:paraId="622717A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9" w:type="pct"/>
            <w:noWrap w:val="0"/>
            <w:vAlign w:val="top"/>
          </w:tcPr>
          <w:p w14:paraId="5BC80E9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280</w:t>
            </w:r>
          </w:p>
        </w:tc>
        <w:tc>
          <w:tcPr>
            <w:tcW w:w="779" w:type="pct"/>
            <w:noWrap w:val="0"/>
            <w:vAlign w:val="top"/>
          </w:tcPr>
          <w:p w14:paraId="5A35654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eastAsia" w:ascii="Times New Roman" w:hAnsi="Times New Roman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&lt;</w:t>
            </w: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30" w:type="pct"/>
            <w:noWrap w:val="0"/>
            <w:vAlign w:val="top"/>
          </w:tcPr>
          <w:p w14:paraId="4C1FE24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57.389-59.237</w:t>
            </w:r>
          </w:p>
        </w:tc>
        <w:tc>
          <w:tcPr>
            <w:tcW w:w="612" w:type="pct"/>
            <w:noWrap w:val="0"/>
            <w:vAlign w:val="top"/>
          </w:tcPr>
          <w:p w14:paraId="298681B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94.3%</w:t>
            </w:r>
          </w:p>
        </w:tc>
        <w:tc>
          <w:tcPr>
            <w:tcW w:w="779" w:type="pct"/>
            <w:vMerge w:val="continue"/>
            <w:noWrap w:val="0"/>
            <w:vAlign w:val="top"/>
          </w:tcPr>
          <w:p w14:paraId="773CF34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noWrap w:val="0"/>
            <w:vAlign w:val="top"/>
          </w:tcPr>
          <w:p w14:paraId="5FA105F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14:paraId="309194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611" w:type="pct"/>
            <w:vMerge w:val="restart"/>
            <w:noWrap w:val="0"/>
            <w:vAlign w:val="top"/>
          </w:tcPr>
          <w:p w14:paraId="388B61D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LNM</w:t>
            </w:r>
          </w:p>
        </w:tc>
        <w:tc>
          <w:tcPr>
            <w:tcW w:w="779" w:type="pct"/>
            <w:noWrap w:val="0"/>
            <w:vAlign w:val="top"/>
          </w:tcPr>
          <w:p w14:paraId="7271C0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43</w:t>
            </w:r>
          </w:p>
        </w:tc>
        <w:tc>
          <w:tcPr>
            <w:tcW w:w="779" w:type="pct"/>
            <w:noWrap w:val="0"/>
            <w:vAlign w:val="top"/>
          </w:tcPr>
          <w:p w14:paraId="75C288AA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hint="default" w:ascii="Times New Roman" w:hAnsi="Times New Roman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30" w:type="pct"/>
            <w:noWrap w:val="0"/>
            <w:vAlign w:val="top"/>
          </w:tcPr>
          <w:p w14:paraId="4AEC21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49.908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59.556</w:t>
            </w:r>
          </w:p>
        </w:tc>
        <w:tc>
          <w:tcPr>
            <w:tcW w:w="612" w:type="pct"/>
            <w:noWrap w:val="0"/>
            <w:vAlign w:val="top"/>
          </w:tcPr>
          <w:p w14:paraId="6DE038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86.0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restart"/>
            <w:noWrap w:val="0"/>
            <w:vAlign w:val="top"/>
          </w:tcPr>
          <w:p w14:paraId="0855319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5.099</w:t>
            </w:r>
          </w:p>
        </w:tc>
        <w:tc>
          <w:tcPr>
            <w:tcW w:w="406" w:type="pct"/>
            <w:vMerge w:val="restart"/>
            <w:noWrap w:val="0"/>
            <w:vAlign w:val="top"/>
          </w:tcPr>
          <w:p w14:paraId="14F79FB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0.024</w:t>
            </w:r>
          </w:p>
        </w:tc>
      </w:tr>
      <w:tr w14:paraId="35006F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noWrap w:val="0"/>
            <w:vAlign w:val="top"/>
          </w:tcPr>
          <w:p w14:paraId="0C2357B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9" w:type="pct"/>
            <w:noWrap w:val="0"/>
            <w:vAlign w:val="top"/>
          </w:tcPr>
          <w:p w14:paraId="2994F48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279</w:t>
            </w:r>
          </w:p>
        </w:tc>
        <w:tc>
          <w:tcPr>
            <w:tcW w:w="779" w:type="pct"/>
            <w:noWrap w:val="0"/>
            <w:vAlign w:val="top"/>
          </w:tcPr>
          <w:p w14:paraId="33BCA23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both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 xml:space="preserve">     no</w:t>
            </w:r>
          </w:p>
        </w:tc>
        <w:tc>
          <w:tcPr>
            <w:tcW w:w="1030" w:type="pct"/>
            <w:noWrap w:val="0"/>
            <w:vAlign w:val="top"/>
          </w:tcPr>
          <w:p w14:paraId="0B30FD5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57.291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59.155</w:t>
            </w:r>
          </w:p>
        </w:tc>
        <w:tc>
          <w:tcPr>
            <w:tcW w:w="612" w:type="pct"/>
            <w:noWrap w:val="0"/>
            <w:vAlign w:val="top"/>
          </w:tcPr>
          <w:p w14:paraId="3D2CC68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94.3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779" w:type="pct"/>
            <w:vMerge w:val="continue"/>
            <w:noWrap w:val="0"/>
            <w:vAlign w:val="top"/>
          </w:tcPr>
          <w:p w14:paraId="61394B5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noWrap w:val="0"/>
            <w:vAlign w:val="top"/>
          </w:tcPr>
          <w:p w14:paraId="433A8CC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14:paraId="512BAC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restart"/>
            <w:noWrap w:val="0"/>
            <w:vAlign w:val="top"/>
          </w:tcPr>
          <w:p w14:paraId="0557E80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RT</w:t>
            </w:r>
          </w:p>
        </w:tc>
        <w:tc>
          <w:tcPr>
            <w:tcW w:w="779" w:type="pct"/>
            <w:noWrap w:val="0"/>
            <w:vAlign w:val="top"/>
          </w:tcPr>
          <w:p w14:paraId="3EF9E0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209</w:t>
            </w:r>
          </w:p>
        </w:tc>
        <w:tc>
          <w:tcPr>
            <w:tcW w:w="779" w:type="pct"/>
            <w:noWrap w:val="0"/>
            <w:vAlign w:val="top"/>
          </w:tcPr>
          <w:p w14:paraId="421A77F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30" w:type="pct"/>
            <w:noWrap w:val="0"/>
            <w:vAlign w:val="top"/>
          </w:tcPr>
          <w:p w14:paraId="1C2E3B6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56.964-59.920</w:t>
            </w:r>
          </w:p>
        </w:tc>
        <w:tc>
          <w:tcPr>
            <w:tcW w:w="612" w:type="pct"/>
            <w:noWrap w:val="0"/>
            <w:vAlign w:val="top"/>
          </w:tcPr>
          <w:p w14:paraId="3AD49F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92.3%</w:t>
            </w:r>
          </w:p>
        </w:tc>
        <w:tc>
          <w:tcPr>
            <w:tcW w:w="779" w:type="pct"/>
            <w:vMerge w:val="restart"/>
            <w:noWrap w:val="0"/>
            <w:vAlign w:val="top"/>
          </w:tcPr>
          <w:p w14:paraId="77AB3BB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0.664</w:t>
            </w:r>
          </w:p>
        </w:tc>
        <w:tc>
          <w:tcPr>
            <w:tcW w:w="406" w:type="pct"/>
            <w:vMerge w:val="restart"/>
            <w:noWrap w:val="0"/>
            <w:vAlign w:val="top"/>
          </w:tcPr>
          <w:p w14:paraId="20E45F3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0.415</w:t>
            </w:r>
          </w:p>
        </w:tc>
      </w:tr>
      <w:tr w14:paraId="087A51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noWrap w:val="0"/>
            <w:vAlign w:val="top"/>
          </w:tcPr>
          <w:p w14:paraId="4A57011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9" w:type="pct"/>
            <w:noWrap w:val="0"/>
            <w:vAlign w:val="top"/>
          </w:tcPr>
          <w:p w14:paraId="4F5CDC1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113</w:t>
            </w:r>
          </w:p>
        </w:tc>
        <w:tc>
          <w:tcPr>
            <w:tcW w:w="779" w:type="pct"/>
            <w:noWrap w:val="0"/>
            <w:vAlign w:val="top"/>
          </w:tcPr>
          <w:p w14:paraId="320978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kern w:val="0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1030" w:type="pct"/>
            <w:noWrap w:val="0"/>
            <w:vAlign w:val="top"/>
          </w:tcPr>
          <w:p w14:paraId="1B2980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49.872-57.491</w:t>
            </w:r>
          </w:p>
        </w:tc>
        <w:tc>
          <w:tcPr>
            <w:tcW w:w="612" w:type="pct"/>
            <w:noWrap w:val="0"/>
            <w:vAlign w:val="top"/>
          </w:tcPr>
          <w:p w14:paraId="4AC8781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94.7%</w:t>
            </w:r>
          </w:p>
        </w:tc>
        <w:tc>
          <w:tcPr>
            <w:tcW w:w="779" w:type="pct"/>
            <w:vMerge w:val="continue"/>
            <w:noWrap w:val="0"/>
            <w:vAlign w:val="top"/>
          </w:tcPr>
          <w:p w14:paraId="5AF79E7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noWrap w:val="0"/>
            <w:vAlign w:val="top"/>
          </w:tcPr>
          <w:p w14:paraId="7C35765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14:paraId="68B823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611" w:type="pct"/>
            <w:vMerge w:val="restart"/>
            <w:noWrap w:val="0"/>
            <w:vAlign w:val="top"/>
          </w:tcPr>
          <w:p w14:paraId="0A1F15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ID</w:t>
            </w:r>
          </w:p>
        </w:tc>
        <w:tc>
          <w:tcPr>
            <w:tcW w:w="779" w:type="pct"/>
            <w:noWrap w:val="0"/>
            <w:vAlign w:val="top"/>
          </w:tcPr>
          <w:p w14:paraId="621A3C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102</w:t>
            </w:r>
          </w:p>
        </w:tc>
        <w:tc>
          <w:tcPr>
            <w:tcW w:w="779" w:type="pct"/>
            <w:noWrap w:val="0"/>
            <w:vAlign w:val="top"/>
          </w:tcPr>
          <w:p w14:paraId="4164F631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≥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66%</w:t>
            </w:r>
          </w:p>
        </w:tc>
        <w:tc>
          <w:tcPr>
            <w:tcW w:w="1030" w:type="pct"/>
            <w:noWrap w:val="0"/>
            <w:vAlign w:val="top"/>
          </w:tcPr>
          <w:p w14:paraId="398FFC5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53.202-57.993</w:t>
            </w:r>
          </w:p>
        </w:tc>
        <w:tc>
          <w:tcPr>
            <w:tcW w:w="612" w:type="pct"/>
            <w:noWrap w:val="0"/>
            <w:vAlign w:val="top"/>
          </w:tcPr>
          <w:p w14:paraId="0427C84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86.2%</w:t>
            </w:r>
          </w:p>
        </w:tc>
        <w:tc>
          <w:tcPr>
            <w:tcW w:w="779" w:type="pct"/>
            <w:vMerge w:val="restart"/>
            <w:noWrap w:val="0"/>
            <w:vAlign w:val="top"/>
          </w:tcPr>
          <w:p w14:paraId="24905CC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6.051</w:t>
            </w:r>
          </w:p>
        </w:tc>
        <w:tc>
          <w:tcPr>
            <w:tcW w:w="406" w:type="pct"/>
            <w:vMerge w:val="restart"/>
            <w:noWrap w:val="0"/>
            <w:vAlign w:val="top"/>
          </w:tcPr>
          <w:p w14:paraId="0F3FC49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0.014</w:t>
            </w:r>
          </w:p>
        </w:tc>
      </w:tr>
      <w:tr w14:paraId="6D542C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1" w:type="pct"/>
            <w:vMerge w:val="continue"/>
            <w:noWrap w:val="0"/>
            <w:vAlign w:val="top"/>
          </w:tcPr>
          <w:p w14:paraId="150EE2E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779" w:type="pct"/>
            <w:noWrap w:val="0"/>
            <w:vAlign w:val="top"/>
          </w:tcPr>
          <w:p w14:paraId="2C2255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  <w:t>220</w:t>
            </w:r>
          </w:p>
        </w:tc>
        <w:tc>
          <w:tcPr>
            <w:tcW w:w="779" w:type="pct"/>
            <w:noWrap w:val="0"/>
            <w:vAlign w:val="top"/>
          </w:tcPr>
          <w:p w14:paraId="70E15A75">
            <w:pPr>
              <w:autoSpaceDE w:val="0"/>
              <w:autoSpaceDN w:val="0"/>
              <w:adjustRightInd w:val="0"/>
              <w:spacing w:line="320" w:lineRule="atLeast"/>
              <w:ind w:left="60" w:leftChars="0" w:right="60" w:rightChars="0"/>
              <w:jc w:val="center"/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&lt;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66%</w:t>
            </w:r>
          </w:p>
        </w:tc>
        <w:tc>
          <w:tcPr>
            <w:tcW w:w="1030" w:type="pct"/>
            <w:noWrap w:val="0"/>
            <w:vAlign w:val="top"/>
          </w:tcPr>
          <w:p w14:paraId="6FCBB7C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57.122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59.803</w:t>
            </w:r>
          </w:p>
        </w:tc>
        <w:tc>
          <w:tcPr>
            <w:tcW w:w="612" w:type="pct"/>
            <w:noWrap w:val="0"/>
            <w:vAlign w:val="top"/>
          </w:tcPr>
          <w:p w14:paraId="5372799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lang w:val="en-US" w:eastAsia="zh-CN"/>
              </w:rPr>
              <w:t>95.5%</w:t>
            </w:r>
          </w:p>
        </w:tc>
        <w:tc>
          <w:tcPr>
            <w:tcW w:w="779" w:type="pct"/>
            <w:vMerge w:val="continue"/>
            <w:noWrap w:val="0"/>
            <w:vAlign w:val="top"/>
          </w:tcPr>
          <w:p w14:paraId="5DB2DCD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06" w:type="pct"/>
            <w:vMerge w:val="continue"/>
            <w:noWrap w:val="0"/>
            <w:vAlign w:val="top"/>
          </w:tcPr>
          <w:p w14:paraId="5347BC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</w:tbl>
    <w:p w14:paraId="4609A7E6">
      <w:bookmarkStart w:id="0" w:name="_GoBack"/>
      <w:bookmarkEnd w:id="0"/>
    </w:p>
    <w:p w14:paraId="4FB0374C"/>
    <w:p w14:paraId="46C92752"/>
    <w:p w14:paraId="662C8DFE"/>
    <w:p w14:paraId="07D3A8AA"/>
    <w:p w14:paraId="515E4FB4"/>
    <w:p w14:paraId="1C39BE1F"/>
    <w:p w14:paraId="54973614"/>
    <w:p w14:paraId="22CD9AD8"/>
    <w:p w14:paraId="78E6AC37"/>
    <w:p w14:paraId="58AFEF61"/>
    <w:p w14:paraId="441BAEFC"/>
    <w:p w14:paraId="4017CD9A"/>
    <w:p w14:paraId="59CF7977"/>
    <w:p w14:paraId="776B5F21"/>
    <w:p w14:paraId="03A2B3DC"/>
    <w:p w14:paraId="13443D67"/>
    <w:p w14:paraId="6F8FE3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Microsoft JhengHei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3YmY1NDAyYjUxNzNmYTViMDk3MGIyZjY2YWZmNWQifQ=="/>
  </w:docVars>
  <w:rsids>
    <w:rsidRoot w:val="4D3D6EAE"/>
    <w:rsid w:val="092456F5"/>
    <w:rsid w:val="18F11FF7"/>
    <w:rsid w:val="1A8D6D2A"/>
    <w:rsid w:val="1E590A46"/>
    <w:rsid w:val="2C154D84"/>
    <w:rsid w:val="4D3D6EAE"/>
    <w:rsid w:val="5AE64E90"/>
    <w:rsid w:val="5E19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</Words>
  <Characters>607</Characters>
  <Lines>0</Lines>
  <Paragraphs>0</Paragraphs>
  <TotalTime>0</TotalTime>
  <ScaleCrop>false</ScaleCrop>
  <LinksUpToDate>false</LinksUpToDate>
  <CharactersWithSpaces>641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2023-12-06T09:58:00Z</dcterms:created>
  <dc:creator>韩晓栋</dc:creator>
  <cp:lastModifiedBy>韩晓栋</cp:lastModifiedBy>
  <dcterms:modified xsi:type="dcterms:W3CDTF">2025-03-26T01:06:09Z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E2F51A2DD47248229BC47878A245F94A_11</vt:lpwstr>
  </property>
  <property fmtid="{D5CDD505-2E9C-101B-9397-08002B2CF9AE}" pid="4" name="KSOTemplateDocerSaveRecord">
    <vt:lpwstr>eyJoZGlkIjoiYTc3YmY1NDAyYjUxNzNmYTViMDk3MGIyZjY2YWZmNWQiLCJ1c2VySWQiOiIxMDEzNjQ3NTc0In0=</vt:lpwstr>
  </property>
</Properties>
</file>