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6AD24"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kern w:val="2"/>
          <w:sz w:val="24"/>
          <w:szCs w:val="24"/>
          <w:lang w:bidi="ar-SA"/>
        </w:rPr>
      </w:pPr>
    </w:p>
    <w:p w14:paraId="01EB0B75"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kern w:val="2"/>
          <w:sz w:val="24"/>
          <w:szCs w:val="24"/>
          <w:lang w:bidi="ar-SA"/>
        </w:rPr>
      </w:pPr>
      <w:r>
        <w:rPr>
          <w:rFonts w:ascii="Times New Roman" w:hAnsi="Times New Roman" w:eastAsia="宋体" w:cs="Times New Roman"/>
          <w:b/>
          <w:bCs/>
          <w:sz w:val="24"/>
        </w:rPr>
        <w:t>Table 1: Tumour volume and ROC curve analysis of 60-month survival status in two groups of patients</w:t>
      </w:r>
    </w:p>
    <w:tbl>
      <w:tblPr>
        <w:tblStyle w:val="2"/>
        <w:tblpPr w:leftFromText="180" w:rightFromText="180" w:vertAnchor="text" w:horzAnchor="page" w:tblpXSpec="center" w:tblpY="293"/>
        <w:tblOverlap w:val="never"/>
        <w:tblW w:w="8051" w:type="dxa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"/>
        <w:gridCol w:w="1891"/>
        <w:gridCol w:w="1416"/>
        <w:gridCol w:w="1477"/>
        <w:gridCol w:w="1484"/>
        <w:gridCol w:w="1545"/>
      </w:tblGrid>
      <w:tr w14:paraId="0C8C8B4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238" w:type="dxa"/>
            <w:tcBorders>
              <w:bottom w:val="single" w:color="auto" w:sz="12" w:space="0"/>
            </w:tcBorders>
            <w:noWrap w:val="0"/>
            <w:vAlign w:val="top"/>
          </w:tcPr>
          <w:p w14:paraId="34AEBE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891" w:type="dxa"/>
            <w:tcBorders>
              <w:bottom w:val="single" w:color="auto" w:sz="12" w:space="0"/>
            </w:tcBorders>
            <w:noWrap w:val="0"/>
            <w:vAlign w:val="center"/>
          </w:tcPr>
          <w:p w14:paraId="613B50AF">
            <w:pPr>
              <w:autoSpaceDE w:val="0"/>
              <w:autoSpaceDN w:val="0"/>
              <w:adjustRightInd w:val="0"/>
              <w:spacing w:line="320" w:lineRule="atLeast"/>
              <w:ind w:left="60" w:right="270" w:firstLine="420" w:firstLineChars="200"/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  <w:t>group</w:t>
            </w:r>
          </w:p>
        </w:tc>
        <w:tc>
          <w:tcPr>
            <w:tcW w:w="1416" w:type="dxa"/>
            <w:tcBorders>
              <w:bottom w:val="single" w:color="auto" w:sz="12" w:space="0"/>
            </w:tcBorders>
            <w:noWrap w:val="0"/>
            <w:vAlign w:val="center"/>
          </w:tcPr>
          <w:p w14:paraId="24D03815">
            <w:pPr>
              <w:autoSpaceDE w:val="0"/>
              <w:autoSpaceDN w:val="0"/>
              <w:adjustRightInd w:val="0"/>
              <w:spacing w:line="320" w:lineRule="atLeast"/>
              <w:ind w:left="60" w:leftChars="0" w:right="270" w:rightChars="0" w:firstLine="360" w:firstLineChars="200"/>
              <w:jc w:val="center"/>
              <w:rPr>
                <w:rFonts w:hint="default" w:ascii="宋体" w:hAnsi="宋体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95%CI</w:t>
            </w:r>
          </w:p>
        </w:tc>
        <w:tc>
          <w:tcPr>
            <w:tcW w:w="1477" w:type="dxa"/>
            <w:tcBorders>
              <w:bottom w:val="single" w:color="auto" w:sz="12" w:space="0"/>
            </w:tcBorders>
            <w:noWrap w:val="0"/>
            <w:vAlign w:val="center"/>
          </w:tcPr>
          <w:p w14:paraId="59C83F5C">
            <w:pPr>
              <w:autoSpaceDE w:val="0"/>
              <w:autoSpaceDN w:val="0"/>
              <w:adjustRightInd w:val="0"/>
              <w:spacing w:line="320" w:lineRule="atLeast"/>
              <w:ind w:left="60" w:leftChars="0" w:right="60" w:rightChars="0"/>
              <w:jc w:val="center"/>
              <w:rPr>
                <w:rFonts w:hint="default" w:ascii="宋体" w:hAnsi="宋体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val="en-US" w:eastAsia="zh-CN"/>
              </w:rPr>
              <w:t>AUC</w:t>
            </w:r>
          </w:p>
        </w:tc>
        <w:tc>
          <w:tcPr>
            <w:tcW w:w="1484" w:type="dxa"/>
            <w:tcBorders>
              <w:bottom w:val="single" w:color="auto" w:sz="12" w:space="0"/>
            </w:tcBorders>
            <w:noWrap w:val="0"/>
            <w:vAlign w:val="center"/>
          </w:tcPr>
          <w:p w14:paraId="5032E463">
            <w:pPr>
              <w:wordWrap/>
              <w:autoSpaceDE w:val="0"/>
              <w:autoSpaceDN w:val="0"/>
              <w:adjustRightInd w:val="0"/>
              <w:spacing w:line="320" w:lineRule="atLeast"/>
              <w:ind w:left="60" w:leftChars="0" w:right="420" w:rightChars="0"/>
              <w:jc w:val="center"/>
              <w:rPr>
                <w:rFonts w:hint="default" w:ascii="宋体" w:hAnsi="宋体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val="en-US" w:eastAsia="zh-CN"/>
              </w:rPr>
              <w:t>p</w:t>
            </w:r>
          </w:p>
        </w:tc>
        <w:tc>
          <w:tcPr>
            <w:tcW w:w="1545" w:type="dxa"/>
            <w:tcBorders>
              <w:bottom w:val="single" w:color="auto" w:sz="12" w:space="0"/>
            </w:tcBorders>
            <w:shd w:val="clear" w:color="auto" w:fill="auto"/>
            <w:noWrap w:val="0"/>
            <w:vAlign w:val="top"/>
          </w:tcPr>
          <w:p w14:paraId="77AB7C08">
            <w:pPr>
              <w:wordWrap/>
              <w:autoSpaceDE w:val="0"/>
              <w:autoSpaceDN w:val="0"/>
              <w:adjustRightInd w:val="0"/>
              <w:spacing w:line="320" w:lineRule="atLeast"/>
              <w:ind w:right="420" w:rightChars="0"/>
              <w:jc w:val="both"/>
              <w:rPr>
                <w:rFonts w:hint="default" w:ascii="宋体" w:hAnsi="宋体" w:eastAsia="宋体" w:cstheme="minorBidi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</w:rPr>
              <w:t>Boundary Point</w:t>
            </w:r>
          </w:p>
        </w:tc>
      </w:tr>
      <w:tr w14:paraId="283C980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38" w:type="dxa"/>
            <w:noWrap w:val="0"/>
            <w:vAlign w:val="top"/>
          </w:tcPr>
          <w:p w14:paraId="7B9BAC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891" w:type="dxa"/>
            <w:noWrap w:val="0"/>
            <w:vAlign w:val="center"/>
          </w:tcPr>
          <w:p w14:paraId="509D7C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 xml:space="preserve"> 1</w:t>
            </w:r>
          </w:p>
        </w:tc>
        <w:tc>
          <w:tcPr>
            <w:tcW w:w="1416" w:type="dxa"/>
            <w:noWrap w:val="0"/>
            <w:vAlign w:val="center"/>
          </w:tcPr>
          <w:p w14:paraId="7EDFB8CF">
            <w:pPr>
              <w:autoSpaceDE w:val="0"/>
              <w:autoSpaceDN w:val="0"/>
              <w:adjustRightInd w:val="0"/>
              <w:spacing w:line="320" w:lineRule="atLeast"/>
              <w:ind w:left="60" w:leftChars="0" w:right="60" w:rightChars="0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 xml:space="preserve"> 0.565-0.721</w:t>
            </w:r>
          </w:p>
        </w:tc>
        <w:tc>
          <w:tcPr>
            <w:tcW w:w="1477" w:type="dxa"/>
            <w:noWrap w:val="0"/>
            <w:vAlign w:val="center"/>
          </w:tcPr>
          <w:p w14:paraId="39A707CB">
            <w:pPr>
              <w:autoSpaceDE w:val="0"/>
              <w:autoSpaceDN w:val="0"/>
              <w:adjustRightInd w:val="0"/>
              <w:spacing w:line="320" w:lineRule="atLeast"/>
              <w:ind w:left="60" w:leftChars="0" w:right="60" w:rightChars="0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>0.643</w:t>
            </w:r>
          </w:p>
        </w:tc>
        <w:tc>
          <w:tcPr>
            <w:tcW w:w="1484" w:type="dxa"/>
            <w:noWrap w:val="0"/>
            <w:vAlign w:val="center"/>
          </w:tcPr>
          <w:p w14:paraId="51152519">
            <w:pPr>
              <w:autoSpaceDE w:val="0"/>
              <w:autoSpaceDN w:val="0"/>
              <w:adjustRightInd w:val="0"/>
              <w:spacing w:line="320" w:lineRule="atLeast"/>
              <w:ind w:left="60" w:leftChars="0" w:right="60" w:rightChars="0"/>
              <w:jc w:val="center"/>
              <w:rPr>
                <w:rFonts w:hint="default" w:ascii="Times New Roman" w:hAnsi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>0.000</w:t>
            </w:r>
          </w:p>
        </w:tc>
        <w:tc>
          <w:tcPr>
            <w:tcW w:w="1545" w:type="dxa"/>
            <w:shd w:val="clear" w:color="auto" w:fill="auto"/>
            <w:noWrap w:val="0"/>
            <w:vAlign w:val="center"/>
          </w:tcPr>
          <w:p w14:paraId="14745A54">
            <w:pPr>
              <w:autoSpaceDE w:val="0"/>
              <w:autoSpaceDN w:val="0"/>
              <w:adjustRightInd w:val="0"/>
              <w:spacing w:line="320" w:lineRule="atLeast"/>
              <w:ind w:left="60" w:leftChars="0" w:right="60" w:rightChars="0"/>
              <w:jc w:val="center"/>
              <w:rPr>
                <w:rFonts w:hint="eastAsia" w:ascii="Times New Roman" w:hAnsi="Times New Roman" w:eastAsiaTheme="minorEastAsia" w:cstheme="minorBidi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30.81</w:t>
            </w:r>
          </w:p>
        </w:tc>
      </w:tr>
      <w:tr w14:paraId="4F104BE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38" w:type="dxa"/>
            <w:noWrap w:val="0"/>
            <w:vAlign w:val="top"/>
          </w:tcPr>
          <w:p w14:paraId="0878FA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891" w:type="dxa"/>
            <w:shd w:val="clear" w:color="auto" w:fill="auto"/>
            <w:noWrap w:val="0"/>
            <w:vAlign w:val="center"/>
          </w:tcPr>
          <w:p w14:paraId="39C3E588">
            <w:pPr>
              <w:autoSpaceDE w:val="0"/>
              <w:autoSpaceDN w:val="0"/>
              <w:adjustRightInd w:val="0"/>
              <w:spacing w:line="320" w:lineRule="atLeast"/>
              <w:ind w:left="60" w:leftChars="0" w:right="60" w:rightChars="0"/>
              <w:jc w:val="center"/>
              <w:rPr>
                <w:rFonts w:hint="eastAsia" w:ascii="Times New Roman" w:hAnsi="Times New Roman" w:eastAsia="宋体" w:cstheme="minorBidi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 xml:space="preserve"> 2</w:t>
            </w:r>
          </w:p>
        </w:tc>
        <w:tc>
          <w:tcPr>
            <w:tcW w:w="1416" w:type="dxa"/>
            <w:shd w:val="clear" w:color="auto" w:fill="auto"/>
            <w:noWrap w:val="0"/>
            <w:vAlign w:val="center"/>
          </w:tcPr>
          <w:p w14:paraId="0A58DC6A">
            <w:pPr>
              <w:autoSpaceDE w:val="0"/>
              <w:autoSpaceDN w:val="0"/>
              <w:adjustRightInd w:val="0"/>
              <w:spacing w:line="320" w:lineRule="atLeast"/>
              <w:ind w:left="60" w:leftChars="0" w:right="60" w:rightChars="0"/>
              <w:jc w:val="center"/>
              <w:rPr>
                <w:rFonts w:hint="eastAsia" w:ascii="Times New Roman" w:hAnsi="Times New Roman" w:eastAsia="宋体" w:cstheme="minorBidi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0.433-0.667</w:t>
            </w:r>
          </w:p>
        </w:tc>
        <w:tc>
          <w:tcPr>
            <w:tcW w:w="1477" w:type="dxa"/>
            <w:shd w:val="clear" w:color="auto" w:fill="auto"/>
            <w:noWrap w:val="0"/>
            <w:vAlign w:val="center"/>
          </w:tcPr>
          <w:p w14:paraId="5F7045B0">
            <w:pPr>
              <w:autoSpaceDE w:val="0"/>
              <w:autoSpaceDN w:val="0"/>
              <w:adjustRightInd w:val="0"/>
              <w:spacing w:line="320" w:lineRule="atLeast"/>
              <w:ind w:left="60" w:leftChars="0" w:right="60" w:rightChars="0"/>
              <w:jc w:val="center"/>
              <w:rPr>
                <w:rFonts w:hint="eastAsia" w:ascii="Times New Roman" w:hAnsi="Times New Roman" w:eastAsia="宋体" w:cstheme="minorBidi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>0.550</w:t>
            </w:r>
          </w:p>
        </w:tc>
        <w:tc>
          <w:tcPr>
            <w:tcW w:w="1484" w:type="dxa"/>
            <w:shd w:val="clear" w:color="auto" w:fill="auto"/>
            <w:noWrap w:val="0"/>
            <w:vAlign w:val="center"/>
          </w:tcPr>
          <w:p w14:paraId="5A1085CE">
            <w:pPr>
              <w:autoSpaceDE w:val="0"/>
              <w:autoSpaceDN w:val="0"/>
              <w:adjustRightInd w:val="0"/>
              <w:spacing w:line="320" w:lineRule="atLeast"/>
              <w:ind w:left="60" w:leftChars="0" w:right="60" w:rightChars="0"/>
              <w:jc w:val="center"/>
              <w:rPr>
                <w:rFonts w:hint="eastAsia" w:ascii="Times New Roman" w:hAnsi="Times New Roman" w:eastAsiaTheme="minorEastAsia" w:cstheme="minorBidi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>0.400</w:t>
            </w:r>
          </w:p>
        </w:tc>
        <w:tc>
          <w:tcPr>
            <w:tcW w:w="1545" w:type="dxa"/>
            <w:shd w:val="clear" w:color="auto" w:fill="auto"/>
            <w:noWrap w:val="0"/>
            <w:vAlign w:val="center"/>
          </w:tcPr>
          <w:p w14:paraId="283F77F4">
            <w:pPr>
              <w:autoSpaceDE w:val="0"/>
              <w:autoSpaceDN w:val="0"/>
              <w:adjustRightInd w:val="0"/>
              <w:spacing w:line="320" w:lineRule="atLeast"/>
              <w:ind w:left="60" w:leftChars="0" w:right="60" w:rightChars="0"/>
              <w:jc w:val="center"/>
              <w:rPr>
                <w:rFonts w:hint="eastAsia" w:ascii="Times New Roman" w:hAnsi="Times New Roman" w:eastAsiaTheme="minorEastAsia" w:cstheme="minorBidi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19.50</w:t>
            </w:r>
          </w:p>
        </w:tc>
      </w:tr>
    </w:tbl>
    <w:p w14:paraId="0E9B4803"/>
    <w:p w14:paraId="270118B8"/>
    <w:p w14:paraId="044E2A47"/>
    <w:p w14:paraId="5C58ABF8">
      <w:pPr>
        <w:autoSpaceDE w:val="0"/>
        <w:autoSpaceDN w:val="0"/>
        <w:adjustRightInd w:val="0"/>
        <w:spacing w:line="360" w:lineRule="auto"/>
        <w:ind w:firstLine="723" w:firstLineChars="300"/>
        <w:jc w:val="center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Table 2: Univariate Cox regression analysis of prognostic factors in Group 1</w:t>
      </w:r>
      <w:r>
        <w:t xml:space="preserve"> </w:t>
      </w:r>
      <w:r>
        <w:rPr>
          <w:rFonts w:ascii="Times New Roman" w:hAnsi="Times New Roman" w:eastAsia="宋体" w:cs="Times New Roman"/>
          <w:b/>
          <w:bCs/>
          <w:sz w:val="24"/>
        </w:rPr>
        <w:t>patients</w:t>
      </w:r>
    </w:p>
    <w:p w14:paraId="67C83D60"/>
    <w:tbl>
      <w:tblPr>
        <w:tblStyle w:val="3"/>
        <w:tblpPr w:leftFromText="180" w:rightFromText="180" w:vertAnchor="text" w:horzAnchor="page" w:tblpXSpec="center" w:tblpY="263"/>
        <w:tblOverlap w:val="never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1692"/>
        <w:gridCol w:w="1735"/>
        <w:gridCol w:w="1549"/>
        <w:gridCol w:w="1709"/>
      </w:tblGrid>
      <w:tr w14:paraId="5A06E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076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3E5C1D4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V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ariable</w:t>
            </w:r>
          </w:p>
        </w:tc>
        <w:tc>
          <w:tcPr>
            <w:tcW w:w="993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D41054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exp(coef)HR</w:t>
            </w:r>
          </w:p>
        </w:tc>
        <w:tc>
          <w:tcPr>
            <w:tcW w:w="1018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8A3894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vertAlign w:val="baseline"/>
                <w:lang w:val="en-US" w:eastAsia="zh-CN"/>
              </w:rPr>
              <w:t>95%CI</w:t>
            </w:r>
          </w:p>
        </w:tc>
        <w:tc>
          <w:tcPr>
            <w:tcW w:w="90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D039FA3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vertAlign w:val="baseline"/>
                <w:lang w:val="en-US" w:eastAsia="zh-CN"/>
              </w:rPr>
              <w:t>p</w:t>
            </w:r>
          </w:p>
        </w:tc>
        <w:tc>
          <w:tcPr>
            <w:tcW w:w="1002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458D72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5" w:beforeAutospacing="0" w:after="45" w:afterAutospacing="0" w:line="210" w:lineRule="atLeast"/>
              <w:ind w:left="-360" w:leftChars="0" w:right="0" w:rightChars="0" w:firstLine="650" w:firstLineChars="500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</w:rPr>
              <w:t>Concordance</w:t>
            </w:r>
          </w:p>
        </w:tc>
      </w:tr>
      <w:tr w14:paraId="6DF50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07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4CD6B8C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gTV</w:t>
            </w:r>
          </w:p>
        </w:tc>
        <w:tc>
          <w:tcPr>
            <w:tcW w:w="993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701033D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2.9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46</w:t>
            </w:r>
          </w:p>
        </w:tc>
        <w:tc>
          <w:tcPr>
            <w:tcW w:w="1018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7C2A2D2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795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-4.8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36</w:t>
            </w:r>
          </w:p>
        </w:tc>
        <w:tc>
          <w:tcPr>
            <w:tcW w:w="909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2C07BB9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-05</w:t>
            </w:r>
          </w:p>
        </w:tc>
        <w:tc>
          <w:tcPr>
            <w:tcW w:w="1002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505A40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0.62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</w:tr>
      <w:tr w14:paraId="23718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0D3BF7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gLNM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45F027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4.5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66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B287B2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2.7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1-7.5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52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AFC90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29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e-09</w:t>
            </w: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F0D4A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0.67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</w:tr>
      <w:tr w14:paraId="11AF2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8E9EC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gMTD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21249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397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16AC0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513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-2.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293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18A52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0.1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86</w:t>
            </w: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6AFF4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0.54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</w:tr>
      <w:tr w14:paraId="207AB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F042F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VI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B61B8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2.3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43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24BDE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1.4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28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-3.8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43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3AF9A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0.000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76</w:t>
            </w: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FD085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0.59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</w:tr>
      <w:tr w14:paraId="080D0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B83E5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gN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DD7957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2.0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63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944DC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0.9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825-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4.3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33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1AC57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0.05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57</w:t>
            </w: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96446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0.53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</w:t>
            </w:r>
          </w:p>
        </w:tc>
      </w:tr>
      <w:tr w14:paraId="594E3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0B5B6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radiotheraphy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2F1ED7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1.917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D6BF6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6962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5.276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421E6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208</w:t>
            </w: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865C9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0.50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</w:tr>
      <w:tr w14:paraId="1E6AF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0DC539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gPG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E35D1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1.6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47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E73DC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1.0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-2.6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59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1E4747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0.04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13</w:t>
            </w: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8F576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0.566</w:t>
            </w:r>
          </w:p>
        </w:tc>
      </w:tr>
      <w:tr w14:paraId="0C31A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46AE7E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gTAU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4ED123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1.705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590B63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0.18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-1.8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70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707AD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67</w:t>
            </w: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F6B5DE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0.5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15</w:t>
            </w:r>
          </w:p>
        </w:tc>
      </w:tr>
      <w:tr w14:paraId="31D2F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37784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gVI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D209E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1.93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C00FA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1.181-3.18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5E074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0.0088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DBCB9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0.57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</w:t>
            </w:r>
          </w:p>
        </w:tc>
      </w:tr>
      <w:tr w14:paraId="74D1B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F82F0F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gEOE</w:t>
            </w:r>
          </w:p>
        </w:tc>
        <w:tc>
          <w:tcPr>
            <w:tcW w:w="993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76CCC8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2.73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C1A1A80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0.99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-7.5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35</w:t>
            </w:r>
          </w:p>
        </w:tc>
        <w:tc>
          <w:tcPr>
            <w:tcW w:w="909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106D34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0.05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14</w:t>
            </w:r>
          </w:p>
        </w:tc>
        <w:tc>
          <w:tcPr>
            <w:tcW w:w="1002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79F77FE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0.546</w:t>
            </w:r>
          </w:p>
        </w:tc>
      </w:tr>
    </w:tbl>
    <w:p w14:paraId="72721D81"/>
    <w:p w14:paraId="0C2897EA"/>
    <w:p w14:paraId="4A7FF3C6">
      <w:pPr>
        <w:autoSpaceDE w:val="0"/>
        <w:autoSpaceDN w:val="0"/>
        <w:adjustRightInd w:val="0"/>
        <w:spacing w:line="360" w:lineRule="auto"/>
        <w:ind w:firstLine="1205" w:firstLineChars="500"/>
        <w:jc w:val="center"/>
        <w:rPr>
          <w:rFonts w:ascii="Times New Roman" w:hAnsi="Times New Roman" w:eastAsia="宋体" w:cs="Times New Roman"/>
          <w:b/>
          <w:bCs/>
          <w:sz w:val="24"/>
        </w:rPr>
      </w:pPr>
    </w:p>
    <w:p w14:paraId="16FE260A">
      <w:pPr>
        <w:autoSpaceDE w:val="0"/>
        <w:autoSpaceDN w:val="0"/>
        <w:adjustRightInd w:val="0"/>
        <w:spacing w:line="360" w:lineRule="auto"/>
        <w:ind w:firstLine="1205" w:firstLineChars="500"/>
        <w:jc w:val="center"/>
        <w:rPr>
          <w:rFonts w:ascii="Times New Roman" w:hAnsi="Times New Roman" w:eastAsia="宋体" w:cs="Times New Roman"/>
          <w:b/>
          <w:bCs/>
          <w:sz w:val="24"/>
        </w:rPr>
      </w:pPr>
    </w:p>
    <w:p w14:paraId="15A74356">
      <w:pPr>
        <w:autoSpaceDE w:val="0"/>
        <w:autoSpaceDN w:val="0"/>
        <w:adjustRightInd w:val="0"/>
        <w:spacing w:line="360" w:lineRule="auto"/>
        <w:ind w:firstLine="1205" w:firstLineChars="500"/>
        <w:jc w:val="center"/>
        <w:rPr>
          <w:rFonts w:ascii="Times New Roman" w:hAnsi="Times New Roman" w:eastAsia="宋体" w:cs="Times New Roman"/>
          <w:b/>
          <w:bCs/>
          <w:sz w:val="24"/>
        </w:rPr>
      </w:pPr>
    </w:p>
    <w:p w14:paraId="4EDB4CC9">
      <w:pPr>
        <w:autoSpaceDE w:val="0"/>
        <w:autoSpaceDN w:val="0"/>
        <w:adjustRightInd w:val="0"/>
        <w:spacing w:line="360" w:lineRule="auto"/>
        <w:ind w:firstLine="1205" w:firstLineChars="500"/>
        <w:jc w:val="center"/>
        <w:rPr>
          <w:rFonts w:ascii="Times New Roman" w:hAnsi="Times New Roman" w:eastAsia="宋体" w:cs="Times New Roman"/>
          <w:b/>
          <w:bCs/>
          <w:sz w:val="24"/>
        </w:rPr>
      </w:pPr>
    </w:p>
    <w:p w14:paraId="436F7AF0">
      <w:pPr>
        <w:autoSpaceDE w:val="0"/>
        <w:autoSpaceDN w:val="0"/>
        <w:adjustRightInd w:val="0"/>
        <w:spacing w:line="360" w:lineRule="auto"/>
        <w:ind w:firstLine="1205" w:firstLineChars="500"/>
        <w:jc w:val="center"/>
        <w:rPr>
          <w:rFonts w:ascii="Times New Roman" w:hAnsi="Times New Roman" w:eastAsia="宋体" w:cs="Times New Roman"/>
          <w:b/>
          <w:bCs/>
          <w:sz w:val="24"/>
        </w:rPr>
      </w:pPr>
    </w:p>
    <w:p w14:paraId="470E8834">
      <w:pPr>
        <w:autoSpaceDE w:val="0"/>
        <w:autoSpaceDN w:val="0"/>
        <w:adjustRightInd w:val="0"/>
        <w:spacing w:line="360" w:lineRule="auto"/>
        <w:ind w:firstLine="1205" w:firstLineChars="500"/>
        <w:jc w:val="center"/>
        <w:rPr>
          <w:rFonts w:ascii="Times New Roman" w:hAnsi="Times New Roman" w:eastAsia="宋体" w:cs="Times New Roman"/>
          <w:b/>
          <w:bCs/>
          <w:sz w:val="24"/>
        </w:rPr>
      </w:pPr>
    </w:p>
    <w:p w14:paraId="5613449D">
      <w:pPr>
        <w:autoSpaceDE w:val="0"/>
        <w:autoSpaceDN w:val="0"/>
        <w:adjustRightInd w:val="0"/>
        <w:spacing w:line="360" w:lineRule="auto"/>
        <w:ind w:firstLine="1205" w:firstLineChars="500"/>
        <w:jc w:val="center"/>
        <w:rPr>
          <w:rFonts w:ascii="Times New Roman" w:hAnsi="Times New Roman" w:eastAsia="宋体" w:cs="Times New Roman"/>
          <w:b/>
          <w:bCs/>
          <w:sz w:val="24"/>
        </w:rPr>
      </w:pPr>
    </w:p>
    <w:p w14:paraId="1BD30BE1">
      <w:pPr>
        <w:autoSpaceDE w:val="0"/>
        <w:autoSpaceDN w:val="0"/>
        <w:adjustRightInd w:val="0"/>
        <w:spacing w:line="360" w:lineRule="auto"/>
        <w:ind w:firstLine="1205" w:firstLineChars="500"/>
        <w:jc w:val="center"/>
        <w:rPr>
          <w:rFonts w:ascii="Times New Roman" w:hAnsi="Times New Roman" w:eastAsia="宋体" w:cs="Times New Roman"/>
          <w:b/>
          <w:bCs/>
          <w:sz w:val="24"/>
        </w:rPr>
      </w:pPr>
    </w:p>
    <w:p w14:paraId="7C2B92B6">
      <w:pPr>
        <w:autoSpaceDE w:val="0"/>
        <w:autoSpaceDN w:val="0"/>
        <w:adjustRightInd w:val="0"/>
        <w:spacing w:line="360" w:lineRule="auto"/>
        <w:ind w:firstLine="1205" w:firstLineChars="500"/>
        <w:jc w:val="center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Table 3: Univariate Cox regression analysis of prognostic factors in Group 2</w:t>
      </w:r>
      <w:r>
        <w:t xml:space="preserve"> </w:t>
      </w:r>
      <w:r>
        <w:rPr>
          <w:rFonts w:ascii="Times New Roman" w:hAnsi="Times New Roman" w:eastAsia="宋体" w:cs="Times New Roman"/>
          <w:b/>
          <w:bCs/>
          <w:sz w:val="24"/>
        </w:rPr>
        <w:t>patients</w:t>
      </w:r>
    </w:p>
    <w:p w14:paraId="27E76DEE"/>
    <w:p w14:paraId="18A63DF9"/>
    <w:tbl>
      <w:tblPr>
        <w:tblStyle w:val="3"/>
        <w:tblpPr w:leftFromText="180" w:rightFromText="180" w:vertAnchor="text" w:horzAnchor="page" w:tblpXSpec="center" w:tblpY="287"/>
        <w:tblOverlap w:val="never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8"/>
        <w:gridCol w:w="1669"/>
        <w:gridCol w:w="1832"/>
        <w:gridCol w:w="1527"/>
        <w:gridCol w:w="1683"/>
      </w:tblGrid>
      <w:tr w14:paraId="3D29D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061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FB790C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V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ariable</w:t>
            </w:r>
          </w:p>
        </w:tc>
        <w:tc>
          <w:tcPr>
            <w:tcW w:w="97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1A20A6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exp(coef)HR</w:t>
            </w:r>
          </w:p>
        </w:tc>
        <w:tc>
          <w:tcPr>
            <w:tcW w:w="1075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A45DD2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vertAlign w:val="baseline"/>
                <w:lang w:val="en-US" w:eastAsia="zh-CN"/>
              </w:rPr>
              <w:t>95%CI</w:t>
            </w:r>
          </w:p>
        </w:tc>
        <w:tc>
          <w:tcPr>
            <w:tcW w:w="896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AF47DD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vertAlign w:val="baseline"/>
                <w:lang w:val="en-US" w:eastAsia="zh-CN"/>
              </w:rPr>
              <w:t>P</w:t>
            </w:r>
          </w:p>
        </w:tc>
        <w:tc>
          <w:tcPr>
            <w:tcW w:w="987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BD88A8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5" w:beforeAutospacing="0" w:after="45" w:afterAutospacing="0" w:line="210" w:lineRule="atLeast"/>
              <w:ind w:left="0" w:right="0" w:hanging="36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</w:rPr>
              <w:t>Concordance</w:t>
            </w:r>
          </w:p>
        </w:tc>
      </w:tr>
      <w:tr w14:paraId="66358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061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5B9CE62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gTV</w:t>
            </w:r>
          </w:p>
        </w:tc>
        <w:tc>
          <w:tcPr>
            <w:tcW w:w="979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7DBB9A3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1.923</w:t>
            </w:r>
          </w:p>
        </w:tc>
        <w:tc>
          <w:tcPr>
            <w:tcW w:w="1075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3EFD33A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0.836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-4.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423</w:t>
            </w:r>
          </w:p>
        </w:tc>
        <w:tc>
          <w:tcPr>
            <w:tcW w:w="89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45C2D5F7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0.124</w:t>
            </w:r>
          </w:p>
        </w:tc>
        <w:tc>
          <w:tcPr>
            <w:tcW w:w="98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2FD8AA6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562</w:t>
            </w:r>
          </w:p>
        </w:tc>
      </w:tr>
      <w:tr w14:paraId="3FA04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85F07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gLNM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AD98E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574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D306A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2.075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10.080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2FE51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0.00163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7CDE62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0.6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24</w:t>
            </w:r>
          </w:p>
        </w:tc>
      </w:tr>
      <w:tr w14:paraId="71F7C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17B9A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gMTD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67B46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2.67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06BA0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1.122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6.352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2E330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0.0264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2CBDB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0.5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75</w:t>
            </w:r>
          </w:p>
        </w:tc>
      </w:tr>
      <w:tr w14:paraId="08582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A465F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VI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1D60F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1.99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1861D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0.865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4.577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528B5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105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A7E1B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0.5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62</w:t>
            </w:r>
          </w:p>
        </w:tc>
      </w:tr>
      <w:tr w14:paraId="6E93E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57084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radiotheraphy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134A77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1.389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68A2B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5838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3.304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B9DC5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458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983D7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0.5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34</w:t>
            </w:r>
          </w:p>
        </w:tc>
      </w:tr>
      <w:tr w14:paraId="5E7F9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5E469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gPG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D19CC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237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B7EBF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0.572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-2.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674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5A20C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589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41C48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0.5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28</w:t>
            </w:r>
          </w:p>
        </w:tc>
      </w:tr>
      <w:tr w14:paraId="76E0D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77AE1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gTAU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33645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3.959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058FF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034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-1.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864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23455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177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D85C27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0.5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50</w:t>
            </w:r>
          </w:p>
        </w:tc>
      </w:tr>
      <w:tr w14:paraId="7EBF6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EEE7B9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gVI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A5F2FE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0.9316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3C6B92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0.351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2.471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EC643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887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EF960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0.5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06</w:t>
            </w:r>
          </w:p>
        </w:tc>
      </w:tr>
      <w:tr w14:paraId="6EA56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D94DA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gEOE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34331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1.426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B947B2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0.573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3.552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70A882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445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CE9C5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0.535</w:t>
            </w:r>
          </w:p>
        </w:tc>
      </w:tr>
      <w:tr w14:paraId="500FE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1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483FF73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 gID</w:t>
            </w:r>
          </w:p>
        </w:tc>
        <w:tc>
          <w:tcPr>
            <w:tcW w:w="979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272B52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2.639</w:t>
            </w:r>
          </w:p>
        </w:tc>
        <w:tc>
          <w:tcPr>
            <w:tcW w:w="1075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3884CB9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1.221-5.707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50883B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0.0136</w:t>
            </w:r>
          </w:p>
        </w:tc>
        <w:tc>
          <w:tcPr>
            <w:tcW w:w="987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A17A55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0.618</w:t>
            </w:r>
          </w:p>
        </w:tc>
      </w:tr>
    </w:tbl>
    <w:p w14:paraId="5ADA717E"/>
    <w:p w14:paraId="6C234BD2"/>
    <w:p w14:paraId="522FC40F"/>
    <w:p w14:paraId="131D2C61">
      <w:pPr>
        <w:autoSpaceDE w:val="0"/>
        <w:autoSpaceDN w:val="0"/>
        <w:adjustRightInd w:val="0"/>
        <w:spacing w:line="360" w:lineRule="auto"/>
        <w:ind w:firstLine="1205" w:firstLineChars="500"/>
        <w:rPr>
          <w:rFonts w:ascii="Times New Roman" w:hAnsi="Times New Roman" w:eastAsia="宋体" w:cs="Times New Roman"/>
          <w:b/>
          <w:bCs/>
          <w:kern w:val="2"/>
          <w:sz w:val="24"/>
          <w:szCs w:val="24"/>
          <w:lang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bidi="ar-SA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Table 4: Multivariate Cox regression survival model in Group 1 </w:t>
      </w:r>
    </w:p>
    <w:tbl>
      <w:tblPr>
        <w:tblStyle w:val="3"/>
        <w:tblpPr w:leftFromText="180" w:rightFromText="180" w:vertAnchor="text" w:horzAnchor="page" w:tblpX="1790" w:tblpY="30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0"/>
        <w:gridCol w:w="2130"/>
        <w:gridCol w:w="2130"/>
      </w:tblGrid>
      <w:tr w14:paraId="414DB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EDAAEE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V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ariable</w:t>
            </w:r>
          </w:p>
        </w:tc>
        <w:tc>
          <w:tcPr>
            <w:tcW w:w="213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06C3602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exp(coef) (HR)</w:t>
            </w:r>
          </w:p>
        </w:tc>
        <w:tc>
          <w:tcPr>
            <w:tcW w:w="213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6832C96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vertAlign w:val="baseline"/>
                <w:lang w:val="en-US" w:eastAsia="zh-CN"/>
              </w:rPr>
              <w:t>p</w:t>
            </w:r>
          </w:p>
        </w:tc>
        <w:tc>
          <w:tcPr>
            <w:tcW w:w="213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62BE76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95% </w:t>
            </w:r>
            <w:r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  <w:t>CI</w:t>
            </w:r>
          </w:p>
        </w:tc>
      </w:tr>
      <w:tr w14:paraId="2737B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212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20CCBE7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gTV</w:t>
            </w:r>
          </w:p>
        </w:tc>
        <w:tc>
          <w:tcPr>
            <w:tcW w:w="213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4F55365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2.606</w:t>
            </w:r>
          </w:p>
        </w:tc>
        <w:tc>
          <w:tcPr>
            <w:tcW w:w="213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43EEFA9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2.57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e-0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213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5151353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5591-4.354</w:t>
            </w:r>
          </w:p>
        </w:tc>
      </w:tr>
      <w:tr w14:paraId="73864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FEE98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gLNM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4A24E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3.067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12986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1.35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e-0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5780D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7241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5.452</w:t>
            </w:r>
          </w:p>
        </w:tc>
      </w:tr>
      <w:tr w14:paraId="1E7F9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CCFEF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gVI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E953B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826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10F94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177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D67BD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1.1103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3.002</w:t>
            </w:r>
          </w:p>
        </w:tc>
      </w:tr>
      <w:tr w14:paraId="2316B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C5D79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VI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31D5A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1.5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76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31D4C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104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966D7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0.9207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2.764</w:t>
            </w:r>
          </w:p>
        </w:tc>
      </w:tr>
      <w:tr w14:paraId="0B459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1BCD08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PG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F7362E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1.3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80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9F060E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220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C19B7F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8245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2.310</w:t>
            </w:r>
          </w:p>
        </w:tc>
      </w:tr>
    </w:tbl>
    <w:p w14:paraId="221B8643"/>
    <w:p w14:paraId="21BA1F55">
      <w:pPr>
        <w:autoSpaceDE w:val="0"/>
        <w:autoSpaceDN w:val="0"/>
        <w:adjustRightInd w:val="0"/>
        <w:spacing w:line="360" w:lineRule="auto"/>
        <w:ind w:firstLine="1205" w:firstLineChars="500"/>
        <w:jc w:val="left"/>
      </w:pPr>
      <w:r>
        <w:rPr>
          <w:rFonts w:ascii="Times New Roman" w:hAnsi="Times New Roman" w:eastAsia="宋体" w:cs="Times New Roman"/>
          <w:b/>
          <w:bCs/>
          <w:sz w:val="24"/>
        </w:rPr>
        <w:t>Table 5: Multivariate Cox regression survival model in Group 2</w:t>
      </w:r>
    </w:p>
    <w:tbl>
      <w:tblPr>
        <w:tblStyle w:val="3"/>
        <w:tblpPr w:leftFromText="180" w:rightFromText="180" w:vertAnchor="text" w:horzAnchor="page" w:tblpX="1795" w:tblpY="30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0"/>
        <w:gridCol w:w="2130"/>
        <w:gridCol w:w="2130"/>
      </w:tblGrid>
      <w:tr w14:paraId="2C007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00EB55E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V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ariable</w:t>
            </w:r>
          </w:p>
        </w:tc>
        <w:tc>
          <w:tcPr>
            <w:tcW w:w="213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771778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exp(coef) (HR)</w:t>
            </w:r>
          </w:p>
        </w:tc>
        <w:tc>
          <w:tcPr>
            <w:tcW w:w="213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C0BA9E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vertAlign w:val="baseline"/>
                <w:lang w:val="en-US" w:eastAsia="zh-CN"/>
              </w:rPr>
              <w:t>p</w:t>
            </w:r>
          </w:p>
        </w:tc>
        <w:tc>
          <w:tcPr>
            <w:tcW w:w="213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3DCB6C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95% </w:t>
            </w:r>
            <w:r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  <w:t>CI</w:t>
            </w:r>
          </w:p>
        </w:tc>
      </w:tr>
      <w:tr w14:paraId="1DEE1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699FB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gLNM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EEE29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3.911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6C8F3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9.55e-04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C5301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7412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8.783</w:t>
            </w:r>
          </w:p>
        </w:tc>
      </w:tr>
      <w:tr w14:paraId="6B108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21881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MTD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8CB49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2.100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EF628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0.1933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09D5F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0.6868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6.420</w:t>
            </w:r>
          </w:p>
        </w:tc>
      </w:tr>
      <w:tr w14:paraId="19CE0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2E297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ID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39A41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835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665B5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0.1428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6ECFF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0.8147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4.134</w:t>
            </w:r>
          </w:p>
        </w:tc>
      </w:tr>
      <w:tr w14:paraId="5AAFE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5F85F1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gTV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4A0A71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1.083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F36CEB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0.8846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989F03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0.3683-3.185</w:t>
            </w:r>
          </w:p>
        </w:tc>
      </w:tr>
    </w:tbl>
    <w:p w14:paraId="2E283FD0"/>
    <w:p w14:paraId="07774C6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3A35AAE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0F15BCF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5E63497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</w:rPr>
        <w:t>Table6 Schoenfeld residual test results for the Cox survival models</w:t>
      </w:r>
    </w:p>
    <w:p w14:paraId="04C26A7E"/>
    <w:tbl>
      <w:tblPr>
        <w:tblStyle w:val="3"/>
        <w:tblpPr w:leftFromText="180" w:rightFromText="180" w:vertAnchor="text" w:horzAnchor="page" w:tblpX="1752" w:tblpY="287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367"/>
        <w:gridCol w:w="1370"/>
        <w:gridCol w:w="1628"/>
        <w:gridCol w:w="1370"/>
        <w:gridCol w:w="1371"/>
      </w:tblGrid>
      <w:tr w14:paraId="360A1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7BBCA59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802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D64176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Group1</w:t>
            </w:r>
          </w:p>
        </w:tc>
        <w:tc>
          <w:tcPr>
            <w:tcW w:w="804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A13B07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</w:pPr>
          </w:p>
        </w:tc>
        <w:tc>
          <w:tcPr>
            <w:tcW w:w="955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279FE08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804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1A92EFC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Group2</w:t>
            </w:r>
          </w:p>
        </w:tc>
        <w:tc>
          <w:tcPr>
            <w:tcW w:w="804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FA51D3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</w:pPr>
          </w:p>
        </w:tc>
      </w:tr>
      <w:tr w14:paraId="5A934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7FE8AAB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V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ariable</w:t>
            </w:r>
          </w:p>
        </w:tc>
        <w:tc>
          <w:tcPr>
            <w:tcW w:w="802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382C61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chisq</w:t>
            </w:r>
          </w:p>
        </w:tc>
        <w:tc>
          <w:tcPr>
            <w:tcW w:w="804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05436F1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  <w:t>p</w:t>
            </w:r>
          </w:p>
        </w:tc>
        <w:tc>
          <w:tcPr>
            <w:tcW w:w="955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47591F5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V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ariable</w:t>
            </w:r>
          </w:p>
        </w:tc>
        <w:tc>
          <w:tcPr>
            <w:tcW w:w="804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3E3A77E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chisq</w:t>
            </w:r>
          </w:p>
        </w:tc>
        <w:tc>
          <w:tcPr>
            <w:tcW w:w="804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E77775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  <w:t>p</w:t>
            </w:r>
          </w:p>
        </w:tc>
      </w:tr>
      <w:tr w14:paraId="0C42E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829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4DF7CDD">
            <w:pPr>
              <w:widowControl w:val="0"/>
              <w:numPr>
                <w:ilvl w:val="0"/>
                <w:numId w:val="0"/>
              </w:numPr>
              <w:ind w:firstLine="420" w:firstLineChars="200"/>
              <w:jc w:val="both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gTV</w:t>
            </w:r>
          </w:p>
        </w:tc>
        <w:tc>
          <w:tcPr>
            <w:tcW w:w="802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53253F7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282</w:t>
            </w:r>
          </w:p>
        </w:tc>
        <w:tc>
          <w:tcPr>
            <w:tcW w:w="804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208737E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595</w:t>
            </w:r>
          </w:p>
        </w:tc>
        <w:tc>
          <w:tcPr>
            <w:tcW w:w="955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24D79A19">
            <w:pPr>
              <w:widowControl w:val="0"/>
              <w:numPr>
                <w:ilvl w:val="0"/>
                <w:numId w:val="0"/>
              </w:numPr>
              <w:ind w:firstLine="420" w:firstLineChars="200"/>
              <w:jc w:val="both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gTV</w:t>
            </w:r>
          </w:p>
        </w:tc>
        <w:tc>
          <w:tcPr>
            <w:tcW w:w="804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011FC09E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  2.335</w:t>
            </w:r>
          </w:p>
        </w:tc>
        <w:tc>
          <w:tcPr>
            <w:tcW w:w="804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4F47E3">
            <w:pPr>
              <w:widowControl w:val="0"/>
              <w:numPr>
                <w:ilvl w:val="0"/>
                <w:numId w:val="0"/>
              </w:numPr>
              <w:ind w:left="0" w:leftChars="0" w:firstLine="420" w:firstLineChars="200"/>
              <w:jc w:val="both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0.13</w:t>
            </w:r>
          </w:p>
        </w:tc>
      </w:tr>
      <w:tr w14:paraId="07D62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ADF3C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gLNM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EE57E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461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A8E3F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63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6C2E8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gLNM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B35B1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2.631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BCFCE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0.10</w:t>
            </w:r>
          </w:p>
        </w:tc>
      </w:tr>
      <w:tr w14:paraId="11570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5DD57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VI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7EF79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793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1E0DC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95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2015C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gMTD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47B8A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0.283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50F73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0.59</w:t>
            </w:r>
          </w:p>
        </w:tc>
      </w:tr>
      <w:tr w14:paraId="140D8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213AE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gVI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04482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2.368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A457A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128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EFB24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gID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1A3F1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0.621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F82E1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0.43</w:t>
            </w:r>
          </w:p>
        </w:tc>
      </w:tr>
      <w:tr w14:paraId="3E01C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4053D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gPG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61717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147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11F2E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02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3886C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356E8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FC714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3FF6E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A6212E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GLOBAL</w:t>
            </w:r>
          </w:p>
        </w:tc>
        <w:tc>
          <w:tcPr>
            <w:tcW w:w="802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30E9E2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574</w:t>
            </w:r>
          </w:p>
        </w:tc>
        <w:tc>
          <w:tcPr>
            <w:tcW w:w="804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0CCFD9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127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554408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GLOBAL</w:t>
            </w:r>
          </w:p>
        </w:tc>
        <w:tc>
          <w:tcPr>
            <w:tcW w:w="804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1577EC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5.222</w:t>
            </w:r>
          </w:p>
        </w:tc>
        <w:tc>
          <w:tcPr>
            <w:tcW w:w="804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2C9FE0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0.27</w:t>
            </w:r>
          </w:p>
        </w:tc>
      </w:tr>
    </w:tbl>
    <w:p w14:paraId="3052AB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4672BA"/>
    <w:multiLevelType w:val="multilevel"/>
    <w:tmpl w:val="984672BA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27010B"/>
    <w:rsid w:val="0327010B"/>
    <w:rsid w:val="18AF588E"/>
    <w:rsid w:val="241A54DB"/>
    <w:rsid w:val="26D365F5"/>
    <w:rsid w:val="2C803FA2"/>
    <w:rsid w:val="312A2724"/>
    <w:rsid w:val="47527C17"/>
    <w:rsid w:val="4ACB6250"/>
    <w:rsid w:val="4E140C20"/>
    <w:rsid w:val="501B6F55"/>
    <w:rsid w:val="570F0FBE"/>
    <w:rsid w:val="69E47E59"/>
    <w:rsid w:val="6ECB6607"/>
    <w:rsid w:val="762115A2"/>
    <w:rsid w:val="7D33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279</Words>
  <Characters>1613</Characters>
  <Lines>0</Lines>
  <Paragraphs>0</Paragraphs>
  <TotalTime>0</TotalTime>
  <ScaleCrop>false</ScaleCrop>
  <LinksUpToDate>false</LinksUpToDate>
  <CharactersWithSpaces>1691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2025-07-06T08:41:00Z</dcterms:created>
  <dc:creator>韩晓栋</dc:creator>
  <cp:lastModifiedBy>韩晓栋</cp:lastModifiedBy>
  <dcterms:modified xsi:type="dcterms:W3CDTF">2025-07-07T03:02:44Z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74AEE1EE2ABC4CC2AFAB53BA5D6CC1EA_11</vt:lpwstr>
  </property>
  <property fmtid="{D5CDD505-2E9C-101B-9397-08002B2CF9AE}" pid="4" name="KSOTemplateDocerSaveRecord">
    <vt:lpwstr>eyJoZGlkIjoiYTc3YmY1NDAyYjUxNzNmYTViMDk3MGIyZjY2YWZmNWQiLCJ1c2VySWQiOiIxMDEzNjQ3NTc0In0=</vt:lpwstr>
  </property>
</Properties>
</file>