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E600D1">
      <w:pPr>
        <w:spacing w:line="360" w:lineRule="auto"/>
        <w:jc w:val="left"/>
        <w:rPr>
          <w:rFonts w:hint="default" w:ascii="Times New Roman" w:hAnsi="Times New Roman" w:cs="Times New Roman"/>
          <w:b/>
          <w:bCs/>
          <w:i w:val="0"/>
          <w:iCs w:val="0"/>
          <w:caps w:val="0"/>
          <w:color w:val="000000"/>
          <w:spacing w:val="0"/>
          <w:sz w:val="24"/>
          <w:szCs w:val="24"/>
        </w:rPr>
      </w:pPr>
    </w:p>
    <w:p w14:paraId="7E57ED2E">
      <w:pPr>
        <w:spacing w:line="360" w:lineRule="auto"/>
        <w:jc w:val="left"/>
        <w:rPr>
          <w:rFonts w:hint="default" w:ascii="Times New Roman" w:hAnsi="Times New Roman" w:cs="Times New Roman"/>
          <w:b/>
          <w:bCs/>
          <w:i w:val="0"/>
          <w:iCs w:val="0"/>
          <w:caps w:val="0"/>
          <w:color w:val="000000"/>
          <w:spacing w:val="0"/>
          <w:sz w:val="24"/>
          <w:szCs w:val="24"/>
        </w:rPr>
      </w:pPr>
      <w:r>
        <w:rPr>
          <w:rFonts w:hint="default" w:ascii="Times New Roman" w:hAnsi="Times New Roman" w:cs="Times New Roman"/>
          <w:b/>
          <w:bCs/>
          <w:i w:val="0"/>
          <w:iCs w:val="0"/>
          <w:caps w:val="0"/>
          <w:color w:val="000000"/>
          <w:spacing w:val="0"/>
          <w:sz w:val="24"/>
          <w:szCs w:val="24"/>
        </w:rPr>
        <w:t>Supplementary materials</w:t>
      </w:r>
    </w:p>
    <w:p w14:paraId="5F9D99AF">
      <w:pPr>
        <w:spacing w:line="360" w:lineRule="auto"/>
        <w:jc w:val="left"/>
      </w:pPr>
      <w:r>
        <w:rPr>
          <w:rFonts w:hint="default" w:ascii="Times New Roman" w:hAnsi="Times New Roman" w:cs="Times New Roman"/>
          <w:b/>
          <w:bCs/>
          <w:i w:val="0"/>
          <w:iCs w:val="0"/>
          <w:caps w:val="0"/>
          <w:color w:val="000000"/>
          <w:spacing w:val="0"/>
          <w:sz w:val="24"/>
          <w:szCs w:val="24"/>
        </w:rPr>
        <w:t>Basic information of two groups of patients</w:t>
      </w:r>
    </w:p>
    <w:p w14:paraId="129A90E7">
      <w:pPr>
        <w:spacing w:line="360" w:lineRule="auto"/>
        <w:ind w:firstLine="482" w:firstLineChars="200"/>
        <w:jc w:val="left"/>
        <w:rPr>
          <w:rFonts w:ascii="Times New Roman" w:hAnsi="Times New Roman" w:cs="Times New Roman"/>
          <w:color w:val="000000"/>
          <w:sz w:val="24"/>
        </w:rPr>
      </w:pPr>
      <w:r>
        <w:rPr>
          <w:rFonts w:ascii="Times New Roman" w:hAnsi="Times New Roman" w:cs="Times New Roman"/>
          <w:b/>
          <w:bCs/>
          <w:color w:val="000000"/>
          <w:sz w:val="24"/>
        </w:rPr>
        <w:t>Age:</w:t>
      </w:r>
      <w:r>
        <w:rPr>
          <w:rFonts w:ascii="Times New Roman" w:hAnsi="Times New Roman" w:cs="Times New Roman"/>
          <w:color w:val="000000"/>
          <w:sz w:val="24"/>
        </w:rPr>
        <w:t xml:space="preserve"> Patients in Group 1 had a mean age of 51.74 years with a standard deviation of 9.38 years. In Group 2, the mean age was 50.61 years with a standard deviation of 9.68 years. The t-test showed no statistically significant difference between groups (t=-1.492, p=0.316).</w:t>
      </w:r>
    </w:p>
    <w:p w14:paraId="7B818A84">
      <w:pPr>
        <w:spacing w:line="360" w:lineRule="auto"/>
        <w:ind w:firstLine="482" w:firstLineChars="200"/>
        <w:jc w:val="left"/>
        <w:rPr>
          <w:rFonts w:ascii="Times New Roman" w:hAnsi="Times New Roman" w:cs="Times New Roman"/>
          <w:color w:val="000000"/>
          <w:sz w:val="24"/>
        </w:rPr>
      </w:pPr>
      <w:r>
        <w:rPr>
          <w:rFonts w:ascii="Times New Roman" w:hAnsi="Times New Roman" w:cs="Times New Roman"/>
          <w:b/>
          <w:bCs/>
          <w:color w:val="000000"/>
          <w:sz w:val="24"/>
        </w:rPr>
        <w:t xml:space="preserve">Ethnicity: </w:t>
      </w:r>
      <w:r>
        <w:rPr>
          <w:rFonts w:ascii="Times New Roman" w:hAnsi="Times New Roman" w:cs="Times New Roman"/>
          <w:color w:val="000000"/>
          <w:sz w:val="24"/>
        </w:rPr>
        <w:t>All patients in study groups were Han Chinese</w:t>
      </w:r>
      <w:r>
        <w:t xml:space="preserve"> </w:t>
      </w:r>
      <w:r>
        <w:rPr>
          <w:rFonts w:ascii="Times New Roman" w:hAnsi="Times New Roman" w:cs="Times New Roman"/>
          <w:color w:val="000000"/>
          <w:sz w:val="24"/>
        </w:rPr>
        <w:t>ethnicity. No ethnic differences existed between the groups.</w:t>
      </w:r>
    </w:p>
    <w:p w14:paraId="74E60B49">
      <w:pPr>
        <w:spacing w:line="360" w:lineRule="auto"/>
        <w:ind w:firstLine="482" w:firstLineChars="200"/>
        <w:jc w:val="left"/>
        <w:rPr>
          <w:rFonts w:ascii="Times New Roman" w:hAnsi="Times New Roman" w:cs="Times New Roman"/>
          <w:color w:val="000000"/>
          <w:sz w:val="24"/>
        </w:rPr>
      </w:pPr>
      <w:r>
        <w:rPr>
          <w:rFonts w:ascii="Times New Roman" w:hAnsi="Times New Roman" w:cs="Times New Roman"/>
          <w:b/>
          <w:bCs/>
          <w:color w:val="000000"/>
          <w:sz w:val="24"/>
        </w:rPr>
        <w:t xml:space="preserve">Education level: </w:t>
      </w:r>
      <w:r>
        <w:rPr>
          <w:rFonts w:ascii="Times New Roman" w:hAnsi="Times New Roman" w:cs="Times New Roman"/>
          <w:color w:val="000000"/>
          <w:sz w:val="24"/>
        </w:rPr>
        <w:t>321 patients in Group 1, 14 patients had received higher education, 145 had completed middle or high school education, and 162 had primary education or below. 320 patients in Group 2, 18 with higher education, 151 with middle or high school education, and 151 with primary education or below.</w:t>
      </w:r>
    </w:p>
    <w:p w14:paraId="46007103">
      <w:pPr>
        <w:spacing w:line="360" w:lineRule="auto"/>
        <w:ind w:firstLine="482" w:firstLineChars="200"/>
        <w:jc w:val="left"/>
        <w:rPr>
          <w:rFonts w:ascii="Times New Roman" w:hAnsi="Times New Roman" w:cs="Times New Roman"/>
          <w:color w:val="000000"/>
          <w:sz w:val="24"/>
        </w:rPr>
      </w:pPr>
      <w:bookmarkStart w:id="0" w:name="OLE_LINK3"/>
      <w:bookmarkStart w:id="1" w:name="OLE_LINK4"/>
      <w:r>
        <w:rPr>
          <w:rFonts w:ascii="Times New Roman" w:hAnsi="Times New Roman" w:cs="Times New Roman"/>
          <w:b/>
          <w:bCs/>
          <w:color w:val="000000"/>
          <w:sz w:val="24"/>
        </w:rPr>
        <w:t>Basic diseases:</w:t>
      </w:r>
      <w:r>
        <w:rPr>
          <w:rFonts w:ascii="Times New Roman" w:hAnsi="Times New Roman" w:cs="Times New Roman"/>
          <w:color w:val="000000"/>
          <w:sz w:val="24"/>
        </w:rPr>
        <w:t xml:space="preserve"> In Group 1 (n=321), 32 patients</w:t>
      </w:r>
      <w:r>
        <w:t xml:space="preserve"> </w:t>
      </w:r>
      <w:r>
        <w:rPr>
          <w:rFonts w:ascii="Times New Roman" w:hAnsi="Times New Roman" w:cs="Times New Roman"/>
          <w:color w:val="000000"/>
          <w:sz w:val="24"/>
        </w:rPr>
        <w:t>had stable hypertension. Among these, 12 patients had concurrent diabetes, while 6 patients had both</w:t>
      </w:r>
      <w:r>
        <w:t xml:space="preserve"> </w:t>
      </w:r>
      <w:r>
        <w:rPr>
          <w:rFonts w:ascii="Times New Roman" w:hAnsi="Times New Roman" w:cs="Times New Roman"/>
          <w:color w:val="000000"/>
          <w:sz w:val="24"/>
        </w:rPr>
        <w:t>conditions. Additionally, 3 patients had rheumatoid arthritis. In Group 2 (n=320), there were 29 hypertensive patients, 9 diabetic patients, and 3 patients with both diabetes and hypertension. one</w:t>
      </w:r>
      <w:r>
        <w:t xml:space="preserve"> </w:t>
      </w:r>
      <w:r>
        <w:rPr>
          <w:rFonts w:ascii="Times New Roman" w:hAnsi="Times New Roman" w:cs="Times New Roman"/>
          <w:color w:val="000000"/>
          <w:sz w:val="24"/>
        </w:rPr>
        <w:t>patient had mild congenital heart disease and another had rheumatoid arthritis. Previously cured conditions (including fractures, cholecystitis or cholecystectomy due to stones, and female sterilisation) were excluded from statistical analysis. All patients with the aforementioned comorbidities were well-controlled during surgery, with no significant complications occurring. Throughout the five-year</w:t>
      </w:r>
      <w:r>
        <w:t xml:space="preserve"> </w:t>
      </w:r>
      <w:r>
        <w:rPr>
          <w:rFonts w:ascii="Times New Roman" w:hAnsi="Times New Roman" w:cs="Times New Roman"/>
          <w:color w:val="000000"/>
          <w:sz w:val="24"/>
        </w:rPr>
        <w:t>follow-up period, no patient</w:t>
      </w:r>
      <w:r>
        <w:t xml:space="preserve"> </w:t>
      </w:r>
      <w:r>
        <w:rPr>
          <w:rFonts w:ascii="Times New Roman" w:hAnsi="Times New Roman" w:cs="Times New Roman"/>
          <w:color w:val="000000"/>
          <w:sz w:val="24"/>
        </w:rPr>
        <w:t xml:space="preserve">deaths </w:t>
      </w:r>
      <w:r>
        <w:rPr>
          <w:rFonts w:hint="eastAsia" w:ascii="Times New Roman" w:hAnsi="Times New Roman" w:cs="Times New Roman"/>
          <w:color w:val="000000"/>
          <w:sz w:val="24"/>
        </w:rPr>
        <w:t>were</w:t>
      </w:r>
      <w:r>
        <w:t xml:space="preserve"> </w:t>
      </w:r>
      <w:r>
        <w:rPr>
          <w:rFonts w:ascii="Times New Roman" w:hAnsi="Times New Roman" w:cs="Times New Roman"/>
          <w:color w:val="000000"/>
          <w:sz w:val="24"/>
        </w:rPr>
        <w:t>attributable to these chronic conditions.</w:t>
      </w:r>
    </w:p>
    <w:bookmarkEnd w:id="0"/>
    <w:bookmarkEnd w:id="1"/>
    <w:p w14:paraId="626380E3">
      <w:pPr>
        <w:spacing w:line="360" w:lineRule="auto"/>
        <w:ind w:firstLine="482" w:firstLineChars="200"/>
        <w:jc w:val="left"/>
        <w:rPr>
          <w:rFonts w:ascii="Times New Roman" w:hAnsi="Times New Roman" w:cs="Times New Roman"/>
          <w:color w:val="000000"/>
          <w:sz w:val="24"/>
        </w:rPr>
      </w:pPr>
      <w:r>
        <w:rPr>
          <w:rFonts w:ascii="Times New Roman" w:hAnsi="Times New Roman" w:cs="Times New Roman"/>
          <w:b/>
          <w:bCs/>
          <w:color w:val="000000"/>
          <w:sz w:val="24"/>
        </w:rPr>
        <w:t>Region:</w:t>
      </w:r>
      <w:r>
        <w:rPr>
          <w:rFonts w:ascii="Times New Roman" w:hAnsi="Times New Roman" w:cs="Times New Roman"/>
          <w:color w:val="000000"/>
          <w:sz w:val="24"/>
        </w:rPr>
        <w:t xml:space="preserve"> All 641 patients were from Shanxi, sharing similar local lifestyle habits. No patients from other Chinese provinces were included in the study.</w:t>
      </w:r>
      <w:bookmarkStart w:id="2" w:name="_GoBack"/>
      <w:bookmarkEnd w:id="2"/>
    </w:p>
    <w:p w14:paraId="45553540"/>
    <w:p w14:paraId="364C717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EA3379"/>
    <w:rsid w:val="07EA3379"/>
    <w:rsid w:val="1DE27172"/>
    <w:rsid w:val="3BE321CE"/>
    <w:rsid w:val="43FC2ACB"/>
    <w:rsid w:val="7D867D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2025-07-22T01:09:00Z</dcterms:created>
  <dc:creator>韩晓栋</dc:creator>
  <cp:lastModifiedBy>韩晓栋</cp:lastModifiedBy>
  <dcterms:modified xsi:type="dcterms:W3CDTF">2025-07-22T02:00:05Z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21982DE77C6041E99D25A1E1B45B699F_11</vt:lpwstr>
  </property>
  <property fmtid="{D5CDD505-2E9C-101B-9397-08002B2CF9AE}" pid="4" name="KSOTemplateDocerSaveRecord">
    <vt:lpwstr>eyJoZGlkIjoiYTc3YmY1NDAyYjUxNzNmYTViMDk3MGIyZjY2YWZmNWQiLCJ1c2VySWQiOiIxMDEzNjQ3NTc0In0=</vt:lpwstr>
  </property>
</Properties>
</file>