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5ABC" w14:textId="013251D5" w:rsidR="00BC5595" w:rsidRDefault="001D2893" w:rsidP="001D2893">
      <w:pPr>
        <w:rPr>
          <w:rFonts w:ascii="Times New Roman" w:hAnsi="Times New Roman"/>
          <w:b/>
          <w:bCs/>
        </w:rPr>
      </w:pPr>
      <w:r w:rsidRPr="00C75CA3">
        <w:rPr>
          <w:rFonts w:ascii="Times New Roman" w:hAnsi="Times New Roman"/>
          <w:b/>
          <w:bCs/>
        </w:rPr>
        <w:t>Materials and Methods</w:t>
      </w:r>
    </w:p>
    <w:p w14:paraId="023797DB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Our institutional protocol for pancreatic neuroendocrine tumors (</w:t>
      </w:r>
      <w:proofErr w:type="spellStart"/>
      <w:r w:rsidRPr="00BC20FD">
        <w:rPr>
          <w:rFonts w:ascii="Times New Roman" w:hAnsi="Times New Roman"/>
        </w:rPr>
        <w:t>pNETs</w:t>
      </w:r>
      <w:proofErr w:type="spellEnd"/>
      <w:r w:rsidRPr="00BC20FD">
        <w:rPr>
          <w:rFonts w:ascii="Times New Roman" w:hAnsi="Times New Roman"/>
        </w:rPr>
        <w:t>) strictly adheres to the 2021 Chinese Guidelines for the Diagnosis and Treatment of Pancreatic Neuroendocrine Tumors, implemented through a multidisciplinary team (MDT) approach. The key components are outlined below:</w:t>
      </w:r>
    </w:p>
    <w:p w14:paraId="29C94C8E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1. Surgical Management (Core Intervention):</w:t>
      </w:r>
    </w:p>
    <w:p w14:paraId="2A8AAC92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1.1. Curative Resection:</w:t>
      </w:r>
      <w:r>
        <w:rPr>
          <w:rFonts w:ascii="Times New Roman" w:hAnsi="Times New Roman"/>
        </w:rPr>
        <w:t xml:space="preserve"> </w:t>
      </w:r>
      <w:r w:rsidRPr="00BC20FD">
        <w:rPr>
          <w:rFonts w:ascii="Times New Roman" w:eastAsia="宋体" w:hAnsi="Times New Roman"/>
        </w:rPr>
        <w:t>1)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 xml:space="preserve">Indications: Localized disease (AJCC I-III stages). </w:t>
      </w:r>
      <w:r>
        <w:rPr>
          <w:rFonts w:ascii="Times New Roman" w:eastAsia="宋体" w:hAnsi="Times New Roman" w:hint="eastAsia"/>
        </w:rPr>
        <w:t>2</w:t>
      </w:r>
      <w:r w:rsidRPr="00BC20FD">
        <w:rPr>
          <w:rFonts w:ascii="Times New Roman" w:eastAsia="宋体" w:hAnsi="Times New Roman"/>
        </w:rPr>
        <w:t>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>Procedures: Tailored to tumor location (pancreaticoduodenectomy, distal pancreatectomy, or central pancreatectomy), preferentially performed via minimally invasive techniques (laparoscopic).</w:t>
      </w:r>
    </w:p>
    <w:p w14:paraId="250B245F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 xml:space="preserve">1.2. Cytoreductive Surgery: </w:t>
      </w:r>
      <w:r w:rsidRPr="00BC20FD">
        <w:rPr>
          <w:rFonts w:ascii="Times New Roman" w:eastAsia="宋体" w:hAnsi="Times New Roman"/>
        </w:rPr>
        <w:t>1)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 xml:space="preserve">Indications: Metastatic disease (AJCC IV stage) with </w:t>
      </w:r>
      <w:proofErr w:type="spellStart"/>
      <w:r w:rsidRPr="00BC20FD">
        <w:rPr>
          <w:rFonts w:ascii="Times New Roman" w:hAnsi="Times New Roman"/>
        </w:rPr>
        <w:t>resectable</w:t>
      </w:r>
      <w:proofErr w:type="spellEnd"/>
      <w:r w:rsidRPr="00BC20FD">
        <w:rPr>
          <w:rFonts w:ascii="Times New Roman" w:hAnsi="Times New Roman"/>
        </w:rPr>
        <w:t xml:space="preserve"> primary tumors and limited a metastatic burden. </w:t>
      </w:r>
      <w:r>
        <w:rPr>
          <w:rFonts w:ascii="Times New Roman" w:eastAsia="宋体" w:hAnsi="Times New Roman" w:hint="eastAsia"/>
        </w:rPr>
        <w:t>2</w:t>
      </w:r>
      <w:r w:rsidRPr="00BC20FD">
        <w:rPr>
          <w:rFonts w:ascii="Times New Roman" w:eastAsia="宋体" w:hAnsi="Times New Roman"/>
        </w:rPr>
        <w:t>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>Adjunctive Therapies: Combined with hepatic metastasis-directed interventions (radiofrequency ablation/embolization).</w:t>
      </w:r>
    </w:p>
    <w:p w14:paraId="377F275B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2. Systemic Therapy:</w:t>
      </w:r>
    </w:p>
    <w:p w14:paraId="2415958B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2.1. Chemotherapy: Regimens: Streptozotocin + doxorubicin (STZ+DOX) or capecitabine + temozolomide (CAPTEM) for G2/G3 tumors or advanced disease.</w:t>
      </w:r>
    </w:p>
    <w:p w14:paraId="6B16B3E9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2.2. Targeted Therapy: Agents: mTOR inhibitors (</w:t>
      </w:r>
      <w:proofErr w:type="spellStart"/>
      <w:r w:rsidRPr="00BC20FD">
        <w:rPr>
          <w:rFonts w:ascii="Times New Roman" w:hAnsi="Times New Roman"/>
        </w:rPr>
        <w:t>everolimus</w:t>
      </w:r>
      <w:proofErr w:type="spellEnd"/>
      <w:r w:rsidRPr="00BC20FD">
        <w:rPr>
          <w:rFonts w:ascii="Times New Roman" w:hAnsi="Times New Roman"/>
        </w:rPr>
        <w:t>) or tyrosine kinase inhibitors (sunitinib) as adjuvant or first-line therapy for advanced cases.</w:t>
      </w:r>
    </w:p>
    <w:p w14:paraId="6100D73F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 xml:space="preserve">2.3. Peptide Receptor Radionuclide Therapy (PRRT): </w:t>
      </w:r>
      <w:r w:rsidRPr="00BC20FD">
        <w:rPr>
          <w:rFonts w:ascii="Times New Roman" w:eastAsia="宋体" w:hAnsi="Times New Roman"/>
        </w:rPr>
        <w:t>1)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 xml:space="preserve">Criteria: Somatostatin receptor-positive metastatic disease (confirmed by ⁶⁸Ga-DOTATATE PET/CT). </w:t>
      </w:r>
      <w:r>
        <w:rPr>
          <w:rFonts w:ascii="Times New Roman" w:eastAsia="宋体" w:hAnsi="Times New Roman" w:hint="eastAsia"/>
        </w:rPr>
        <w:t>2</w:t>
      </w:r>
      <w:r w:rsidRPr="00BC20FD">
        <w:rPr>
          <w:rFonts w:ascii="Times New Roman" w:eastAsia="宋体" w:hAnsi="Times New Roman"/>
        </w:rPr>
        <w:t>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 xml:space="preserve">Protocol: </w:t>
      </w:r>
      <w:r w:rsidRPr="00BC20FD">
        <w:rPr>
          <w:rFonts w:ascii="Times New Roman" w:hAnsi="Times New Roman"/>
          <w:vertAlign w:val="superscript"/>
        </w:rPr>
        <w:t>177</w:t>
      </w:r>
      <w:r w:rsidRPr="00BC20FD">
        <w:rPr>
          <w:rFonts w:ascii="Times New Roman" w:hAnsi="Times New Roman"/>
        </w:rPr>
        <w:t>Lu-DOTATATE administration.</w:t>
      </w:r>
    </w:p>
    <w:p w14:paraId="784E7169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3. Supportive Care:</w:t>
      </w:r>
    </w:p>
    <w:p w14:paraId="7461CE11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 xml:space="preserve">3.1. Symptom Control: Functional </w:t>
      </w:r>
      <w:proofErr w:type="spellStart"/>
      <w:r w:rsidRPr="00BC20FD">
        <w:rPr>
          <w:rFonts w:ascii="Times New Roman" w:hAnsi="Times New Roman"/>
        </w:rPr>
        <w:t>pNETs</w:t>
      </w:r>
      <w:proofErr w:type="spellEnd"/>
      <w:r w:rsidRPr="00BC20FD">
        <w:rPr>
          <w:rFonts w:ascii="Times New Roman" w:hAnsi="Times New Roman"/>
        </w:rPr>
        <w:t xml:space="preserve"> (e.g., insulinoma, </w:t>
      </w:r>
      <w:proofErr w:type="spellStart"/>
      <w:r w:rsidRPr="00BC20FD">
        <w:rPr>
          <w:rFonts w:ascii="Times New Roman" w:hAnsi="Times New Roman"/>
        </w:rPr>
        <w:t>gastrinoma</w:t>
      </w:r>
      <w:proofErr w:type="spellEnd"/>
      <w:r w:rsidRPr="00BC20FD">
        <w:rPr>
          <w:rFonts w:ascii="Times New Roman" w:hAnsi="Times New Roman"/>
        </w:rPr>
        <w:t>): Somatostatin analogs (octreotide) for hormone secretion management.</w:t>
      </w:r>
    </w:p>
    <w:p w14:paraId="672B4501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 xml:space="preserve">3.2. Nutritional Optimization: </w:t>
      </w:r>
      <w:r w:rsidRPr="00BC20FD">
        <w:rPr>
          <w:rFonts w:ascii="Times New Roman" w:eastAsia="宋体" w:hAnsi="Times New Roman"/>
        </w:rPr>
        <w:t>1)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 xml:space="preserve">Preoperative: Correction of hypoalbuminemia and electrolyte imbalances. </w:t>
      </w:r>
      <w:r>
        <w:rPr>
          <w:rFonts w:ascii="Times New Roman" w:eastAsia="宋体" w:hAnsi="Times New Roman" w:hint="eastAsia"/>
        </w:rPr>
        <w:t>2</w:t>
      </w:r>
      <w:r w:rsidRPr="00BC20FD">
        <w:rPr>
          <w:rFonts w:ascii="Times New Roman" w:eastAsia="宋体" w:hAnsi="Times New Roman"/>
        </w:rPr>
        <w:t>)</w:t>
      </w:r>
      <w:r>
        <w:rPr>
          <w:rFonts w:ascii="Times New Roman" w:eastAsia="宋体" w:hAnsi="Times New Roman"/>
        </w:rPr>
        <w:t xml:space="preserve"> </w:t>
      </w:r>
      <w:r w:rsidRPr="00BC20FD">
        <w:rPr>
          <w:rFonts w:ascii="Times New Roman" w:hAnsi="Times New Roman"/>
        </w:rPr>
        <w:t>Postoperative: Enteral/parenteral nutrition support.</w:t>
      </w:r>
    </w:p>
    <w:p w14:paraId="020327AF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4. MDT Workflow:</w:t>
      </w:r>
    </w:p>
    <w:p w14:paraId="4E1622C4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 xml:space="preserve">4.1. Preoperative Planning: MDT members: Surgery, oncology, radiology, and pathology teams collaborate to assess </w:t>
      </w:r>
      <w:proofErr w:type="spellStart"/>
      <w:r w:rsidRPr="00BC20FD">
        <w:rPr>
          <w:rFonts w:ascii="Times New Roman" w:hAnsi="Times New Roman"/>
        </w:rPr>
        <w:t>resectability</w:t>
      </w:r>
      <w:proofErr w:type="spellEnd"/>
      <w:r w:rsidRPr="00BC20FD">
        <w:rPr>
          <w:rFonts w:ascii="Times New Roman" w:hAnsi="Times New Roman"/>
        </w:rPr>
        <w:t xml:space="preserve"> and tumor biology.</w:t>
      </w:r>
    </w:p>
    <w:p w14:paraId="424089E7" w14:textId="77777777" w:rsidR="001D2893" w:rsidRPr="00BC20FD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BC20FD">
        <w:rPr>
          <w:rFonts w:ascii="Times New Roman" w:hAnsi="Times New Roman"/>
        </w:rPr>
        <w:t>4.2. Postoperative Strategy: Risk-adapted adjuvant therapy or surveillance based on the WHO grade and AJCC stage.</w:t>
      </w:r>
    </w:p>
    <w:p w14:paraId="3A9BB403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 xml:space="preserve">Our preoperative evaluation protocol aligns with the 2021 Chinese Guidelines and includes the following comprehensive assessments: </w:t>
      </w:r>
    </w:p>
    <w:p w14:paraId="0255B43B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lastRenderedPageBreak/>
        <w:t>1. Laboratory Investigations:</w:t>
      </w:r>
    </w:p>
    <w:p w14:paraId="2CEFE672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>1.1. Hormonal Profiling: Insulin, gastrin, glucagon, etc., to identify functional tumors.</w:t>
      </w:r>
    </w:p>
    <w:p w14:paraId="0A6860F0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 xml:space="preserve">1.2. Nutritional/Inflammatory Markers: Serum albumin, lymphocyte count (for PNI), NLR, and PLR. </w:t>
      </w:r>
    </w:p>
    <w:p w14:paraId="615B802C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>2. Radiological Workup:</w:t>
      </w:r>
    </w:p>
    <w:p w14:paraId="0E50FF8A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>2.1. Contrast-enhanced CT/MRI: Tumor localization, size, vascular invasion, and distant metastasis (e.g., hepatic lesions).</w:t>
      </w:r>
    </w:p>
    <w:p w14:paraId="546805A8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 xml:space="preserve">2.2. </w:t>
      </w:r>
      <w:r w:rsidRPr="00C24A47">
        <w:rPr>
          <w:rFonts w:ascii="Times New Roman" w:hAnsi="Times New Roman" w:hint="eastAsia"/>
          <w:vertAlign w:val="superscript"/>
        </w:rPr>
        <w:t>6</w:t>
      </w:r>
      <w:r w:rsidRPr="00C24A47">
        <w:rPr>
          <w:rFonts w:ascii="Times New Roman" w:hAnsi="Times New Roman"/>
          <w:vertAlign w:val="superscript"/>
        </w:rPr>
        <w:t>8</w:t>
      </w:r>
      <w:r w:rsidRPr="00C24A47">
        <w:rPr>
          <w:rFonts w:ascii="Times New Roman" w:hAnsi="Times New Roman"/>
        </w:rPr>
        <w:t>Ga-DOTATATE PET/CT: Somatostatin receptor expression evaluation for staging and PRRT eligibility.</w:t>
      </w:r>
    </w:p>
    <w:p w14:paraId="35ADE489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 xml:space="preserve">2.3. Endoscopic Ultrasound (EUS): Anatomical relationship assessment with adjacent structures; fine-needle aspiration (FNA) if indicated. </w:t>
      </w:r>
    </w:p>
    <w:p w14:paraId="6B2521D3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>3. Pathological Grading:</w:t>
      </w:r>
    </w:p>
    <w:p w14:paraId="0A8F957D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 xml:space="preserve">3.1. Ki-67 Index &amp; Mitotic Count: Determined via biopsy or intraoperative frozen section (G1: Ki-67 ≤3%; G2: 3–20%; G3: &gt;20%). </w:t>
      </w:r>
    </w:p>
    <w:p w14:paraId="41669D60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>4. Cardiopulmonary Assessment:</w:t>
      </w:r>
    </w:p>
    <w:p w14:paraId="18B031DC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>4.1. Cardiopulmonary Exercise Testing (CPET): For high-risk patients (e.g., COPD, coronary artery disease) to predict surgical tolerance.</w:t>
      </w:r>
    </w:p>
    <w:p w14:paraId="3A75916D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 w:hint="eastAsia"/>
        </w:rPr>
        <w:t>4</w:t>
      </w:r>
      <w:r w:rsidRPr="00C24A47">
        <w:rPr>
          <w:rFonts w:ascii="Times New Roman" w:hAnsi="Times New Roman"/>
        </w:rPr>
        <w:t xml:space="preserve">.2. Perioperative Optimization: MDT-guided interventions (e.g., pulmonary rehabilitation, anticoagulation adjustment). </w:t>
      </w:r>
    </w:p>
    <w:p w14:paraId="4B58C788" w14:textId="77777777" w:rsidR="001D2893" w:rsidRPr="00C24A47" w:rsidRDefault="001D2893" w:rsidP="001D2893">
      <w:pPr>
        <w:adjustRightInd w:val="0"/>
        <w:snapToGrid w:val="0"/>
        <w:spacing w:line="360" w:lineRule="auto"/>
        <w:rPr>
          <w:rFonts w:ascii="Times New Roman" w:hAnsi="Times New Roman"/>
        </w:rPr>
      </w:pPr>
      <w:r w:rsidRPr="00C24A47">
        <w:rPr>
          <w:rFonts w:ascii="Times New Roman" w:hAnsi="Times New Roman"/>
        </w:rPr>
        <w:t>5. Genetic Screening:</w:t>
      </w:r>
    </w:p>
    <w:p w14:paraId="027A1706" w14:textId="27EB8A71" w:rsidR="001D2893" w:rsidRPr="001D2893" w:rsidRDefault="001D2893" w:rsidP="001D2893">
      <w:r w:rsidRPr="00C24A47">
        <w:rPr>
          <w:rFonts w:ascii="Times New Roman" w:hAnsi="Times New Roman"/>
        </w:rPr>
        <w:t>5.1. MEN1 Gene Testing: For young patients, multifocal tumors, or familial cases to exclude multiple endocrine neoplasia type I.</w:t>
      </w:r>
    </w:p>
    <w:sectPr w:rsidR="001D2893" w:rsidRPr="001D289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068A" w14:textId="77777777" w:rsidR="00E366F4" w:rsidRDefault="00E366F4" w:rsidP="000825F0">
      <w:r>
        <w:separator/>
      </w:r>
    </w:p>
  </w:endnote>
  <w:endnote w:type="continuationSeparator" w:id="0">
    <w:p w14:paraId="4936AA00" w14:textId="77777777" w:rsidR="00E366F4" w:rsidRDefault="00E366F4" w:rsidP="0008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B1E5" w14:textId="3CC573D5" w:rsidR="0041247D" w:rsidRDefault="0041247D">
    <w:pPr>
      <w:pStyle w:val="a5"/>
    </w:pPr>
    <w:r>
      <w:rPr>
        <w:rFonts w:hint="eastAsia"/>
      </w:rPr>
      <w:t>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DB6E" w14:textId="77777777" w:rsidR="00E366F4" w:rsidRDefault="00E366F4" w:rsidP="000825F0">
      <w:r>
        <w:separator/>
      </w:r>
    </w:p>
  </w:footnote>
  <w:footnote w:type="continuationSeparator" w:id="0">
    <w:p w14:paraId="44728161" w14:textId="77777777" w:rsidR="00E366F4" w:rsidRDefault="00E366F4" w:rsidP="00082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82"/>
    <w:rsid w:val="00010B37"/>
    <w:rsid w:val="00015E30"/>
    <w:rsid w:val="000825F0"/>
    <w:rsid w:val="00084BAA"/>
    <w:rsid w:val="0009298C"/>
    <w:rsid w:val="000B5806"/>
    <w:rsid w:val="000C1A07"/>
    <w:rsid w:val="000D6FE6"/>
    <w:rsid w:val="000E29AD"/>
    <w:rsid w:val="001522CF"/>
    <w:rsid w:val="001622BE"/>
    <w:rsid w:val="00177646"/>
    <w:rsid w:val="00196CB8"/>
    <w:rsid w:val="001D2893"/>
    <w:rsid w:val="001F034B"/>
    <w:rsid w:val="001F0AE8"/>
    <w:rsid w:val="001F5933"/>
    <w:rsid w:val="001F5F0F"/>
    <w:rsid w:val="00204F6B"/>
    <w:rsid w:val="0029020C"/>
    <w:rsid w:val="002C339A"/>
    <w:rsid w:val="002E4D7C"/>
    <w:rsid w:val="002F7C1B"/>
    <w:rsid w:val="00323BE1"/>
    <w:rsid w:val="0033506C"/>
    <w:rsid w:val="0035639D"/>
    <w:rsid w:val="003B110A"/>
    <w:rsid w:val="003C60BB"/>
    <w:rsid w:val="0041247D"/>
    <w:rsid w:val="004349DA"/>
    <w:rsid w:val="00466A7A"/>
    <w:rsid w:val="00475F23"/>
    <w:rsid w:val="004C14DD"/>
    <w:rsid w:val="004C7796"/>
    <w:rsid w:val="005239E5"/>
    <w:rsid w:val="00530EE9"/>
    <w:rsid w:val="00587F8A"/>
    <w:rsid w:val="005958E6"/>
    <w:rsid w:val="005E3CDF"/>
    <w:rsid w:val="00601DB5"/>
    <w:rsid w:val="00606ECA"/>
    <w:rsid w:val="00616639"/>
    <w:rsid w:val="006523FE"/>
    <w:rsid w:val="00676881"/>
    <w:rsid w:val="00686D79"/>
    <w:rsid w:val="006A080E"/>
    <w:rsid w:val="006B1100"/>
    <w:rsid w:val="0070654C"/>
    <w:rsid w:val="00716FA2"/>
    <w:rsid w:val="00737318"/>
    <w:rsid w:val="00755017"/>
    <w:rsid w:val="007841DE"/>
    <w:rsid w:val="007E4185"/>
    <w:rsid w:val="00856E9F"/>
    <w:rsid w:val="008A6F2E"/>
    <w:rsid w:val="00900F19"/>
    <w:rsid w:val="009240F6"/>
    <w:rsid w:val="00931B4C"/>
    <w:rsid w:val="009340D0"/>
    <w:rsid w:val="00935FEA"/>
    <w:rsid w:val="009379A2"/>
    <w:rsid w:val="00966DB0"/>
    <w:rsid w:val="00971A1C"/>
    <w:rsid w:val="009C0198"/>
    <w:rsid w:val="009D74B0"/>
    <w:rsid w:val="009E089D"/>
    <w:rsid w:val="00A354EE"/>
    <w:rsid w:val="00A3552F"/>
    <w:rsid w:val="00A3777D"/>
    <w:rsid w:val="00A37DED"/>
    <w:rsid w:val="00A42C78"/>
    <w:rsid w:val="00A46C15"/>
    <w:rsid w:val="00A54F46"/>
    <w:rsid w:val="00A61591"/>
    <w:rsid w:val="00A61930"/>
    <w:rsid w:val="00A75806"/>
    <w:rsid w:val="00A84BB3"/>
    <w:rsid w:val="00A94712"/>
    <w:rsid w:val="00AA1DD9"/>
    <w:rsid w:val="00AD1342"/>
    <w:rsid w:val="00AE49A6"/>
    <w:rsid w:val="00AF1E18"/>
    <w:rsid w:val="00B3577D"/>
    <w:rsid w:val="00B477DC"/>
    <w:rsid w:val="00B62BBC"/>
    <w:rsid w:val="00B64F2C"/>
    <w:rsid w:val="00B92A2A"/>
    <w:rsid w:val="00BB3082"/>
    <w:rsid w:val="00BC5595"/>
    <w:rsid w:val="00BD1180"/>
    <w:rsid w:val="00C20CC3"/>
    <w:rsid w:val="00C41AD7"/>
    <w:rsid w:val="00C81F1D"/>
    <w:rsid w:val="00C84022"/>
    <w:rsid w:val="00CA6A35"/>
    <w:rsid w:val="00CC6420"/>
    <w:rsid w:val="00D11DFE"/>
    <w:rsid w:val="00D14A0C"/>
    <w:rsid w:val="00DD5857"/>
    <w:rsid w:val="00E06D24"/>
    <w:rsid w:val="00E074EF"/>
    <w:rsid w:val="00E366F4"/>
    <w:rsid w:val="00E47945"/>
    <w:rsid w:val="00E658DC"/>
    <w:rsid w:val="00E709DE"/>
    <w:rsid w:val="00E7276D"/>
    <w:rsid w:val="00E75B83"/>
    <w:rsid w:val="00E85279"/>
    <w:rsid w:val="00E86D7E"/>
    <w:rsid w:val="00EB4289"/>
    <w:rsid w:val="00EC0EA5"/>
    <w:rsid w:val="00ED7690"/>
    <w:rsid w:val="00F30F49"/>
    <w:rsid w:val="00F3157F"/>
    <w:rsid w:val="00F877AD"/>
    <w:rsid w:val="00FB3CEC"/>
    <w:rsid w:val="00FD7989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13263"/>
  <w15:chartTrackingRefBased/>
  <w15:docId w15:val="{B57222D6-4411-494A-9253-768EEBC1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5F0"/>
    <w:pPr>
      <w:widowControl w:val="0"/>
      <w:jc w:val="both"/>
    </w:pPr>
    <w:rPr>
      <w:rFonts w:ascii="等线" w:eastAsia="等线" w:hAnsi="等线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2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25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25F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825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8">
    <w:name w:val="Table Grid"/>
    <w:basedOn w:val="a1"/>
    <w:uiPriority w:val="39"/>
    <w:rsid w:val="000825F0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nevill 叶</dc:creator>
  <cp:keywords/>
  <dc:description/>
  <cp:lastModifiedBy>nevill 叶</cp:lastModifiedBy>
  <cp:revision>53</cp:revision>
  <dcterms:created xsi:type="dcterms:W3CDTF">2024-10-21T09:09:00Z</dcterms:created>
  <dcterms:modified xsi:type="dcterms:W3CDTF">2025-02-18T14:15:00Z</dcterms:modified>
</cp:coreProperties>
</file>