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B2BBA">
      <w:pPr>
        <w:spacing w:line="480" w:lineRule="auto"/>
        <w:jc w:val="center"/>
        <w:rPr>
          <w:rFonts w:hint="default" w:ascii="Times New Roman" w:hAnsi="Times New Roman" w:cs="Times New Roman"/>
          <w:b/>
          <w:bCs/>
        </w:rPr>
      </w:pPr>
      <w:r>
        <w:rPr>
          <w:rFonts w:hint="default" w:ascii="Times New Roman" w:hAnsi="Times New Roman" w:cs="Times New Roman"/>
          <w:b/>
          <w:bCs/>
        </w:rPr>
        <w:t>Supplementary Methods</w:t>
      </w:r>
    </w:p>
    <w:p w14:paraId="7BCA118A">
      <w:pPr>
        <w:rPr>
          <w:rFonts w:hint="default" w:ascii="Times New Roman" w:hAnsi="Times New Roman" w:cs="Times New Roman"/>
          <w:b/>
          <w:bCs/>
        </w:rPr>
      </w:pPr>
      <w:r>
        <w:rPr>
          <w:rFonts w:hint="default" w:ascii="Times New Roman" w:hAnsi="Times New Roman" w:cs="Times New Roman"/>
          <w:b/>
          <w:bCs/>
        </w:rPr>
        <w:t>1. Estimation of LOCC Burden Using the GBD 2021 Framework</w:t>
      </w:r>
    </w:p>
    <w:p w14:paraId="2DCA5CF7">
      <w:pPr>
        <w:rPr>
          <w:rFonts w:hint="default" w:ascii="Times New Roman" w:hAnsi="Times New Roman" w:cs="Times New Roman"/>
        </w:rPr>
      </w:pPr>
      <w:r>
        <w:rPr>
          <w:rFonts w:hint="default" w:ascii="Times New Roman" w:hAnsi="Times New Roman" w:cs="Times New Roman"/>
        </w:rPr>
        <w:t>This study is based on publicly available estimates from the Global Burden of Disease (GBD) Study 2021, coordinated by the Institute for Health Metrics and Evaluation (IHME). The GBD framework systematically estimates cause-specific morbidity and mortality metrics by age, sex, year, and location using a comprehensive modeling strategy that harmonizes disparate data sources across countries and time periods.</w:t>
      </w:r>
    </w:p>
    <w:p w14:paraId="55667B4F">
      <w:pPr>
        <w:rPr>
          <w:rFonts w:hint="default" w:ascii="Times New Roman" w:hAnsi="Times New Roman" w:cs="Times New Roman"/>
        </w:rPr>
      </w:pPr>
    </w:p>
    <w:p w14:paraId="2BF08E04">
      <w:pPr>
        <w:rPr>
          <w:rFonts w:hint="default" w:ascii="Times New Roman" w:hAnsi="Times New Roman" w:cs="Times New Roman"/>
          <w:b/>
          <w:bCs/>
        </w:rPr>
      </w:pPr>
      <w:r>
        <w:rPr>
          <w:rFonts w:hint="default" w:ascii="Times New Roman" w:hAnsi="Times New Roman" w:cs="Times New Roman"/>
          <w:b/>
          <w:bCs/>
        </w:rPr>
        <w:t>Data Sources:</w:t>
      </w:r>
    </w:p>
    <w:p w14:paraId="0B02E1A5">
      <w:pPr>
        <w:rPr>
          <w:rFonts w:hint="default" w:ascii="Times New Roman" w:hAnsi="Times New Roman" w:cs="Times New Roman"/>
        </w:rPr>
      </w:pPr>
      <w:r>
        <w:rPr>
          <w:rFonts w:hint="default" w:ascii="Times New Roman" w:hAnsi="Times New Roman" w:cs="Times New Roman"/>
        </w:rPr>
        <w:t>The GBD 2021 utilized multiple data sources for lip and oral cavity cancer (LOCC), including cancer registries, vital registration systems, verbal autopsy data, and hospital records. These were mapped to the International Classification of Diseases (ICD-10 codes: C00–C08) to standardize case definitions.</w:t>
      </w:r>
    </w:p>
    <w:p w14:paraId="101E69C5">
      <w:pPr>
        <w:rPr>
          <w:rFonts w:hint="default" w:ascii="Times New Roman" w:hAnsi="Times New Roman" w:cs="Times New Roman"/>
        </w:rPr>
      </w:pPr>
    </w:p>
    <w:p w14:paraId="309ACE55">
      <w:pPr>
        <w:rPr>
          <w:rFonts w:hint="default" w:ascii="Times New Roman" w:hAnsi="Times New Roman" w:cs="Times New Roman"/>
          <w:b/>
          <w:bCs/>
        </w:rPr>
      </w:pPr>
      <w:r>
        <w:rPr>
          <w:rFonts w:hint="default" w:ascii="Times New Roman" w:hAnsi="Times New Roman" w:cs="Times New Roman"/>
          <w:b/>
          <w:bCs/>
        </w:rPr>
        <w:t>Cause of Death Modeling:</w:t>
      </w:r>
    </w:p>
    <w:p w14:paraId="533839C7">
      <w:pPr>
        <w:rPr>
          <w:rFonts w:hint="default" w:ascii="Times New Roman" w:hAnsi="Times New Roman" w:cs="Times New Roman"/>
        </w:rPr>
      </w:pPr>
      <w:r>
        <w:rPr>
          <w:rFonts w:hint="default" w:ascii="Times New Roman" w:hAnsi="Times New Roman" w:cs="Times New Roman"/>
        </w:rPr>
        <w:t>Mortality estimates for LOCC were generated using the Cause of Death Ensemble model (CODEm), a highly flexible modeling approach that combines multiple models (e.g., mixed-effects, spatial-temporal Gaussian process regression) into an ensemble framework. CODEm identifies the best-performing predictive models through out-of-sample validation techniques.</w:t>
      </w:r>
    </w:p>
    <w:p w14:paraId="55839084">
      <w:pPr>
        <w:rPr>
          <w:rFonts w:hint="default" w:ascii="Times New Roman" w:hAnsi="Times New Roman" w:cs="Times New Roman"/>
        </w:rPr>
      </w:pPr>
    </w:p>
    <w:p w14:paraId="1DCD7D17">
      <w:pPr>
        <w:rPr>
          <w:rFonts w:hint="default" w:ascii="Times New Roman" w:hAnsi="Times New Roman" w:cs="Times New Roman"/>
          <w:b/>
          <w:bCs/>
        </w:rPr>
      </w:pPr>
      <w:r>
        <w:rPr>
          <w:rFonts w:hint="default" w:ascii="Times New Roman" w:hAnsi="Times New Roman" w:cs="Times New Roman"/>
          <w:b/>
          <w:bCs/>
        </w:rPr>
        <w:t>Non-Fatal Estimates:</w:t>
      </w:r>
    </w:p>
    <w:p w14:paraId="59A10096">
      <w:pPr>
        <w:rPr>
          <w:rFonts w:hint="default" w:ascii="Times New Roman" w:hAnsi="Times New Roman" w:cs="Times New Roman"/>
        </w:rPr>
      </w:pPr>
      <w:r>
        <w:rPr>
          <w:rFonts w:hint="default" w:ascii="Times New Roman" w:hAnsi="Times New Roman" w:cs="Times New Roman"/>
        </w:rPr>
        <w:t>The DisMod-MR 2.1 tool, a Bayesian meta-regression modeling platform, was employed to generate consistent estimates of incidence, prevalence, remission, and disability due to LOCC. It ensures internal consistency across epidemiological parameters by integrating various data sources while accounting for biases, sampling errors, and missing data.</w:t>
      </w:r>
    </w:p>
    <w:p w14:paraId="6F0D0C74">
      <w:pPr>
        <w:rPr>
          <w:rFonts w:hint="default" w:ascii="Times New Roman" w:hAnsi="Times New Roman" w:cs="Times New Roman"/>
        </w:rPr>
      </w:pPr>
    </w:p>
    <w:p w14:paraId="00C23314">
      <w:pPr>
        <w:rPr>
          <w:rFonts w:hint="default" w:ascii="Times New Roman" w:hAnsi="Times New Roman" w:cs="Times New Roman"/>
          <w:b/>
          <w:bCs/>
        </w:rPr>
      </w:pPr>
      <w:r>
        <w:rPr>
          <w:rFonts w:hint="default" w:ascii="Times New Roman" w:hAnsi="Times New Roman" w:cs="Times New Roman"/>
          <w:b/>
          <w:bCs/>
        </w:rPr>
        <w:t>Standardization:</w:t>
      </w:r>
    </w:p>
    <w:p w14:paraId="22B7D380">
      <w:pPr>
        <w:rPr>
          <w:rFonts w:hint="default" w:ascii="Times New Roman" w:hAnsi="Times New Roman" w:cs="Times New Roman"/>
        </w:rPr>
      </w:pPr>
      <w:r>
        <w:rPr>
          <w:rFonts w:hint="default" w:ascii="Times New Roman" w:hAnsi="Times New Roman" w:cs="Times New Roman"/>
        </w:rPr>
        <w:t>All rates were age-standardized to the GBD world population using the direct method to ensure comparability across countries and time. Disability-adjusted life years (DALYs) were calculated as the sum of years of life lost (YLLs) due to premature mortality and years lived with disability (YLDs).</w:t>
      </w:r>
    </w:p>
    <w:p w14:paraId="4A85670D">
      <w:pPr>
        <w:rPr>
          <w:rFonts w:hint="default" w:ascii="Times New Roman" w:hAnsi="Times New Roman" w:cs="Times New Roman"/>
        </w:rPr>
      </w:pPr>
    </w:p>
    <w:p w14:paraId="1B3AB364">
      <w:pPr>
        <w:rPr>
          <w:rFonts w:hint="default" w:ascii="Times New Roman" w:hAnsi="Times New Roman" w:cs="Times New Roman"/>
          <w:b/>
          <w:bCs/>
        </w:rPr>
      </w:pPr>
      <w:r>
        <w:rPr>
          <w:rFonts w:hint="default" w:ascii="Times New Roman" w:hAnsi="Times New Roman" w:cs="Times New Roman"/>
          <w:b/>
          <w:bCs/>
        </w:rPr>
        <w:t>2. Projection Using the Bayesian Age-Period-Cohort (BAPC) Model</w:t>
      </w:r>
    </w:p>
    <w:p w14:paraId="602B2FF5">
      <w:pPr>
        <w:rPr>
          <w:rFonts w:hint="default" w:ascii="Times New Roman" w:hAnsi="Times New Roman" w:cs="Times New Roman"/>
        </w:rPr>
      </w:pPr>
      <w:r>
        <w:rPr>
          <w:rFonts w:hint="default" w:ascii="Times New Roman" w:hAnsi="Times New Roman" w:cs="Times New Roman"/>
        </w:rPr>
        <w:t>To project LOCC incidence and mortality rates through 2036, we applied a Bayesian Age-Period-Cohort (BAPC) model, a statistical framework that decomposes temporal trends into age, period, and cohort effects while accounting for uncertainty.</w:t>
      </w:r>
    </w:p>
    <w:p w14:paraId="2E49E911">
      <w:pPr>
        <w:rPr>
          <w:rFonts w:hint="default" w:ascii="Times New Roman" w:hAnsi="Times New Roman" w:cs="Times New Roman"/>
        </w:rPr>
      </w:pPr>
    </w:p>
    <w:p w14:paraId="67D4A3D9">
      <w:pPr>
        <w:rPr>
          <w:rFonts w:hint="default" w:ascii="Times New Roman" w:hAnsi="Times New Roman" w:cs="Times New Roman"/>
          <w:b/>
          <w:bCs/>
        </w:rPr>
      </w:pPr>
      <w:r>
        <w:rPr>
          <w:rFonts w:hint="default" w:ascii="Times New Roman" w:hAnsi="Times New Roman" w:cs="Times New Roman"/>
          <w:b/>
          <w:bCs/>
        </w:rPr>
        <w:t>Model Specification:</w:t>
      </w:r>
    </w:p>
    <w:p w14:paraId="65ED6FD2">
      <w:pPr>
        <w:rPr>
          <w:rFonts w:hint="default" w:ascii="Times New Roman" w:hAnsi="Times New Roman" w:cs="Times New Roman"/>
        </w:rPr>
      </w:pPr>
      <w:r>
        <w:rPr>
          <w:rFonts w:hint="default" w:ascii="Times New Roman" w:hAnsi="Times New Roman" w:cs="Times New Roman"/>
        </w:rPr>
        <w:t>The BAPC model assumes a Poisson distribution for the number of incident cases or deaths:</w:t>
      </w:r>
    </w:p>
    <w:p w14:paraId="3907BBBB">
      <w:pPr>
        <w:rPr>
          <w:rFonts w:hint="default" w:ascii="Times New Roman" w:hAnsi="Times New Roman" w:cs="Times New Roman"/>
        </w:rPr>
      </w:pPr>
      <w:r>
        <w:rPr>
          <w:rFonts w:hint="eastAsia" w:ascii="Times New Roman" w:hAnsi="Times New Roman" w:cs="Times New Roman" w:eastAsiaTheme="minorEastAsia"/>
          <w:position w:val="-10"/>
          <w:lang w:eastAsia="zh-CN"/>
        </w:rPr>
        <w:object>
          <v:shape id="_x0000_i1028" o:spt="75" type="#_x0000_t75" style="height:16pt;width:127pt;" o:ole="t" filled="f" o:preferrelative="t" stroked="f" coordsize="21600,21600">
            <v:fill on="f" focussize="0,0"/>
            <v:stroke on="f"/>
            <v:imagedata r:id="rId5" o:title=""/>
            <o:lock v:ext="edit" aspectratio="t"/>
            <w10:wrap type="none"/>
            <w10:anchorlock/>
          </v:shape>
          <o:OLEObject Type="Embed" ProgID="Equation.KSEE3" ShapeID="_x0000_i1028" DrawAspect="Content" ObjectID="_1468075725" r:id="rId4">
            <o:LockedField>false</o:LockedField>
          </o:OLEObject>
        </w:object>
      </w:r>
    </w:p>
    <w:p w14:paraId="593A0C56">
      <w:pPr>
        <w:rPr>
          <w:rFonts w:hint="default" w:ascii="Times New Roman" w:hAnsi="Times New Roman" w:cs="Times New Roman"/>
        </w:rPr>
      </w:pPr>
      <w:r>
        <w:rPr>
          <w:rFonts w:hint="default" w:ascii="Times New Roman" w:hAnsi="Times New Roman" w:cs="Times New Roman"/>
        </w:rPr>
        <w:t xml:space="preserve">Where </w:t>
      </w:r>
      <w:r>
        <w:rPr>
          <w:rFonts w:hint="default" w:ascii="Times New Roman" w:hAnsi="Times New Roman" w:cs="Times New Roman"/>
          <w:position w:val="-8"/>
        </w:rPr>
        <w:object>
          <v:shape id="_x0000_i1029" o:spt="75" type="#_x0000_t75" style="height:15pt;width:22pt;" o:ole="t" filled="f" o:preferrelative="t" stroked="f" coordsize="21600,21600">
            <v:fill on="f" focussize="0,0"/>
            <v:stroke on="f"/>
            <v:imagedata r:id="rId7" o:title=""/>
            <o:lock v:ext="edit" aspectratio="t"/>
            <w10:wrap type="none"/>
            <w10:anchorlock/>
          </v:shape>
          <o:OLEObject Type="Embed" ProgID="Equation.KSEE3" ShapeID="_x0000_i1029" DrawAspect="Content" ObjectID="_1468075726" r:id="rId6">
            <o:LockedField>false</o:LockedField>
          </o:OLEObject>
        </w:object>
      </w:r>
      <w:r>
        <w:rPr>
          <w:rFonts w:hint="default" w:ascii="Times New Roman" w:hAnsi="Times New Roman" w:cs="Times New Roman"/>
          <w:lang w:val="en-US" w:eastAsia="zh-CN"/>
        </w:rPr>
        <w:t xml:space="preserve"> </w:t>
      </w:r>
      <w:r>
        <w:rPr>
          <w:rFonts w:hint="default" w:ascii="Times New Roman" w:hAnsi="Times New Roman" w:cs="Times New Roman"/>
        </w:rPr>
        <w:t xml:space="preserve">is the observed count in age group </w:t>
      </w:r>
      <w:r>
        <w:rPr>
          <w:rFonts w:hint="default" w:ascii="Times New Roman" w:hAnsi="Times New Roman" w:cs="Times New Roman"/>
          <w:position w:val="-6"/>
        </w:rPr>
        <w:object>
          <v:shape id="_x0000_i1030" o:spt="75" type="#_x0000_t75" style="height:11pt;width:10pt;" o:ole="t" filled="f" o:preferrelative="t" stroked="f" coordsize="21600,21600">
            <v:fill on="f" focussize="0,0"/>
            <v:stroke on="f"/>
            <v:imagedata r:id="rId9" o:title=""/>
            <o:lock v:ext="edit" aspectratio="t"/>
            <w10:wrap type="none"/>
            <w10:anchorlock/>
          </v:shape>
          <o:OLEObject Type="Embed" ProgID="Equation.KSEE3" ShapeID="_x0000_i1030" DrawAspect="Content" ObjectID="_1468075727" r:id="rId8">
            <o:LockedField>false</o:LockedField>
          </o:OLEObject>
        </w:object>
      </w:r>
      <w:r>
        <w:rPr>
          <w:rFonts w:hint="default" w:ascii="Times New Roman" w:hAnsi="Times New Roman" w:cs="Times New Roman"/>
          <w:lang w:val="en-US" w:eastAsia="zh-CN"/>
        </w:rPr>
        <w:t xml:space="preserve"> </w:t>
      </w:r>
      <w:r>
        <w:rPr>
          <w:rFonts w:hint="default" w:ascii="Times New Roman" w:hAnsi="Times New Roman" w:cs="Times New Roman"/>
        </w:rPr>
        <w:t xml:space="preserve">and period </w:t>
      </w:r>
      <w:r>
        <w:rPr>
          <w:rFonts w:hint="default" w:ascii="Times New Roman" w:hAnsi="Times New Roman" w:cs="Times New Roman"/>
          <w:position w:val="-10"/>
        </w:rPr>
        <w:object>
          <v:shape id="_x0000_i1031" o:spt="75" type="#_x0000_t75" style="height:13pt;width:12pt;" o:ole="t" filled="f" o:preferrelative="t" stroked="f" coordsize="21600,21600">
            <v:fill on="f" focussize="0,0"/>
            <v:stroke on="f"/>
            <v:imagedata r:id="rId11" o:title=""/>
            <o:lock v:ext="edit" aspectratio="t"/>
            <w10:wrap type="none"/>
            <w10:anchorlock/>
          </v:shape>
          <o:OLEObject Type="Embed" ProgID="Equation.KSEE3" ShapeID="_x0000_i1031" DrawAspect="Content" ObjectID="_1468075728" r:id="rId10">
            <o:LockedField>false</o:LockedField>
          </o:OLEObject>
        </w:objec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position w:val="-8"/>
          <w:lang w:val="en-US" w:eastAsia="zh-CN"/>
        </w:rPr>
        <w:object>
          <v:shape id="_x0000_i1032" o:spt="75" type="#_x0000_t75" style="height:15pt;width:23pt;" o:ole="t" filled="f" o:preferrelative="t" stroked="f" coordsize="21600,21600">
            <v:fill on="f" focussize="0,0"/>
            <v:stroke on="f"/>
            <v:imagedata r:id="rId13" o:title=""/>
            <o:lock v:ext="edit" aspectratio="t"/>
            <w10:wrap type="none"/>
            <w10:anchorlock/>
          </v:shape>
          <o:OLEObject Type="Embed" ProgID="Equation.KSEE3" ShapeID="_x0000_i1032" DrawAspect="Content" ObjectID="_1468075729" r:id="rId12">
            <o:LockedField>false</o:LockedField>
          </o:OLEObject>
        </w:object>
      </w:r>
      <w:r>
        <w:rPr>
          <w:rFonts w:hint="default" w:ascii="Times New Roman" w:hAnsi="Times New Roman" w:cs="Times New Roman"/>
          <w:lang w:val="en-US" w:eastAsia="zh-CN"/>
        </w:rPr>
        <w:t xml:space="preserve"> </w:t>
      </w:r>
      <w:r>
        <w:rPr>
          <w:rFonts w:hint="default" w:ascii="Times New Roman" w:hAnsi="Times New Roman" w:cs="Times New Roman"/>
        </w:rPr>
        <w:t xml:space="preserve">is the corresponding rate, and </w:t>
      </w:r>
      <w:r>
        <w:rPr>
          <w:rFonts w:hint="default" w:ascii="Times New Roman" w:hAnsi="Times New Roman" w:cs="Times New Roman"/>
          <w:position w:val="-8"/>
        </w:rPr>
        <w:object>
          <v:shape id="_x0000_i1033" o:spt="75" type="#_x0000_t75" style="height:15pt;width:24.95pt;" o:ole="t" filled="f" o:preferrelative="t" stroked="f" coordsize="21600,21600">
            <v:fill on="f" focussize="0,0"/>
            <v:stroke on="f"/>
            <v:imagedata r:id="rId15" o:title=""/>
            <o:lock v:ext="edit" aspectratio="t"/>
            <w10:wrap type="none"/>
            <w10:anchorlock/>
          </v:shape>
          <o:OLEObject Type="Embed" ProgID="Equation.KSEE3" ShapeID="_x0000_i1033" DrawAspect="Content" ObjectID="_1468075730" r:id="rId14">
            <o:LockedField>false</o:LockedField>
          </o:OLEObject>
        </w:object>
      </w:r>
      <w:r>
        <w:rPr>
          <w:rFonts w:hint="default" w:ascii="Times New Roman" w:hAnsi="Times New Roman" w:cs="Times New Roman"/>
          <w:lang w:val="en-US" w:eastAsia="zh-CN"/>
        </w:rPr>
        <w:t xml:space="preserve"> </w:t>
      </w:r>
      <w:r>
        <w:rPr>
          <w:rFonts w:hint="default" w:ascii="Times New Roman" w:hAnsi="Times New Roman" w:cs="Times New Roman"/>
        </w:rPr>
        <w:t>is the population at risk. The log rate is modeled as:</w:t>
      </w:r>
    </w:p>
    <w:p w14:paraId="60C4C488">
      <w:pPr>
        <w:rPr>
          <w:rFonts w:hint="eastAsia" w:ascii="Times New Roman" w:hAnsi="Times New Roman" w:cs="Times New Roman" w:eastAsiaTheme="minorEastAsia"/>
          <w:lang w:eastAsia="zh-CN"/>
        </w:rPr>
      </w:pPr>
      <w:r>
        <w:rPr>
          <w:rFonts w:hint="eastAsia" w:ascii="Times New Roman" w:hAnsi="Times New Roman" w:cs="Times New Roman" w:eastAsiaTheme="minorEastAsia"/>
          <w:position w:val="-10"/>
          <w:lang w:eastAsia="zh-CN"/>
        </w:rPr>
        <w:object>
          <v:shape id="_x0000_i1035" o:spt="75" type="#_x0000_t75" style="height:16pt;width:128pt;" o:ole="t" filled="f" o:preferrelative="t" stroked="f" coordsize="21600,21600">
            <v:path/>
            <v:fill on="f" focussize="0,0"/>
            <v:stroke on="f"/>
            <v:imagedata r:id="rId17" o:title=""/>
            <o:lock v:ext="edit" aspectratio="t"/>
            <w10:wrap type="none"/>
            <w10:anchorlock/>
          </v:shape>
          <o:OLEObject Type="Embed" ProgID="Equation.KSEE3" ShapeID="_x0000_i1035" DrawAspect="Content" ObjectID="_1468075731" r:id="rId16">
            <o:LockedField>false</o:LockedField>
          </o:OLEObject>
        </w:object>
      </w:r>
    </w:p>
    <w:p w14:paraId="32DF7D0F">
      <w:pPr>
        <w:rPr>
          <w:rFonts w:hint="default" w:ascii="Times New Roman" w:hAnsi="Times New Roman" w:cs="Times New Roman"/>
        </w:rPr>
      </w:pPr>
      <w:r>
        <w:rPr>
          <w:rFonts w:hint="default" w:ascii="Times New Roman" w:hAnsi="Times New Roman" w:cs="Times New Roman"/>
        </w:rPr>
        <w:t>Where μ</w:t>
      </w:r>
      <w:r>
        <w:rPr>
          <w:rFonts w:hint="default" w:ascii="Times New Roman" w:hAnsi="Times New Roman" w:cs="Times New Roman"/>
          <w:lang w:val="en-US" w:eastAsia="zh-CN"/>
        </w:rPr>
        <w:t xml:space="preserve"> </w:t>
      </w:r>
      <w:r>
        <w:rPr>
          <w:rFonts w:hint="default" w:ascii="Times New Roman" w:hAnsi="Times New Roman" w:cs="Times New Roman"/>
        </w:rPr>
        <w:t xml:space="preserve">is the intercept, </w:t>
      </w:r>
      <w:r>
        <w:rPr>
          <w:rFonts w:hint="default" w:ascii="Times New Roman" w:hAnsi="Times New Roman" w:cs="Times New Roman"/>
          <w:position w:val="-6"/>
        </w:rPr>
        <w:object>
          <v:shape id="_x0000_i1036" o:spt="75" type="#_x0000_t75" style="height:11pt;width:13.95pt;" o:ole="t" filled="f" o:preferrelative="t" stroked="f" coordsize="21600,21600">
            <v:fill on="f" focussize="0,0"/>
            <v:stroke on="f"/>
            <v:imagedata r:id="rId19" o:title=""/>
            <o:lock v:ext="edit" aspectratio="t"/>
            <w10:wrap type="none"/>
            <w10:anchorlock/>
          </v:shape>
          <o:OLEObject Type="Embed" ProgID="Equation.KSEE3" ShapeID="_x0000_i1036" DrawAspect="Content" ObjectID="_1468075732" r:id="rId18">
            <o:LockedField>false</o:LockedField>
          </o:OLEObject>
        </w:object>
      </w:r>
      <w:r>
        <w:rPr>
          <w:rFonts w:hint="default" w:ascii="Times New Roman" w:hAnsi="Times New Roman" w:cs="Times New Roman"/>
          <w:lang w:val="en-US" w:eastAsia="zh-CN"/>
        </w:rPr>
        <w:t xml:space="preserve"> </w:t>
      </w:r>
      <w:r>
        <w:rPr>
          <w:rFonts w:hint="default" w:ascii="Times New Roman" w:hAnsi="Times New Roman" w:cs="Times New Roman"/>
        </w:rPr>
        <w:t xml:space="preserve">denotes the age effect, </w:t>
      </w:r>
      <w:r>
        <w:rPr>
          <w:rFonts w:hint="default" w:ascii="Times New Roman" w:hAnsi="Times New Roman" w:cs="Times New Roman"/>
          <w:position w:val="-10"/>
        </w:rPr>
        <w:object>
          <v:shape id="_x0000_i1037" o:spt="75" type="#_x0000_t75" style="height:16pt;width:15pt;" o:ole="t" filled="f" o:preferrelative="t" stroked="f" coordsize="21600,21600">
            <v:fill on="f" focussize="0,0"/>
            <v:stroke on="f"/>
            <v:imagedata r:id="rId21" o:title=""/>
            <o:lock v:ext="edit" aspectratio="t"/>
            <w10:wrap type="none"/>
            <w10:anchorlock/>
          </v:shape>
          <o:OLEObject Type="Embed" ProgID="Equation.KSEE3" ShapeID="_x0000_i1037" DrawAspect="Content" ObjectID="_1468075733" r:id="rId20">
            <o:LockedField>false</o:LockedField>
          </o:OLEObject>
        </w:object>
      </w:r>
      <w:r>
        <w:rPr>
          <w:rFonts w:hint="default" w:ascii="Times New Roman" w:hAnsi="Times New Roman" w:cs="Times New Roman"/>
          <w:lang w:val="en-US" w:eastAsia="zh-CN"/>
        </w:rPr>
        <w:t xml:space="preserve"> </w:t>
      </w:r>
      <w:r>
        <w:rPr>
          <w:rFonts w:hint="default" w:ascii="Times New Roman" w:hAnsi="Times New Roman" w:cs="Times New Roman"/>
        </w:rPr>
        <w:t xml:space="preserve">the period effect, and </w:t>
      </w:r>
      <w:r>
        <w:rPr>
          <w:rFonts w:hint="default" w:ascii="Times New Roman" w:hAnsi="Times New Roman" w:cs="Times New Roman"/>
          <w:position w:val="-10"/>
        </w:rPr>
        <w:object>
          <v:shape id="_x0000_i1039" o:spt="75" type="#_x0000_t75" style="height:13pt;width:12pt;" o:ole="t" filled="f" o:preferrelative="t" stroked="f" coordsize="21600,21600">
            <v:fill on="f" focussize="0,0"/>
            <v:stroke on="f"/>
            <v:imagedata r:id="rId23" o:title=""/>
            <o:lock v:ext="edit" aspectratio="t"/>
            <w10:wrap type="none"/>
            <w10:anchorlock/>
          </v:shape>
          <o:OLEObject Type="Embed" ProgID="Equation.KSEE3" ShapeID="_x0000_i1039" DrawAspect="Content" ObjectID="_1468075734" r:id="rId22">
            <o:LockedField>false</o:LockedField>
          </o:OLEObject>
        </w:object>
      </w:r>
      <w:r>
        <w:rPr>
          <w:rFonts w:hint="default" w:ascii="Times New Roman" w:hAnsi="Times New Roman" w:cs="Times New Roman"/>
          <w:lang w:val="en-US" w:eastAsia="zh-CN"/>
        </w:rPr>
        <w:t xml:space="preserve"> </w:t>
      </w:r>
      <w:r>
        <w:rPr>
          <w:rFonts w:hint="default" w:ascii="Times New Roman" w:hAnsi="Times New Roman" w:cs="Times New Roman"/>
        </w:rPr>
        <w:t xml:space="preserve">the cohort effect (with </w:t>
      </w:r>
      <w:r>
        <w:rPr>
          <w:rFonts w:hint="default" w:ascii="Times New Roman" w:hAnsi="Times New Roman" w:cs="Times New Roman"/>
          <w:position w:val="-10"/>
        </w:rPr>
        <w:object>
          <v:shape id="_x0000_i1040" o:spt="75" type="#_x0000_t75" style="height:13pt;width:46pt;" o:ole="t" filled="f" o:preferrelative="t" stroked="f" coordsize="21600,21600">
            <v:fill on="f" focussize="0,0"/>
            <v:stroke on="f"/>
            <v:imagedata r:id="rId25" o:title=""/>
            <o:lock v:ext="edit" aspectratio="t"/>
            <w10:wrap type="none"/>
            <w10:anchorlock/>
          </v:shape>
          <o:OLEObject Type="Embed" ProgID="Equation.KSEE3" ShapeID="_x0000_i1040" DrawAspect="Content" ObjectID="_1468075735" r:id="rId24">
            <o:LockedField>false</o:LockedField>
          </o:OLEObject>
        </w:object>
      </w:r>
      <w:bookmarkStart w:id="0" w:name="_GoBack"/>
      <w:bookmarkEnd w:id="0"/>
      <w:r>
        <w:rPr>
          <w:rFonts w:hint="default" w:ascii="Times New Roman" w:hAnsi="Times New Roman" w:cs="Times New Roman"/>
        </w:rPr>
        <w:t>).</w:t>
      </w:r>
    </w:p>
    <w:p w14:paraId="18CD617A">
      <w:pPr>
        <w:pStyle w:val="2"/>
        <w:keepNext w:val="0"/>
        <w:keepLines w:val="0"/>
        <w:widowControl/>
        <w:suppressLineNumbers w:val="0"/>
        <w:rPr>
          <w:rFonts w:hint="default" w:ascii="Times New Roman" w:hAnsi="Times New Roman" w:cs="Times New Roman"/>
        </w:rPr>
      </w:pPr>
      <w:r>
        <w:rPr>
          <w:rStyle w:val="5"/>
          <w:rFonts w:hint="default" w:ascii="Times New Roman" w:hAnsi="Times New Roman" w:cs="Times New Roman"/>
        </w:rPr>
        <w:t>Prior Specification and Computation:</w:t>
      </w:r>
      <w:r>
        <w:rPr>
          <w:rFonts w:hint="default" w:ascii="Times New Roman" w:hAnsi="Times New Roman" w:cs="Times New Roman"/>
        </w:rPr>
        <w:br w:type="textWrapping"/>
      </w:r>
      <w:r>
        <w:rPr>
          <w:rFonts w:hint="default" w:ascii="Times New Roman" w:hAnsi="Times New Roman" w:cs="Times New Roman"/>
        </w:rPr>
        <w:t xml:space="preserve">We assigned second-order random walk (RW2) priors to age, period, and cohort effects to enforce smoothness across adjacent groups. Posterior distributions were estimated using Integrated Nested Laplace Approximation (INLA), implemented in R via the </w:t>
      </w:r>
      <w:r>
        <w:rPr>
          <w:rStyle w:val="6"/>
          <w:rFonts w:hint="default" w:ascii="Times New Roman" w:hAnsi="Times New Roman" w:cs="Times New Roman"/>
        </w:rPr>
        <w:t>BAPC</w:t>
      </w:r>
      <w:r>
        <w:rPr>
          <w:rFonts w:hint="default" w:ascii="Times New Roman" w:hAnsi="Times New Roman" w:cs="Times New Roman"/>
        </w:rPr>
        <w:t xml:space="preserve"> and </w:t>
      </w:r>
      <w:r>
        <w:rPr>
          <w:rStyle w:val="6"/>
          <w:rFonts w:hint="default" w:ascii="Times New Roman" w:hAnsi="Times New Roman" w:cs="Times New Roman"/>
        </w:rPr>
        <w:t>INLA</w:t>
      </w:r>
      <w:r>
        <w:rPr>
          <w:rFonts w:hint="default" w:ascii="Times New Roman" w:hAnsi="Times New Roman" w:cs="Times New Roman"/>
        </w:rPr>
        <w:t xml:space="preserve"> packages.</w:t>
      </w:r>
    </w:p>
    <w:p w14:paraId="7F5D0F08">
      <w:pPr>
        <w:pStyle w:val="2"/>
        <w:keepNext w:val="0"/>
        <w:keepLines w:val="0"/>
        <w:widowControl/>
        <w:suppressLineNumbers w:val="0"/>
        <w:rPr>
          <w:rFonts w:hint="default" w:ascii="Times New Roman" w:hAnsi="Times New Roman" w:cs="Times New Roman"/>
        </w:rPr>
      </w:pPr>
      <w:r>
        <w:rPr>
          <w:rStyle w:val="5"/>
          <w:rFonts w:hint="default" w:ascii="Times New Roman" w:hAnsi="Times New Roman" w:cs="Times New Roman"/>
        </w:rPr>
        <w:t>Projection Window:</w:t>
      </w:r>
      <w:r>
        <w:rPr>
          <w:rFonts w:hint="default" w:ascii="Times New Roman" w:hAnsi="Times New Roman" w:cs="Times New Roman"/>
        </w:rPr>
        <w:br w:type="textWrapping"/>
      </w:r>
      <w:r>
        <w:rPr>
          <w:rFonts w:hint="default" w:ascii="Times New Roman" w:hAnsi="Times New Roman" w:cs="Times New Roman"/>
        </w:rPr>
        <w:t>The model was trained on GBD 2021 data from 1990 to 2019, with projections made for the years 2020–2036. Population projections used for forecasting were obtained from the GBD Study.</w:t>
      </w:r>
    </w:p>
    <w:p w14:paraId="5FD3F62B">
      <w:pPr>
        <w:pStyle w:val="2"/>
        <w:keepNext w:val="0"/>
        <w:keepLines w:val="0"/>
        <w:widowControl/>
        <w:suppressLineNumbers w:val="0"/>
        <w:rPr>
          <w:rFonts w:hint="default" w:ascii="Times New Roman" w:hAnsi="Times New Roman" w:cs="Times New Roman"/>
        </w:rPr>
      </w:pPr>
      <w:r>
        <w:rPr>
          <w:rStyle w:val="5"/>
          <w:rFonts w:hint="default" w:ascii="Times New Roman" w:hAnsi="Times New Roman" w:cs="Times New Roman"/>
        </w:rPr>
        <w:t>Validation:</w:t>
      </w:r>
      <w:r>
        <w:rPr>
          <w:rFonts w:hint="default" w:ascii="Times New Roman" w:hAnsi="Times New Roman" w:cs="Times New Roman"/>
        </w:rPr>
        <w:br w:type="textWrapping"/>
      </w:r>
      <w:r>
        <w:rPr>
          <w:rFonts w:hint="default" w:ascii="Times New Roman" w:hAnsi="Times New Roman" w:cs="Times New Roman"/>
        </w:rPr>
        <w:t>We performed out-of-sample validation to evaluate the predictive accuracy of the BAPC model. The model showed good agreement between observed and predicted trends across most regions.</w:t>
      </w:r>
    </w:p>
    <w:p w14:paraId="30B9CF3F">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901D1F"/>
    <w:rsid w:val="26901D1F"/>
    <w:rsid w:val="37F16A56"/>
    <w:rsid w:val="5A324B39"/>
    <w:rsid w:val="6A0231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TML Code"/>
    <w:basedOn w:val="4"/>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image" Target="media/image11.wmf"/><Relationship Id="rId24" Type="http://schemas.openxmlformats.org/officeDocument/2006/relationships/oleObject" Target="embeddings/oleObject11.bin"/><Relationship Id="rId23" Type="http://schemas.openxmlformats.org/officeDocument/2006/relationships/image" Target="media/image10.wmf"/><Relationship Id="rId22" Type="http://schemas.openxmlformats.org/officeDocument/2006/relationships/oleObject" Target="embeddings/oleObject10.bin"/><Relationship Id="rId21" Type="http://schemas.openxmlformats.org/officeDocument/2006/relationships/image" Target="media/image9.w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8.bin"/><Relationship Id="rId17" Type="http://schemas.openxmlformats.org/officeDocument/2006/relationships/image" Target="media/image7.wmf"/><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2025-08-05T13:12:00Z</dcterms:created>
  <dc:creator>王小磊</dc:creator>
  <cp:lastModifiedBy>王小磊</cp:lastModifiedBy>
  <dcterms:modified xsi:type="dcterms:W3CDTF">2025-08-05T13:32:41Z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605B5C18493147E2A9EB9FB0489217C8_11</vt:lpwstr>
  </property>
  <property fmtid="{D5CDD505-2E9C-101B-9397-08002B2CF9AE}" pid="4" name="KSOTemplateDocerSaveRecord">
    <vt:lpwstr>eyJoZGlkIjoiMzhkNzAxYjk2MDM4NTg2M2I4ZDI3OGQ5Njk5M2I3YTgiLCJ1c2VySWQiOiIzNzg4Mzg2MzIifQ==</vt:lpwstr>
  </property>
</Properties>
</file>