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AF872" w14:textId="6C414198" w:rsidR="0073541C" w:rsidRPr="00A404F0" w:rsidRDefault="0073541C" w:rsidP="0073541C">
      <w:pPr>
        <w:spacing w:line="480" w:lineRule="auto"/>
        <w:jc w:val="both"/>
        <w:rPr>
          <w:rFonts w:cstheme="minorBidi"/>
          <w:b/>
          <w:bCs/>
        </w:rPr>
      </w:pPr>
      <w:r w:rsidRPr="00A404F0">
        <w:rPr>
          <w:rFonts w:cstheme="minorBidi"/>
          <w:b/>
          <w:bCs/>
        </w:rPr>
        <w:t xml:space="preserve">The multi-stage optimisation protocol for Fit4Transplant: Utilising sequential </w:t>
      </w:r>
      <w:proofErr w:type="gramStart"/>
      <w:r w:rsidRPr="00A404F0">
        <w:rPr>
          <w:rFonts w:cstheme="minorBidi"/>
          <w:b/>
          <w:bCs/>
        </w:rPr>
        <w:t>single-arm</w:t>
      </w:r>
      <w:proofErr w:type="gramEnd"/>
      <w:r w:rsidRPr="00A404F0">
        <w:rPr>
          <w:rFonts w:cstheme="minorBidi"/>
          <w:b/>
          <w:bCs/>
        </w:rPr>
        <w:t xml:space="preserve"> </w:t>
      </w:r>
      <w:proofErr w:type="spellStart"/>
      <w:r w:rsidRPr="00A404F0">
        <w:rPr>
          <w:rFonts w:cstheme="minorBidi"/>
          <w:b/>
          <w:bCs/>
        </w:rPr>
        <w:t>bayesian</w:t>
      </w:r>
      <w:proofErr w:type="spellEnd"/>
      <w:r w:rsidRPr="00A404F0">
        <w:rPr>
          <w:rFonts w:cstheme="minorBidi"/>
          <w:b/>
          <w:bCs/>
        </w:rPr>
        <w:t xml:space="preserve"> optimal phase II adaptive trials and co-design to iteratively improve and evaluate an exercise prehabilitation service for haematological cancer patients.  </w:t>
      </w:r>
    </w:p>
    <w:p w14:paraId="583A13B1" w14:textId="77777777" w:rsidR="0073541C" w:rsidRPr="00A404F0" w:rsidRDefault="0073541C" w:rsidP="0073541C">
      <w:pPr>
        <w:spacing w:line="480" w:lineRule="auto"/>
        <w:jc w:val="both"/>
      </w:pPr>
    </w:p>
    <w:p w14:paraId="355B6867" w14:textId="1BA02F03" w:rsidR="001C6E1E" w:rsidRPr="00A404F0" w:rsidRDefault="0073541C">
      <w:r w:rsidRPr="00A404F0">
        <w:t>Supplementary File</w:t>
      </w:r>
      <w:r w:rsidR="002A3294">
        <w:t xml:space="preserve"> 6</w:t>
      </w:r>
      <w:r w:rsidRPr="00A404F0">
        <w:t xml:space="preserve"> </w:t>
      </w:r>
      <w:r w:rsidR="00DC5387" w:rsidRPr="00A404F0">
        <w:t xml:space="preserve">– Statistical Information </w:t>
      </w:r>
    </w:p>
    <w:p w14:paraId="0E2196BA" w14:textId="77777777" w:rsidR="00DC5387" w:rsidRPr="00A404F0" w:rsidRDefault="00DC5387"/>
    <w:p w14:paraId="504CE1E8" w14:textId="77777777" w:rsidR="00DC5387" w:rsidRPr="00A404F0" w:rsidRDefault="00DC5387"/>
    <w:p w14:paraId="026AB604" w14:textId="48C98023" w:rsidR="00630113" w:rsidRPr="00A404F0" w:rsidRDefault="00DC5387" w:rsidP="00DC5387">
      <w:pPr>
        <w:spacing w:before="180" w:after="180" w:line="480" w:lineRule="auto"/>
        <w:ind w:firstLine="720"/>
        <w:jc w:val="both"/>
        <w:rPr>
          <w:color w:val="000000" w:themeColor="text1"/>
          <w:lang w:val="en-US"/>
        </w:rPr>
      </w:pPr>
      <w:r w:rsidRPr="00A404F0">
        <w:rPr>
          <w:color w:val="000000" w:themeColor="text1"/>
          <w:lang w:val="en-US"/>
        </w:rPr>
        <w:t xml:space="preserve">The efficacy endpoint will be monitored using the Bayesian optimal phase 2 (BOP2) design </w:t>
      </w:r>
      <w:r w:rsidRPr="00A404F0">
        <w:rPr>
          <w:color w:val="000000" w:themeColor="text1"/>
          <w:lang w:val="en-US"/>
        </w:rPr>
        <w:fldChar w:fldCharType="begin"/>
      </w:r>
      <w:r w:rsidRPr="00A404F0">
        <w:rPr>
          <w:color w:val="000000" w:themeColor="text1"/>
          <w:lang w:val="en-US"/>
        </w:rPr>
        <w:instrText xml:space="preserve"> ADDIN EN.CITE &lt;EndNote&gt;&lt;Cite&gt;&lt;Author&gt;Zhou&lt;/Author&gt;&lt;Year&gt;2017&lt;/Year&gt;&lt;RecNum&gt;7582&lt;/RecNum&gt;&lt;DisplayText&gt;[36]&lt;/DisplayText&gt;&lt;record&gt;&lt;rec-number&gt;7582&lt;/rec-number&gt;&lt;foreign-keys&gt;&lt;key app="EN" db-id="f0a0tapx99sppjew99u55fdyfttvzt99a5za" timestamp="1701057812"&gt;7582&lt;/key&gt;&lt;/foreign-keys&gt;&lt;ref-type name="Journal Article"&gt;17&lt;/ref-type&gt;&lt;contributors&gt;&lt;authors&gt;&lt;author&gt;Zhou, H.&lt;/author&gt;&lt;author&gt;Lee, J. J.&lt;/author&gt;&lt;author&gt;Yuan, Y.&lt;/author&gt;&lt;/authors&gt;&lt;/contributors&gt;&lt;auth-address&gt;Department of Biostatistics, The University of Texas MD Anderson Cancer Center, Houston, 77030, Texas, U.S.A.&lt;/auth-address&gt;&lt;titles&gt;&lt;title&gt;BOP2: Bayesian optimal design for phase II clinical trials with simple and complex endpoints&lt;/title&gt;&lt;secondary-title&gt;Stat Med&lt;/secondary-title&gt;&lt;/titles&gt;&lt;periodical&gt;&lt;full-title&gt;Stat Med&lt;/full-title&gt;&lt;/periodical&gt;&lt;pages&gt;3302-3314&lt;/pages&gt;&lt;volume&gt;36&lt;/volume&gt;&lt;number&gt;21&lt;/number&gt;&lt;edition&gt;20170607&lt;/edition&gt;&lt;keywords&gt;&lt;keyword&gt;*Bayes Theorem&lt;/keyword&gt;&lt;keyword&gt;Bias&lt;/keyword&gt;&lt;keyword&gt;Clinical Trials, Phase II as Topic/*methods&lt;/keyword&gt;&lt;keyword&gt;Computer Simulation&lt;/keyword&gt;&lt;keyword&gt;*Endpoint Determination&lt;/keyword&gt;&lt;keyword&gt;Humans&lt;/keyword&gt;&lt;keyword&gt;Multivariate Analysis&lt;/keyword&gt;&lt;keyword&gt;Research Design&lt;/keyword&gt;&lt;keyword&gt;Sample Size&lt;/keyword&gt;&lt;keyword&gt;Treatment Outcome&lt;/keyword&gt;&lt;keyword&gt;Bayesian adaptive design&lt;/keyword&gt;&lt;keyword&gt;co-primary endpoints&lt;/keyword&gt;&lt;keyword&gt;early stopping&lt;/keyword&gt;&lt;keyword&gt;immunotherapy&lt;/keyword&gt;&lt;keyword&gt;ordinal endpoint&lt;/keyword&gt;&lt;/keywords&gt;&lt;dates&gt;&lt;year&gt;2017&lt;/year&gt;&lt;pub-dates&gt;&lt;date&gt;Sep 20&lt;/date&gt;&lt;/pub-dates&gt;&lt;/dates&gt;&lt;isbn&gt;0277-6715&lt;/isbn&gt;&lt;accession-num&gt;28589563&lt;/accession-num&gt;&lt;urls&gt;&lt;/urls&gt;&lt;electronic-resource-num&gt;10.1002/sim.7338&lt;/electronic-resource-num&gt;&lt;remote-database-provider&gt;NLM&lt;/remote-database-provider&gt;&lt;language&gt;eng&lt;/language&gt;&lt;/record&gt;&lt;/Cite&gt;&lt;/EndNote&gt;</w:instrText>
      </w:r>
      <w:r w:rsidRPr="00A404F0">
        <w:rPr>
          <w:color w:val="000000" w:themeColor="text1"/>
          <w:lang w:val="en-US"/>
        </w:rPr>
        <w:fldChar w:fldCharType="separate"/>
      </w:r>
      <w:r w:rsidRPr="00A404F0">
        <w:rPr>
          <w:noProof/>
          <w:color w:val="000000" w:themeColor="text1"/>
          <w:lang w:val="en-US"/>
        </w:rPr>
        <w:t>[36]</w:t>
      </w:r>
      <w:r w:rsidRPr="00A404F0">
        <w:rPr>
          <w:color w:val="000000" w:themeColor="text1"/>
          <w:lang w:val="en-US"/>
        </w:rPr>
        <w:fldChar w:fldCharType="end"/>
      </w:r>
      <w:r w:rsidRPr="00A404F0">
        <w:rPr>
          <w:color w:val="000000" w:themeColor="text1"/>
          <w:lang w:val="en-US"/>
        </w:rPr>
        <w:t xml:space="preserve">. Specifically, let </w:t>
      </w:r>
      <m:oMath>
        <m:r>
          <w:rPr>
            <w:rFonts w:ascii="Cambria Math" w:hAnsi="Cambria Math"/>
          </w:rPr>
          <m:t>n </m:t>
        </m:r>
      </m:oMath>
      <w:r w:rsidRPr="00A404F0">
        <w:rPr>
          <w:color w:val="000000" w:themeColor="text1"/>
          <w:lang w:val="en-US"/>
        </w:rPr>
        <w:t xml:space="preserve">denote the interim sample size and </w:t>
      </w:r>
      <w:r w:rsidR="0033626C" w:rsidRPr="00A404F0">
        <w:rPr>
          <w:i/>
          <w:iCs/>
          <w:color w:val="000000" w:themeColor="text1"/>
          <w:lang w:val="en-US"/>
        </w:rPr>
        <w:t>N</w:t>
      </w:r>
      <w:r w:rsidR="0033626C" w:rsidRPr="00A404F0">
        <w:rPr>
          <w:color w:val="000000" w:themeColor="text1"/>
          <w:lang w:val="en-US"/>
        </w:rPr>
        <w:t xml:space="preserve"> </w:t>
      </w:r>
      <w:r w:rsidRPr="00A404F0">
        <w:rPr>
          <w:color w:val="000000" w:themeColor="text1"/>
          <w:lang w:val="en-US"/>
        </w:rPr>
        <w:t xml:space="preserve">denote the maximum sample size. Let </w:t>
      </w:r>
      <m:oMath>
        <m:sSub>
          <m:sSubPr>
            <m:ctrlPr>
              <w:rPr>
                <w:rFonts w:ascii="Cambria Math" w:hAnsi="Cambria Math"/>
              </w:rPr>
            </m:ctrlPr>
          </m:sSubPr>
          <m:e>
            <m:r>
              <w:rPr>
                <w:rFonts w:ascii="Cambria Math" w:hAnsi="Cambria Math"/>
              </w:rPr>
              <m:t>p</m:t>
            </m:r>
          </m:e>
          <m:sub>
            <m:r>
              <w:rPr>
                <w:rFonts w:ascii="Cambria Math" w:hAnsi="Cambria Math"/>
              </w:rPr>
              <m:t>eff</m:t>
            </m:r>
          </m:sub>
        </m:sSub>
      </m:oMath>
      <w:r w:rsidR="00370662" w:rsidRPr="00A404F0">
        <w:rPr>
          <w:color w:val="000000" w:themeColor="text1"/>
          <w:lang w:val="en-US"/>
        </w:rPr>
        <w:t xml:space="preserve"> </w:t>
      </w:r>
      <w:r w:rsidRPr="00A404F0">
        <w:rPr>
          <w:color w:val="000000" w:themeColor="text1"/>
          <w:lang w:val="en-US"/>
        </w:rPr>
        <w:t>denote the objective response rate and define the null hypothesis</w:t>
      </w:r>
      <w:r w:rsidR="00AB274B" w:rsidRPr="00A404F0">
        <w:rPr>
          <w:color w:val="000000" w:themeColor="text1"/>
          <w:lang w:val="en-US"/>
        </w:rPr>
        <w:t xml:space="preserve"> </w:t>
      </w:r>
      <m:oMath>
        <m:sSub>
          <m:sSubPr>
            <m:ctrlPr>
              <w:rPr>
                <w:rFonts w:ascii="Cambria Math" w:hAnsi="Cambria Math"/>
              </w:rPr>
            </m:ctrlPr>
          </m:sSubPr>
          <m:e>
            <m:r>
              <w:rPr>
                <w:rFonts w:ascii="Cambria Math" w:hAnsi="Cambria Math"/>
              </w:rPr>
              <m:t>H</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eff</m:t>
            </m:r>
          </m:sub>
        </m:sSub>
        <m:r>
          <w:rPr>
            <w:rFonts w:ascii="Cambria Math" w:hAnsi="Cambria Math"/>
          </w:rPr>
          <m:t>≤0.385</m:t>
        </m:r>
      </m:oMath>
      <w:r w:rsidRPr="00A404F0">
        <w:rPr>
          <w:color w:val="000000" w:themeColor="text1"/>
          <w:lang w:val="en-US"/>
        </w:rPr>
        <w:t>, under which the treatment is deemed as unacceptable. We will stop enrolling patients and claim that the treatment is unacceptable</w:t>
      </w:r>
      <w:r w:rsidR="00630113" w:rsidRPr="00A404F0">
        <w:rPr>
          <w:color w:val="000000" w:themeColor="text1"/>
          <w:lang w:val="en-US"/>
        </w:rPr>
        <w:t xml:space="preserve"> if</w:t>
      </w:r>
      <w:r w:rsidRPr="00A404F0">
        <w:rPr>
          <w:color w:val="000000" w:themeColor="text1"/>
          <w:lang w:val="en-US"/>
        </w:rPr>
        <w:t xml:space="preserve">: </w:t>
      </w:r>
    </w:p>
    <w:p w14:paraId="624B68ED" w14:textId="329124E0" w:rsidR="00630113" w:rsidRPr="00A404F0" w:rsidRDefault="00000000" w:rsidP="00DC5387">
      <w:pPr>
        <w:spacing w:before="180" w:after="180" w:line="480" w:lineRule="auto"/>
        <w:ind w:firstLine="720"/>
        <w:jc w:val="both"/>
        <w:rPr>
          <w:color w:val="000000" w:themeColor="text1"/>
          <w:lang w:val="en-US"/>
        </w:rPr>
      </w:pPr>
      <m:oMathPara>
        <m:oMath>
          <m:func>
            <m:funcPr>
              <m:ctrlPr>
                <w:rPr>
                  <w:rFonts w:ascii="Cambria Math" w:hAnsi="Cambria Math"/>
                </w:rPr>
              </m:ctrlPr>
            </m:funcPr>
            <m:fName>
              <m:r>
                <m:rPr>
                  <m:sty m:val="p"/>
                </m:rPr>
                <w:rPr>
                  <w:rFonts w:ascii="Cambria Math" w:hAnsi="Cambria Math"/>
                </w:rPr>
                <m:t>Pr</m:t>
              </m:r>
            </m:fName>
            <m:e>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eff</m:t>
                      </m:r>
                    </m:sub>
                  </m:sSub>
                  <m:r>
                    <w:rPr>
                      <w:rFonts w:ascii="Cambria Math" w:hAnsi="Cambria Math"/>
                    </w:rPr>
                    <m:t>&gt;0.385 </m:t>
                  </m:r>
                  <m:d>
                    <m:dPr>
                      <m:begChr m:val="|"/>
                      <m:endChr m:val="|"/>
                      <m:ctrlPr>
                        <w:rPr>
                          <w:rFonts w:ascii="Cambria Math" w:hAnsi="Cambria Math"/>
                        </w:rPr>
                      </m:ctrlPr>
                    </m:dPr>
                    <m:e>
                      <m:r>
                        <w:rPr>
                          <w:rFonts w:ascii="Cambria Math" w:hAnsi="Cambria Math"/>
                        </w:rPr>
                        <m:t> data</m:t>
                      </m:r>
                    </m:e>
                  </m:d>
                </m:e>
              </m:d>
            </m:e>
          </m:func>
          <m:r>
            <w:rPr>
              <w:rFonts w:ascii="Cambria Math" w:hAnsi="Cambria Math"/>
            </w:rPr>
            <m:t> &lt; λ</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n</m:t>
                      </m:r>
                    </m:num>
                    <m:den>
                      <m:r>
                        <w:rPr>
                          <w:rFonts w:ascii="Cambria Math" w:hAnsi="Cambria Math"/>
                        </w:rPr>
                        <m:t>N</m:t>
                      </m:r>
                    </m:den>
                  </m:f>
                </m:e>
              </m:d>
            </m:e>
            <m:sup>
              <m:r>
                <w:rPr>
                  <w:rFonts w:ascii="Cambria Math" w:hAnsi="Cambria Math"/>
                </w:rPr>
                <m:t>α</m:t>
              </m:r>
            </m:sup>
          </m:sSup>
        </m:oMath>
      </m:oMathPara>
    </w:p>
    <w:p w14:paraId="42D1BEFB" w14:textId="37DB3FA7" w:rsidR="00BC4095" w:rsidRPr="00A404F0" w:rsidRDefault="00BC4095" w:rsidP="00BC4095">
      <w:pPr>
        <w:spacing w:before="180" w:after="180" w:line="480" w:lineRule="auto"/>
        <w:rPr>
          <w:color w:val="000000" w:themeColor="text1"/>
          <w:lang w:val="en-US"/>
        </w:rPr>
      </w:pPr>
      <w:r w:rsidRPr="00A404F0">
        <w:rPr>
          <w:color w:val="000000" w:themeColor="text1"/>
          <w:lang w:val="en-US"/>
        </w:rPr>
        <w:t xml:space="preserve"> </w:t>
      </w:r>
      <w:r w:rsidRPr="00A404F0">
        <w:rPr>
          <w:lang w:val="en-US"/>
        </w:rPr>
        <w:t xml:space="preserve">where </w:t>
      </w:r>
      <m:oMath>
        <m:r>
          <w:rPr>
            <w:rFonts w:ascii="Cambria Math" w:hAnsi="Cambria Math"/>
          </w:rPr>
          <m:t>λ= 0.94 </m:t>
        </m:r>
      </m:oMath>
      <w:r w:rsidRPr="00A404F0">
        <w:rPr>
          <w:lang w:val="en-US"/>
        </w:rPr>
        <w:t xml:space="preserve">and </w:t>
      </w:r>
      <m:oMath>
        <m:r>
          <w:rPr>
            <w:rFonts w:ascii="Cambria Math" w:hAnsi="Cambria Math"/>
          </w:rPr>
          <m:t>α=0.86</m:t>
        </m:r>
      </m:oMath>
      <w:r w:rsidRPr="00A404F0">
        <w:rPr>
          <w:lang w:val="en-US"/>
        </w:rPr>
        <w:t xml:space="preserve"> are design parameters optimized to maximize power under the alternative hypothesis </w:t>
      </w:r>
      <m:oMath>
        <m:sSub>
          <m:sSubPr>
            <m:ctrlPr>
              <w:rPr>
                <w:rFonts w:ascii="Cambria Math" w:hAnsi="Cambria Math"/>
              </w:rPr>
            </m:ctrlPr>
          </m:sSubPr>
          <m:e>
            <m:r>
              <w:rPr>
                <w:rFonts w:ascii="Cambria Math" w:hAnsi="Cambria Math"/>
              </w:rPr>
              <m:t>H</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eff</m:t>
            </m:r>
          </m:sub>
        </m:sSub>
        <m:r>
          <w:rPr>
            <w:rFonts w:ascii="Cambria Math" w:hAnsi="Cambria Math"/>
          </w:rPr>
          <m:t>=0.58 </m:t>
        </m:r>
      </m:oMath>
      <w:r w:rsidRPr="00A404F0">
        <w:rPr>
          <w:lang w:val="en-US"/>
        </w:rPr>
        <w:t xml:space="preserve"> , (i.e., the probability of correctly claiming that the treatment is acceptable under </w:t>
      </w:r>
      <m:oMath>
        <m:sSub>
          <m:sSubPr>
            <m:ctrlPr>
              <w:rPr>
                <w:rFonts w:ascii="Cambria Math" w:hAnsi="Cambria Math"/>
              </w:rPr>
            </m:ctrlPr>
          </m:sSubPr>
          <m:e>
            <m:r>
              <w:rPr>
                <w:rFonts w:ascii="Cambria Math" w:hAnsi="Cambria Math"/>
              </w:rPr>
              <m:t>H</m:t>
            </m:r>
          </m:e>
          <m:sub>
            <m:r>
              <w:rPr>
                <w:rFonts w:ascii="Cambria Math" w:hAnsi="Cambria Math"/>
              </w:rPr>
              <m:t>1</m:t>
            </m:r>
          </m:sub>
        </m:sSub>
      </m:oMath>
      <w:r w:rsidRPr="00A404F0">
        <w:rPr>
          <w:lang w:val="en-US"/>
        </w:rPr>
        <w:t xml:space="preserve">), while controlling the type I error rate (i.e., the probability of incorrectly claiming that the treatment is acceptable under </w:t>
      </w:r>
      <m:oMath>
        <m:sSub>
          <m:sSubPr>
            <m:ctrlPr>
              <w:rPr>
                <w:rFonts w:ascii="Cambria Math" w:hAnsi="Cambria Math"/>
              </w:rPr>
            </m:ctrlPr>
          </m:sSubPr>
          <m:e>
            <m:r>
              <w:rPr>
                <w:rFonts w:ascii="Cambria Math" w:hAnsi="Cambria Math"/>
              </w:rPr>
              <m:t>H</m:t>
            </m:r>
          </m:e>
          <m:sub>
            <m:r>
              <w:rPr>
                <w:rFonts w:ascii="Cambria Math" w:hAnsi="Cambria Math"/>
              </w:rPr>
              <m:t>0</m:t>
            </m:r>
          </m:sub>
        </m:sSub>
      </m:oMath>
      <w:r w:rsidRPr="00A404F0">
        <w:rPr>
          <w:lang w:val="en-US"/>
        </w:rPr>
        <w:t>) at 0.05. This optimization is performed assuming a vague prior Beta</w:t>
      </w:r>
      <w:r w:rsidR="00A404F0" w:rsidRPr="00A404F0">
        <w:rPr>
          <w:lang w:val="en-US"/>
        </w:rPr>
        <w:t xml:space="preserve"> </w:t>
      </w:r>
      <w:r w:rsidRPr="00A404F0">
        <w:rPr>
          <w:lang w:val="en-US"/>
        </w:rPr>
        <w:t xml:space="preserve">(0.385,0.615) for </w:t>
      </w:r>
      <m:oMath>
        <m:sSub>
          <m:sSubPr>
            <m:ctrlPr>
              <w:rPr>
                <w:rFonts w:ascii="Cambria Math" w:hAnsi="Cambria Math"/>
              </w:rPr>
            </m:ctrlPr>
          </m:sSubPr>
          <m:e>
            <m:r>
              <w:rPr>
                <w:rFonts w:ascii="Cambria Math" w:hAnsi="Cambria Math"/>
              </w:rPr>
              <m:t>p</m:t>
            </m:r>
          </m:e>
          <m:sub>
            <m:r>
              <w:rPr>
                <w:rFonts w:ascii="Cambria Math" w:hAnsi="Cambria Math"/>
              </w:rPr>
              <m:t>eff</m:t>
            </m:r>
          </m:sub>
        </m:sSub>
      </m:oMath>
      <w:r w:rsidRPr="00A404F0">
        <w:rPr>
          <w:lang w:val="en-US"/>
        </w:rPr>
        <w:t xml:space="preserve">. The above decision rule leads to the following stopping boundaries and yields a statistical power of 0.912 under </w:t>
      </w:r>
      <m:oMath>
        <m:sSub>
          <m:sSubPr>
            <m:ctrlPr>
              <w:rPr>
                <w:rFonts w:ascii="Cambria Math" w:hAnsi="Cambria Math"/>
              </w:rPr>
            </m:ctrlPr>
          </m:sSubPr>
          <m:e>
            <m:r>
              <w:rPr>
                <w:rFonts w:ascii="Cambria Math" w:hAnsi="Cambria Math"/>
              </w:rPr>
              <m:t>H</m:t>
            </m:r>
          </m:e>
          <m:sub>
            <m:r>
              <w:rPr>
                <w:rFonts w:ascii="Cambria Math" w:hAnsi="Cambria Math"/>
              </w:rPr>
              <m:t>1</m:t>
            </m:r>
          </m:sub>
        </m:sSub>
      </m:oMath>
      <w:r w:rsidRPr="00A404F0">
        <w:rPr>
          <w:lang w:val="en-US"/>
        </w:rPr>
        <w:t>:</w:t>
      </w:r>
    </w:p>
    <w:p w14:paraId="039883FF" w14:textId="4EC79B0C" w:rsidR="00BC4095" w:rsidRPr="00A404F0" w:rsidRDefault="00BC4095" w:rsidP="00BC4095">
      <w:pPr>
        <w:spacing w:line="480" w:lineRule="auto"/>
        <w:rPr>
          <w:rFonts w:eastAsiaTheme="minorEastAsia"/>
          <w:lang w:val="en-US"/>
        </w:rPr>
      </w:pPr>
      <w:r w:rsidRPr="00A404F0">
        <w:rPr>
          <w:rFonts w:eastAsiaTheme="minorEastAsia"/>
          <w:lang w:val="en-US"/>
        </w:rPr>
        <w:t xml:space="preserve">Table </w:t>
      </w:r>
      <w:r w:rsidR="00A404F0" w:rsidRPr="00A404F0">
        <w:rPr>
          <w:rFonts w:eastAsiaTheme="minorEastAsia"/>
          <w:lang w:val="en-US"/>
        </w:rPr>
        <w:t>1</w:t>
      </w:r>
      <w:r w:rsidRPr="00A404F0">
        <w:rPr>
          <w:rFonts w:eastAsiaTheme="minorEastAsia"/>
          <w:lang w:val="en-US"/>
        </w:rPr>
        <w:t>: Optimized stopping boundaries</w:t>
      </w:r>
    </w:p>
    <w:tbl>
      <w:tblPr>
        <w:tblW w:w="0" w:type="auto"/>
        <w:tblLayout w:type="fixed"/>
        <w:tblLook w:val="06A0" w:firstRow="1" w:lastRow="0" w:firstColumn="1" w:lastColumn="0" w:noHBand="1" w:noVBand="1"/>
      </w:tblPr>
      <w:tblGrid>
        <w:gridCol w:w="4508"/>
        <w:gridCol w:w="4508"/>
      </w:tblGrid>
      <w:tr w:rsidR="00BC4095" w:rsidRPr="00A404F0" w14:paraId="107F7F94" w14:textId="77777777" w:rsidTr="004333B7">
        <w:trPr>
          <w:trHeight w:val="300"/>
        </w:trPr>
        <w:tc>
          <w:tcPr>
            <w:tcW w:w="4508" w:type="dxa"/>
            <w:tcBorders>
              <w:top w:val="nil"/>
              <w:left w:val="nil"/>
              <w:bottom w:val="single" w:sz="8" w:space="0" w:color="auto"/>
              <w:right w:val="nil"/>
            </w:tcBorders>
            <w:tcMar>
              <w:left w:w="108" w:type="dxa"/>
              <w:right w:w="108" w:type="dxa"/>
            </w:tcMar>
            <w:vAlign w:val="bottom"/>
          </w:tcPr>
          <w:p w14:paraId="0D0C74D4"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 patients treated</w:t>
            </w:r>
          </w:p>
        </w:tc>
        <w:tc>
          <w:tcPr>
            <w:tcW w:w="4508" w:type="dxa"/>
            <w:tcBorders>
              <w:top w:val="nil"/>
              <w:left w:val="nil"/>
              <w:bottom w:val="single" w:sz="8" w:space="0" w:color="auto"/>
              <w:right w:val="nil"/>
            </w:tcBorders>
            <w:tcMar>
              <w:left w:w="108" w:type="dxa"/>
              <w:right w:w="108" w:type="dxa"/>
            </w:tcMar>
            <w:vAlign w:val="bottom"/>
          </w:tcPr>
          <w:p w14:paraId="31EA9C6B"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Stop if # responses &lt;=</w:t>
            </w:r>
          </w:p>
        </w:tc>
      </w:tr>
      <w:tr w:rsidR="00BC4095" w:rsidRPr="00A404F0" w14:paraId="5DF3EC32" w14:textId="77777777" w:rsidTr="004333B7">
        <w:trPr>
          <w:trHeight w:val="300"/>
        </w:trPr>
        <w:tc>
          <w:tcPr>
            <w:tcW w:w="4508" w:type="dxa"/>
            <w:tcMar>
              <w:left w:w="108" w:type="dxa"/>
              <w:right w:w="108" w:type="dxa"/>
            </w:tcMar>
          </w:tcPr>
          <w:p w14:paraId="064E07EB"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30</w:t>
            </w:r>
          </w:p>
        </w:tc>
        <w:tc>
          <w:tcPr>
            <w:tcW w:w="4508" w:type="dxa"/>
            <w:tcMar>
              <w:left w:w="108" w:type="dxa"/>
              <w:right w:w="108" w:type="dxa"/>
            </w:tcMar>
          </w:tcPr>
          <w:p w14:paraId="7A9269DB"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11</w:t>
            </w:r>
          </w:p>
        </w:tc>
      </w:tr>
      <w:tr w:rsidR="00BC4095" w:rsidRPr="00A404F0" w14:paraId="7A6A38D1" w14:textId="77777777" w:rsidTr="004333B7">
        <w:trPr>
          <w:trHeight w:val="300"/>
        </w:trPr>
        <w:tc>
          <w:tcPr>
            <w:tcW w:w="4508" w:type="dxa"/>
            <w:tcMar>
              <w:left w:w="108" w:type="dxa"/>
              <w:right w:w="108" w:type="dxa"/>
            </w:tcMar>
          </w:tcPr>
          <w:p w14:paraId="71B91ABE"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60</w:t>
            </w:r>
          </w:p>
        </w:tc>
        <w:tc>
          <w:tcPr>
            <w:tcW w:w="4508" w:type="dxa"/>
            <w:tcMar>
              <w:left w:w="108" w:type="dxa"/>
              <w:right w:w="108" w:type="dxa"/>
            </w:tcMar>
          </w:tcPr>
          <w:p w14:paraId="6543F065"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29</w:t>
            </w:r>
          </w:p>
        </w:tc>
      </w:tr>
    </w:tbl>
    <w:p w14:paraId="6CE98C17" w14:textId="09081B89" w:rsidR="00BC4095" w:rsidRPr="00A404F0" w:rsidRDefault="00BC4095" w:rsidP="00BC4095">
      <w:pPr>
        <w:spacing w:before="180" w:after="180" w:line="480" w:lineRule="auto"/>
        <w:rPr>
          <w:color w:val="000000" w:themeColor="text1"/>
          <w:lang w:val="en-US"/>
        </w:rPr>
      </w:pPr>
      <w:r w:rsidRPr="00A404F0">
        <w:rPr>
          <w:color w:val="000000" w:themeColor="text1"/>
          <w:lang w:val="en-US"/>
        </w:rPr>
        <w:lastRenderedPageBreak/>
        <w:t xml:space="preserve">Based on Table 1, we perform the interim analysis when the number of enrolled patients reaches 30. When the total number of patients reaches the maximum sample size of 60, we reject the null hypothesis and conclude that the treatment is acceptable if the number of responses </w:t>
      </w:r>
      <w:proofErr w:type="gramStart"/>
      <w:r w:rsidRPr="00A404F0">
        <w:rPr>
          <w:color w:val="000000" w:themeColor="text1"/>
          <w:lang w:val="en-US"/>
        </w:rPr>
        <w:t>are</w:t>
      </w:r>
      <w:proofErr w:type="gramEnd"/>
      <w:r w:rsidRPr="00A404F0">
        <w:rPr>
          <w:color w:val="000000" w:themeColor="text1"/>
          <w:lang w:val="en-US"/>
        </w:rPr>
        <w:t xml:space="preserve"> greater than 29; otherwise we conclude that the treatment is unacceptable. The go/no-go criteria in Table 1 are non-binding.</w:t>
      </w:r>
    </w:p>
    <w:p w14:paraId="5CA5C1B9" w14:textId="77777777" w:rsidR="00BC4095" w:rsidRPr="00A404F0" w:rsidRDefault="00BC4095" w:rsidP="00BC4095">
      <w:pPr>
        <w:spacing w:before="180" w:after="180" w:line="480" w:lineRule="auto"/>
        <w:rPr>
          <w:color w:val="000000" w:themeColor="text1"/>
          <w:lang w:val="en-US"/>
        </w:rPr>
      </w:pPr>
      <w:r w:rsidRPr="00A404F0">
        <w:rPr>
          <w:color w:val="000000" w:themeColor="text1"/>
          <w:lang w:val="en-US"/>
        </w:rPr>
        <w:t xml:space="preserve">Below are the operating characteristics of the design using the BOP2 web application (BOP2 V1.4.12.0), which is available at </w:t>
      </w:r>
      <w:hyperlink r:id="rId5">
        <w:r w:rsidRPr="00A404F0">
          <w:rPr>
            <w:rStyle w:val="Hyperlink"/>
            <w:rFonts w:eastAsia="Cambria"/>
            <w:lang w:val="en-US"/>
          </w:rPr>
          <w:t>http://www.trialdesign.org</w:t>
        </w:r>
      </w:hyperlink>
      <w:r w:rsidRPr="00A404F0">
        <w:rPr>
          <w:color w:val="000000" w:themeColor="text1"/>
          <w:lang w:val="en-US"/>
        </w:rPr>
        <w:t>.</w:t>
      </w:r>
    </w:p>
    <w:p w14:paraId="5E05BB82" w14:textId="7A7468B6" w:rsidR="00BC4095" w:rsidRPr="00A404F0" w:rsidRDefault="00BC4095" w:rsidP="00BC4095">
      <w:pPr>
        <w:pStyle w:val="Subtitle"/>
        <w:spacing w:line="480" w:lineRule="auto"/>
        <w:rPr>
          <w:color w:val="auto"/>
          <w:sz w:val="24"/>
          <w:szCs w:val="24"/>
          <w:lang w:val="en-US"/>
        </w:rPr>
      </w:pPr>
      <w:r w:rsidRPr="00A404F0">
        <w:rPr>
          <w:color w:val="auto"/>
          <w:sz w:val="24"/>
          <w:szCs w:val="24"/>
          <w:lang w:val="en-US"/>
        </w:rPr>
        <w:t xml:space="preserve">Table </w:t>
      </w:r>
      <w:r w:rsidR="00A404F0" w:rsidRPr="00A404F0">
        <w:rPr>
          <w:color w:val="auto"/>
          <w:sz w:val="24"/>
          <w:szCs w:val="24"/>
          <w:lang w:val="en-US"/>
        </w:rPr>
        <w:t>2</w:t>
      </w:r>
      <w:r w:rsidRPr="00A404F0">
        <w:rPr>
          <w:color w:val="auto"/>
          <w:sz w:val="24"/>
          <w:szCs w:val="24"/>
          <w:lang w:val="en-US"/>
        </w:rPr>
        <w:t>: Operating characteristics</w:t>
      </w:r>
    </w:p>
    <w:tbl>
      <w:tblPr>
        <w:tblW w:w="0" w:type="auto"/>
        <w:tblLayout w:type="fixed"/>
        <w:tblLook w:val="06A0" w:firstRow="1" w:lastRow="0" w:firstColumn="1" w:lastColumn="0" w:noHBand="1" w:noVBand="1"/>
      </w:tblPr>
      <w:tblGrid>
        <w:gridCol w:w="1803"/>
        <w:gridCol w:w="1803"/>
        <w:gridCol w:w="1803"/>
        <w:gridCol w:w="1803"/>
        <w:gridCol w:w="1803"/>
      </w:tblGrid>
      <w:tr w:rsidR="00BC4095" w:rsidRPr="00A404F0" w14:paraId="0F0DD10D" w14:textId="77777777" w:rsidTr="004333B7">
        <w:trPr>
          <w:trHeight w:val="300"/>
        </w:trPr>
        <w:tc>
          <w:tcPr>
            <w:tcW w:w="1803" w:type="dxa"/>
            <w:tcBorders>
              <w:top w:val="nil"/>
              <w:left w:val="nil"/>
              <w:bottom w:val="single" w:sz="8" w:space="0" w:color="auto"/>
              <w:right w:val="nil"/>
            </w:tcBorders>
            <w:tcMar>
              <w:left w:w="108" w:type="dxa"/>
              <w:right w:w="108" w:type="dxa"/>
            </w:tcMar>
            <w:vAlign w:val="bottom"/>
          </w:tcPr>
          <w:p w14:paraId="1CF75A3F"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Scenario</w:t>
            </w:r>
          </w:p>
        </w:tc>
        <w:tc>
          <w:tcPr>
            <w:tcW w:w="1803" w:type="dxa"/>
            <w:tcBorders>
              <w:top w:val="nil"/>
              <w:left w:val="nil"/>
              <w:bottom w:val="single" w:sz="8" w:space="0" w:color="auto"/>
              <w:right w:val="nil"/>
            </w:tcBorders>
            <w:tcMar>
              <w:left w:w="108" w:type="dxa"/>
              <w:right w:w="108" w:type="dxa"/>
            </w:tcMar>
            <w:vAlign w:val="bottom"/>
          </w:tcPr>
          <w:p w14:paraId="584DEB91"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Response Rate</w:t>
            </w:r>
          </w:p>
        </w:tc>
        <w:tc>
          <w:tcPr>
            <w:tcW w:w="1803" w:type="dxa"/>
            <w:tcBorders>
              <w:top w:val="nil"/>
              <w:left w:val="nil"/>
              <w:bottom w:val="single" w:sz="8" w:space="0" w:color="auto"/>
              <w:right w:val="nil"/>
            </w:tcBorders>
            <w:tcMar>
              <w:left w:w="108" w:type="dxa"/>
              <w:right w:w="108" w:type="dxa"/>
            </w:tcMar>
            <w:vAlign w:val="bottom"/>
          </w:tcPr>
          <w:p w14:paraId="4052FADC"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Early Stopping (%)</w:t>
            </w:r>
          </w:p>
        </w:tc>
        <w:tc>
          <w:tcPr>
            <w:tcW w:w="1803" w:type="dxa"/>
            <w:tcBorders>
              <w:top w:val="nil"/>
              <w:left w:val="nil"/>
              <w:bottom w:val="single" w:sz="8" w:space="0" w:color="auto"/>
              <w:right w:val="nil"/>
            </w:tcBorders>
            <w:tcMar>
              <w:left w:w="108" w:type="dxa"/>
              <w:right w:w="108" w:type="dxa"/>
            </w:tcMar>
            <w:vAlign w:val="bottom"/>
          </w:tcPr>
          <w:p w14:paraId="4A6E93F3"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Claim Promising (%)</w:t>
            </w:r>
          </w:p>
        </w:tc>
        <w:tc>
          <w:tcPr>
            <w:tcW w:w="1803" w:type="dxa"/>
            <w:tcBorders>
              <w:top w:val="nil"/>
              <w:left w:val="nil"/>
              <w:bottom w:val="single" w:sz="8" w:space="0" w:color="auto"/>
              <w:right w:val="nil"/>
            </w:tcBorders>
            <w:tcMar>
              <w:left w:w="108" w:type="dxa"/>
              <w:right w:w="108" w:type="dxa"/>
            </w:tcMar>
            <w:vAlign w:val="bottom"/>
          </w:tcPr>
          <w:p w14:paraId="0F2EBCCE"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Average Sample Size</w:t>
            </w:r>
          </w:p>
        </w:tc>
      </w:tr>
      <w:tr w:rsidR="00BC4095" w:rsidRPr="00A404F0" w14:paraId="0F05E2B9" w14:textId="77777777" w:rsidTr="004333B7">
        <w:trPr>
          <w:trHeight w:val="300"/>
        </w:trPr>
        <w:tc>
          <w:tcPr>
            <w:tcW w:w="1803" w:type="dxa"/>
            <w:tcMar>
              <w:left w:w="108" w:type="dxa"/>
              <w:right w:w="108" w:type="dxa"/>
            </w:tcMar>
          </w:tcPr>
          <w:p w14:paraId="2019ABA1"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1</w:t>
            </w:r>
          </w:p>
        </w:tc>
        <w:tc>
          <w:tcPr>
            <w:tcW w:w="1803" w:type="dxa"/>
            <w:tcMar>
              <w:left w:w="108" w:type="dxa"/>
              <w:right w:w="108" w:type="dxa"/>
            </w:tcMar>
          </w:tcPr>
          <w:p w14:paraId="13D9F30B"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0.385</w:t>
            </w:r>
          </w:p>
        </w:tc>
        <w:tc>
          <w:tcPr>
            <w:tcW w:w="1803" w:type="dxa"/>
            <w:tcMar>
              <w:left w:w="108" w:type="dxa"/>
              <w:right w:w="108" w:type="dxa"/>
            </w:tcMar>
          </w:tcPr>
          <w:p w14:paraId="2B4D9F46"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49.84</w:t>
            </w:r>
          </w:p>
        </w:tc>
        <w:tc>
          <w:tcPr>
            <w:tcW w:w="1803" w:type="dxa"/>
            <w:tcMar>
              <w:left w:w="108" w:type="dxa"/>
              <w:right w:w="108" w:type="dxa"/>
            </w:tcMar>
          </w:tcPr>
          <w:p w14:paraId="5BE415B2"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4.51</w:t>
            </w:r>
          </w:p>
        </w:tc>
        <w:tc>
          <w:tcPr>
            <w:tcW w:w="1803" w:type="dxa"/>
            <w:tcMar>
              <w:left w:w="108" w:type="dxa"/>
              <w:right w:w="108" w:type="dxa"/>
            </w:tcMar>
          </w:tcPr>
          <w:p w14:paraId="582142A0"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45.0</w:t>
            </w:r>
          </w:p>
        </w:tc>
      </w:tr>
      <w:tr w:rsidR="00BC4095" w:rsidRPr="00BC4095" w14:paraId="5D83C026" w14:textId="77777777" w:rsidTr="004333B7">
        <w:trPr>
          <w:trHeight w:val="300"/>
        </w:trPr>
        <w:tc>
          <w:tcPr>
            <w:tcW w:w="1803" w:type="dxa"/>
            <w:tcMar>
              <w:left w:w="108" w:type="dxa"/>
              <w:right w:w="108" w:type="dxa"/>
            </w:tcMar>
          </w:tcPr>
          <w:p w14:paraId="6FD78A94"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2</w:t>
            </w:r>
          </w:p>
        </w:tc>
        <w:tc>
          <w:tcPr>
            <w:tcW w:w="1803" w:type="dxa"/>
            <w:tcMar>
              <w:left w:w="108" w:type="dxa"/>
              <w:right w:w="108" w:type="dxa"/>
            </w:tcMar>
          </w:tcPr>
          <w:p w14:paraId="3AEC3286"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0.580</w:t>
            </w:r>
          </w:p>
        </w:tc>
        <w:tc>
          <w:tcPr>
            <w:tcW w:w="1803" w:type="dxa"/>
            <w:tcMar>
              <w:left w:w="108" w:type="dxa"/>
              <w:right w:w="108" w:type="dxa"/>
            </w:tcMar>
          </w:tcPr>
          <w:p w14:paraId="125B0198"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1.51</w:t>
            </w:r>
          </w:p>
        </w:tc>
        <w:tc>
          <w:tcPr>
            <w:tcW w:w="1803" w:type="dxa"/>
            <w:tcMar>
              <w:left w:w="108" w:type="dxa"/>
              <w:right w:w="108" w:type="dxa"/>
            </w:tcMar>
          </w:tcPr>
          <w:p w14:paraId="4858DF90" w14:textId="77777777" w:rsidR="00BC4095" w:rsidRPr="00A404F0" w:rsidRDefault="00BC4095" w:rsidP="004333B7">
            <w:pPr>
              <w:spacing w:before="36" w:after="36" w:line="480" w:lineRule="auto"/>
              <w:jc w:val="center"/>
              <w:rPr>
                <w:color w:val="000000" w:themeColor="text1"/>
                <w:lang w:val="en-US"/>
              </w:rPr>
            </w:pPr>
            <w:r w:rsidRPr="00A404F0">
              <w:rPr>
                <w:color w:val="000000" w:themeColor="text1"/>
                <w:lang w:val="en-US"/>
              </w:rPr>
              <w:t>91.22</w:t>
            </w:r>
          </w:p>
        </w:tc>
        <w:tc>
          <w:tcPr>
            <w:tcW w:w="1803" w:type="dxa"/>
            <w:tcMar>
              <w:left w:w="108" w:type="dxa"/>
              <w:right w:w="108" w:type="dxa"/>
            </w:tcMar>
          </w:tcPr>
          <w:p w14:paraId="14856BC2" w14:textId="77777777" w:rsidR="00BC4095" w:rsidRPr="00BC4095" w:rsidRDefault="00BC4095" w:rsidP="004333B7">
            <w:pPr>
              <w:spacing w:before="36" w:after="36" w:line="480" w:lineRule="auto"/>
              <w:jc w:val="center"/>
              <w:rPr>
                <w:color w:val="000000" w:themeColor="text1"/>
                <w:lang w:val="en-US"/>
              </w:rPr>
            </w:pPr>
            <w:r w:rsidRPr="00A404F0">
              <w:rPr>
                <w:color w:val="000000" w:themeColor="text1"/>
                <w:lang w:val="en-US"/>
              </w:rPr>
              <w:t>59.5</w:t>
            </w:r>
          </w:p>
        </w:tc>
      </w:tr>
    </w:tbl>
    <w:p w14:paraId="226F675F" w14:textId="77777777" w:rsidR="00BC4095" w:rsidRPr="00BC4095" w:rsidRDefault="00BC4095" w:rsidP="00BC4095">
      <w:pPr>
        <w:spacing w:line="480" w:lineRule="auto"/>
        <w:rPr>
          <w:color w:val="2F5496"/>
        </w:rPr>
      </w:pPr>
      <w:r w:rsidRPr="00BC4095">
        <w:rPr>
          <w:color w:val="2F5496"/>
        </w:rPr>
        <w:t xml:space="preserve"> </w:t>
      </w:r>
    </w:p>
    <w:p w14:paraId="26DD5AC4" w14:textId="77777777" w:rsidR="00BC4095" w:rsidRPr="00317A90" w:rsidRDefault="00BC4095" w:rsidP="00BC4095">
      <w:pPr>
        <w:spacing w:line="480" w:lineRule="auto"/>
      </w:pPr>
      <w:r w:rsidRPr="00317A90">
        <w:t xml:space="preserve"> </w:t>
      </w:r>
    </w:p>
    <w:sectPr w:rsidR="00BC4095" w:rsidRPr="00317A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2A43EE"/>
    <w:multiLevelType w:val="hybridMultilevel"/>
    <w:tmpl w:val="0BB22E5E"/>
    <w:lvl w:ilvl="0" w:tplc="14BCC7FE">
      <w:start w:val="1"/>
      <w:numFmt w:val="decimal"/>
      <w:lvlText w:val="%1."/>
      <w:lvlJc w:val="left"/>
      <w:pPr>
        <w:ind w:left="720" w:hanging="360"/>
      </w:pPr>
    </w:lvl>
    <w:lvl w:ilvl="1" w:tplc="D694A088">
      <w:start w:val="1"/>
      <w:numFmt w:val="lowerLetter"/>
      <w:lvlText w:val="%2."/>
      <w:lvlJc w:val="left"/>
      <w:pPr>
        <w:ind w:left="1440" w:hanging="360"/>
      </w:pPr>
    </w:lvl>
    <w:lvl w:ilvl="2" w:tplc="22AC9146">
      <w:start w:val="1"/>
      <w:numFmt w:val="lowerRoman"/>
      <w:lvlText w:val="%3."/>
      <w:lvlJc w:val="right"/>
      <w:pPr>
        <w:ind w:left="2160" w:hanging="180"/>
      </w:pPr>
    </w:lvl>
    <w:lvl w:ilvl="3" w:tplc="B2388F1E">
      <w:start w:val="1"/>
      <w:numFmt w:val="decimal"/>
      <w:lvlText w:val="%4."/>
      <w:lvlJc w:val="left"/>
      <w:pPr>
        <w:ind w:left="2880" w:hanging="360"/>
      </w:pPr>
    </w:lvl>
    <w:lvl w:ilvl="4" w:tplc="EF08B4F6">
      <w:start w:val="1"/>
      <w:numFmt w:val="lowerLetter"/>
      <w:lvlText w:val="%5."/>
      <w:lvlJc w:val="left"/>
      <w:pPr>
        <w:ind w:left="3600" w:hanging="360"/>
      </w:pPr>
    </w:lvl>
    <w:lvl w:ilvl="5" w:tplc="BBEE4968">
      <w:start w:val="1"/>
      <w:numFmt w:val="lowerRoman"/>
      <w:lvlText w:val="%6."/>
      <w:lvlJc w:val="right"/>
      <w:pPr>
        <w:ind w:left="4320" w:hanging="180"/>
      </w:pPr>
    </w:lvl>
    <w:lvl w:ilvl="6" w:tplc="7550178A">
      <w:start w:val="1"/>
      <w:numFmt w:val="decimal"/>
      <w:lvlText w:val="%7."/>
      <w:lvlJc w:val="left"/>
      <w:pPr>
        <w:ind w:left="5040" w:hanging="360"/>
      </w:pPr>
    </w:lvl>
    <w:lvl w:ilvl="7" w:tplc="571A198C">
      <w:start w:val="1"/>
      <w:numFmt w:val="lowerLetter"/>
      <w:lvlText w:val="%8."/>
      <w:lvlJc w:val="left"/>
      <w:pPr>
        <w:ind w:left="5760" w:hanging="360"/>
      </w:pPr>
    </w:lvl>
    <w:lvl w:ilvl="8" w:tplc="6A06CD60">
      <w:start w:val="1"/>
      <w:numFmt w:val="lowerRoman"/>
      <w:lvlText w:val="%9."/>
      <w:lvlJc w:val="right"/>
      <w:pPr>
        <w:ind w:left="6480" w:hanging="180"/>
      </w:pPr>
    </w:lvl>
  </w:abstractNum>
  <w:num w:numId="1" w16cid:durableId="103621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48A"/>
    <w:rsid w:val="00002444"/>
    <w:rsid w:val="00002D60"/>
    <w:rsid w:val="00004287"/>
    <w:rsid w:val="00005608"/>
    <w:rsid w:val="000379EC"/>
    <w:rsid w:val="00047FD2"/>
    <w:rsid w:val="00057248"/>
    <w:rsid w:val="000641A0"/>
    <w:rsid w:val="00077D60"/>
    <w:rsid w:val="000813D8"/>
    <w:rsid w:val="000D128A"/>
    <w:rsid w:val="000E6944"/>
    <w:rsid w:val="000F4AC0"/>
    <w:rsid w:val="0012105A"/>
    <w:rsid w:val="00124DA4"/>
    <w:rsid w:val="001649B0"/>
    <w:rsid w:val="00166237"/>
    <w:rsid w:val="00182C9F"/>
    <w:rsid w:val="001A6CF7"/>
    <w:rsid w:val="001A7E79"/>
    <w:rsid w:val="001C5FFE"/>
    <w:rsid w:val="001C6E1E"/>
    <w:rsid w:val="002107B7"/>
    <w:rsid w:val="00211320"/>
    <w:rsid w:val="00253533"/>
    <w:rsid w:val="00261E25"/>
    <w:rsid w:val="0026262C"/>
    <w:rsid w:val="002748BD"/>
    <w:rsid w:val="00276AAA"/>
    <w:rsid w:val="002A3294"/>
    <w:rsid w:val="002A7281"/>
    <w:rsid w:val="002C104D"/>
    <w:rsid w:val="002C23B3"/>
    <w:rsid w:val="002D0E6C"/>
    <w:rsid w:val="002D2776"/>
    <w:rsid w:val="003005D8"/>
    <w:rsid w:val="0030323C"/>
    <w:rsid w:val="00312477"/>
    <w:rsid w:val="00313649"/>
    <w:rsid w:val="00325105"/>
    <w:rsid w:val="00325C47"/>
    <w:rsid w:val="00334386"/>
    <w:rsid w:val="0033462D"/>
    <w:rsid w:val="0033626C"/>
    <w:rsid w:val="00341BBA"/>
    <w:rsid w:val="003448C6"/>
    <w:rsid w:val="00370662"/>
    <w:rsid w:val="00371C32"/>
    <w:rsid w:val="003910FF"/>
    <w:rsid w:val="003B7FE3"/>
    <w:rsid w:val="003C0243"/>
    <w:rsid w:val="003D3B95"/>
    <w:rsid w:val="003D3ED7"/>
    <w:rsid w:val="003E3341"/>
    <w:rsid w:val="0040119C"/>
    <w:rsid w:val="00401AC0"/>
    <w:rsid w:val="0041701F"/>
    <w:rsid w:val="00456161"/>
    <w:rsid w:val="00460724"/>
    <w:rsid w:val="00492346"/>
    <w:rsid w:val="00496EC8"/>
    <w:rsid w:val="004C6298"/>
    <w:rsid w:val="004D18E9"/>
    <w:rsid w:val="004D6ED7"/>
    <w:rsid w:val="00521A0C"/>
    <w:rsid w:val="00525279"/>
    <w:rsid w:val="00527878"/>
    <w:rsid w:val="00535FA4"/>
    <w:rsid w:val="0055097F"/>
    <w:rsid w:val="00556286"/>
    <w:rsid w:val="005768CB"/>
    <w:rsid w:val="00585E5F"/>
    <w:rsid w:val="00593EAA"/>
    <w:rsid w:val="005A1B7D"/>
    <w:rsid w:val="005C3508"/>
    <w:rsid w:val="005E3FF7"/>
    <w:rsid w:val="00604854"/>
    <w:rsid w:val="00612508"/>
    <w:rsid w:val="00614A9F"/>
    <w:rsid w:val="00617F5B"/>
    <w:rsid w:val="00630113"/>
    <w:rsid w:val="0063249E"/>
    <w:rsid w:val="00641289"/>
    <w:rsid w:val="00643FAC"/>
    <w:rsid w:val="006737B9"/>
    <w:rsid w:val="006A2245"/>
    <w:rsid w:val="006B6F37"/>
    <w:rsid w:val="006E22A3"/>
    <w:rsid w:val="007314B3"/>
    <w:rsid w:val="00732F71"/>
    <w:rsid w:val="0073541C"/>
    <w:rsid w:val="0074139F"/>
    <w:rsid w:val="00761FF6"/>
    <w:rsid w:val="00786AFD"/>
    <w:rsid w:val="00792DE3"/>
    <w:rsid w:val="00794F60"/>
    <w:rsid w:val="007A313D"/>
    <w:rsid w:val="007A403B"/>
    <w:rsid w:val="007D6C37"/>
    <w:rsid w:val="007F1A0E"/>
    <w:rsid w:val="008002DC"/>
    <w:rsid w:val="00802E3F"/>
    <w:rsid w:val="00810C92"/>
    <w:rsid w:val="0081265F"/>
    <w:rsid w:val="00815113"/>
    <w:rsid w:val="008151FB"/>
    <w:rsid w:val="008211B4"/>
    <w:rsid w:val="00822B42"/>
    <w:rsid w:val="0083258F"/>
    <w:rsid w:val="0083551D"/>
    <w:rsid w:val="008729D6"/>
    <w:rsid w:val="008D42C4"/>
    <w:rsid w:val="00912077"/>
    <w:rsid w:val="0092017C"/>
    <w:rsid w:val="009261CE"/>
    <w:rsid w:val="00930A74"/>
    <w:rsid w:val="0093252C"/>
    <w:rsid w:val="009667D4"/>
    <w:rsid w:val="00976894"/>
    <w:rsid w:val="009819C2"/>
    <w:rsid w:val="00994F9D"/>
    <w:rsid w:val="009A00F5"/>
    <w:rsid w:val="009C32EC"/>
    <w:rsid w:val="009C61F6"/>
    <w:rsid w:val="009D7EAC"/>
    <w:rsid w:val="009F2508"/>
    <w:rsid w:val="009F659A"/>
    <w:rsid w:val="00A22C36"/>
    <w:rsid w:val="00A36C66"/>
    <w:rsid w:val="00A404F0"/>
    <w:rsid w:val="00A53209"/>
    <w:rsid w:val="00A65207"/>
    <w:rsid w:val="00A77247"/>
    <w:rsid w:val="00AA05EB"/>
    <w:rsid w:val="00AA5A8A"/>
    <w:rsid w:val="00AB274B"/>
    <w:rsid w:val="00AB3D5B"/>
    <w:rsid w:val="00AC264E"/>
    <w:rsid w:val="00AC5888"/>
    <w:rsid w:val="00AE3E1E"/>
    <w:rsid w:val="00AF4DE4"/>
    <w:rsid w:val="00B2260C"/>
    <w:rsid w:val="00B26E17"/>
    <w:rsid w:val="00B33E7C"/>
    <w:rsid w:val="00B929BA"/>
    <w:rsid w:val="00BC4095"/>
    <w:rsid w:val="00BE5E81"/>
    <w:rsid w:val="00BF2F8E"/>
    <w:rsid w:val="00C2618D"/>
    <w:rsid w:val="00C45A4A"/>
    <w:rsid w:val="00C514F6"/>
    <w:rsid w:val="00C66374"/>
    <w:rsid w:val="00C73F68"/>
    <w:rsid w:val="00C74151"/>
    <w:rsid w:val="00C80A21"/>
    <w:rsid w:val="00CB30E4"/>
    <w:rsid w:val="00CE72D1"/>
    <w:rsid w:val="00CF7C03"/>
    <w:rsid w:val="00D00914"/>
    <w:rsid w:val="00D4189A"/>
    <w:rsid w:val="00D64B17"/>
    <w:rsid w:val="00DA00A8"/>
    <w:rsid w:val="00DA4427"/>
    <w:rsid w:val="00DC5387"/>
    <w:rsid w:val="00DF5992"/>
    <w:rsid w:val="00E02AB3"/>
    <w:rsid w:val="00E23E1B"/>
    <w:rsid w:val="00E3483E"/>
    <w:rsid w:val="00E51374"/>
    <w:rsid w:val="00E6627F"/>
    <w:rsid w:val="00E82BF2"/>
    <w:rsid w:val="00E90184"/>
    <w:rsid w:val="00EA1337"/>
    <w:rsid w:val="00EB2724"/>
    <w:rsid w:val="00F0748A"/>
    <w:rsid w:val="00F51F70"/>
    <w:rsid w:val="00F56900"/>
    <w:rsid w:val="00F56B52"/>
    <w:rsid w:val="00F6084D"/>
    <w:rsid w:val="00F630C9"/>
    <w:rsid w:val="00F835A7"/>
    <w:rsid w:val="00FC4FE6"/>
    <w:rsid w:val="00FD73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C7D99"/>
  <w15:chartTrackingRefBased/>
  <w15:docId w15:val="{A66D013F-9F1A-E14D-A8FB-44C5E593D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41C"/>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074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74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74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74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74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74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4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4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4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4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74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74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4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4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4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4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4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48A"/>
    <w:rPr>
      <w:rFonts w:eastAsiaTheme="majorEastAsia" w:cstheme="majorBidi"/>
      <w:color w:val="272727" w:themeColor="text1" w:themeTint="D8"/>
    </w:rPr>
  </w:style>
  <w:style w:type="paragraph" w:styleId="Title">
    <w:name w:val="Title"/>
    <w:basedOn w:val="Normal"/>
    <w:next w:val="Normal"/>
    <w:link w:val="TitleChar"/>
    <w:uiPriority w:val="10"/>
    <w:qFormat/>
    <w:rsid w:val="00F074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4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48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4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4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748A"/>
    <w:rPr>
      <w:i/>
      <w:iCs/>
      <w:color w:val="404040" w:themeColor="text1" w:themeTint="BF"/>
    </w:rPr>
  </w:style>
  <w:style w:type="paragraph" w:styleId="ListParagraph">
    <w:name w:val="List Paragraph"/>
    <w:basedOn w:val="Normal"/>
    <w:link w:val="ListParagraphChar"/>
    <w:uiPriority w:val="34"/>
    <w:qFormat/>
    <w:rsid w:val="00F0748A"/>
    <w:pPr>
      <w:ind w:left="720"/>
      <w:contextualSpacing/>
    </w:pPr>
  </w:style>
  <w:style w:type="character" w:styleId="IntenseEmphasis">
    <w:name w:val="Intense Emphasis"/>
    <w:basedOn w:val="DefaultParagraphFont"/>
    <w:uiPriority w:val="21"/>
    <w:qFormat/>
    <w:rsid w:val="00F0748A"/>
    <w:rPr>
      <w:i/>
      <w:iCs/>
      <w:color w:val="0F4761" w:themeColor="accent1" w:themeShade="BF"/>
    </w:rPr>
  </w:style>
  <w:style w:type="paragraph" w:styleId="IntenseQuote">
    <w:name w:val="Intense Quote"/>
    <w:basedOn w:val="Normal"/>
    <w:next w:val="Normal"/>
    <w:link w:val="IntenseQuoteChar"/>
    <w:uiPriority w:val="30"/>
    <w:qFormat/>
    <w:rsid w:val="00F074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748A"/>
    <w:rPr>
      <w:i/>
      <w:iCs/>
      <w:color w:val="0F4761" w:themeColor="accent1" w:themeShade="BF"/>
    </w:rPr>
  </w:style>
  <w:style w:type="character" w:styleId="IntenseReference">
    <w:name w:val="Intense Reference"/>
    <w:basedOn w:val="DefaultParagraphFont"/>
    <w:uiPriority w:val="32"/>
    <w:qFormat/>
    <w:rsid w:val="00F0748A"/>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73541C"/>
  </w:style>
  <w:style w:type="character" w:styleId="CommentReference">
    <w:name w:val="annotation reference"/>
    <w:basedOn w:val="DefaultParagraphFont"/>
    <w:uiPriority w:val="99"/>
    <w:semiHidden/>
    <w:unhideWhenUsed/>
    <w:rsid w:val="0073541C"/>
    <w:rPr>
      <w:sz w:val="16"/>
      <w:szCs w:val="16"/>
    </w:rPr>
  </w:style>
  <w:style w:type="paragraph" w:styleId="CommentText">
    <w:name w:val="annotation text"/>
    <w:basedOn w:val="Normal"/>
    <w:link w:val="CommentTextChar"/>
    <w:uiPriority w:val="99"/>
    <w:unhideWhenUsed/>
    <w:rsid w:val="0073541C"/>
    <w:rPr>
      <w:sz w:val="20"/>
      <w:szCs w:val="20"/>
    </w:rPr>
  </w:style>
  <w:style w:type="character" w:customStyle="1" w:styleId="CommentTextChar">
    <w:name w:val="Comment Text Char"/>
    <w:basedOn w:val="DefaultParagraphFont"/>
    <w:link w:val="CommentText"/>
    <w:uiPriority w:val="99"/>
    <w:rsid w:val="0073541C"/>
    <w:rPr>
      <w:rFonts w:ascii="Times New Roman" w:eastAsia="Times New Roman" w:hAnsi="Times New Roman" w:cs="Times New Roman"/>
      <w:kern w:val="0"/>
      <w:sz w:val="20"/>
      <w:szCs w:val="20"/>
      <w:lang w:eastAsia="en-GB"/>
      <w14:ligatures w14:val="none"/>
    </w:rPr>
  </w:style>
  <w:style w:type="character" w:styleId="Hyperlink">
    <w:name w:val="Hyperlink"/>
    <w:uiPriority w:val="99"/>
    <w:unhideWhenUsed/>
    <w:rsid w:val="00DC5387"/>
    <w:rPr>
      <w:color w:val="0000FF"/>
      <w:u w:val="single"/>
    </w:rPr>
  </w:style>
  <w:style w:type="character" w:styleId="Mention">
    <w:name w:val="Mention"/>
    <w:basedOn w:val="DefaultParagraphFont"/>
    <w:uiPriority w:val="99"/>
    <w:unhideWhenUsed/>
    <w:rsid w:val="00DC538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rialdesig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602</Words>
  <Characters>3436</Characters>
  <Application>Microsoft Office Word</Application>
  <DocSecurity>0</DocSecurity>
  <Lines>28</Lines>
  <Paragraphs>8</Paragraphs>
  <ScaleCrop>false</ScaleCrop>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Short</dc:creator>
  <cp:keywords/>
  <dc:description/>
  <cp:lastModifiedBy>Camille Short</cp:lastModifiedBy>
  <cp:revision>15</cp:revision>
  <dcterms:created xsi:type="dcterms:W3CDTF">2025-02-04T04:14:00Z</dcterms:created>
  <dcterms:modified xsi:type="dcterms:W3CDTF">2025-02-11T04:12:00Z</dcterms:modified>
</cp:coreProperties>
</file>