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FF7A" w14:textId="38B50326" w:rsidR="00972871" w:rsidRPr="004A6E0C" w:rsidRDefault="002615FE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noProof/>
          <w:sz w:val="24"/>
          <w:szCs w:val="24"/>
          <w14:ligatures w14:val="standardContextual"/>
        </w:rPr>
        <w:drawing>
          <wp:inline distT="0" distB="0" distL="0" distR="0" wp14:anchorId="13469BC1" wp14:editId="00317E2C">
            <wp:extent cx="5274310" cy="4520565"/>
            <wp:effectExtent l="0" t="0" r="0" b="0"/>
            <wp:docPr id="7971262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26243" name="图片 7971262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0A7F1" w14:textId="77777777" w:rsidR="00972871" w:rsidRPr="00EB1FAD" w:rsidRDefault="00972871" w:rsidP="000A06EE">
      <w:pPr>
        <w:spacing w:line="240" w:lineRule="auto"/>
        <w:ind w:firstLineChars="200" w:firstLine="489"/>
        <w:jc w:val="both"/>
        <w:rPr>
          <w:rFonts w:ascii="Times New Roman" w:eastAsia="宋体" w:hAnsi="Times New Roman"/>
          <w:b/>
          <w:bCs/>
          <w:sz w:val="24"/>
          <w:szCs w:val="24"/>
        </w:rPr>
      </w:pPr>
      <w:r w:rsidRPr="00EB1FAD">
        <w:rPr>
          <w:rFonts w:ascii="Times New Roman" w:eastAsia="宋体" w:hAnsi="Times New Roman"/>
          <w:b/>
          <w:bCs/>
          <w:sz w:val="24"/>
          <w:szCs w:val="24"/>
        </w:rPr>
        <w:t>Figure S1: Cell type composition and intercellular communication patterns across CAF-derived clusters</w:t>
      </w:r>
    </w:p>
    <w:p w14:paraId="34E77A01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A</w:t>
      </w:r>
      <w:r w:rsidRPr="00FE6117">
        <w:rPr>
          <w:rFonts w:ascii="Times New Roman" w:eastAsia="宋体" w:hAnsi="Times New Roman"/>
          <w:sz w:val="24"/>
          <w:szCs w:val="24"/>
        </w:rPr>
        <w:t>: Proportion of prognosis-related cells within each cluster.</w:t>
      </w:r>
    </w:p>
    <w:p w14:paraId="2F404DB5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B</w:t>
      </w:r>
      <w:r w:rsidRPr="00FE6117">
        <w:rPr>
          <w:rFonts w:ascii="Times New Roman" w:eastAsia="宋体" w:hAnsi="Times New Roman"/>
          <w:sz w:val="24"/>
          <w:szCs w:val="24"/>
        </w:rPr>
        <w:t>: Bar plot showing the distribution of cell types within each cluster.</w:t>
      </w:r>
    </w:p>
    <w:p w14:paraId="50F1EE52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C</w:t>
      </w:r>
      <w:r w:rsidRPr="00FE6117">
        <w:rPr>
          <w:rFonts w:ascii="Times New Roman" w:eastAsia="宋体" w:hAnsi="Times New Roman"/>
          <w:sz w:val="24"/>
          <w:szCs w:val="24"/>
        </w:rPr>
        <w:t xml:space="preserve">: Bar plot of total cell-cell interactions (count) in each cluster as determined by </w:t>
      </w:r>
      <w:proofErr w:type="spellStart"/>
      <w:r w:rsidRPr="00FE6117">
        <w:rPr>
          <w:rFonts w:ascii="Times New Roman" w:eastAsia="宋体" w:hAnsi="Times New Roman"/>
          <w:sz w:val="24"/>
          <w:szCs w:val="24"/>
        </w:rPr>
        <w:t>CellChat</w:t>
      </w:r>
      <w:proofErr w:type="spellEnd"/>
      <w:r w:rsidRPr="00FE6117">
        <w:rPr>
          <w:rFonts w:ascii="Times New Roman" w:eastAsia="宋体" w:hAnsi="Times New Roman"/>
          <w:sz w:val="24"/>
          <w:szCs w:val="24"/>
        </w:rPr>
        <w:t>.</w:t>
      </w:r>
    </w:p>
    <w:p w14:paraId="6C50AA43" w14:textId="0466749C" w:rsidR="00972871" w:rsidRPr="00FE6117" w:rsidRDefault="001E0D9C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D</w:t>
      </w:r>
      <w:r w:rsidR="00972871" w:rsidRPr="00FE6117">
        <w:rPr>
          <w:rFonts w:ascii="Times New Roman" w:eastAsia="宋体" w:hAnsi="Times New Roman"/>
          <w:sz w:val="24"/>
          <w:szCs w:val="24"/>
        </w:rPr>
        <w:t>: Bar plot showing total signal inputs and outputs of cell interactions in cluster1 vs. cluster2.</w:t>
      </w:r>
    </w:p>
    <w:p w14:paraId="6DA0AA73" w14:textId="7388FA83" w:rsidR="00972871" w:rsidRPr="00FE6117" w:rsidRDefault="001E0D9C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E</w:t>
      </w:r>
      <w:r w:rsidR="00972871" w:rsidRPr="00FE6117">
        <w:rPr>
          <w:rFonts w:ascii="Times New Roman" w:eastAsia="宋体" w:hAnsi="Times New Roman"/>
          <w:sz w:val="24"/>
          <w:szCs w:val="24"/>
        </w:rPr>
        <w:t>: Bar plot showing total signal inputs and outputs of cell interactions in cluster1 vs. cluster3.</w:t>
      </w:r>
    </w:p>
    <w:p w14:paraId="1D978912" w14:textId="0BDAAAC6" w:rsidR="00D63C2B" w:rsidRPr="00FE6117" w:rsidRDefault="00D63C2B" w:rsidP="00D63C2B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E</w:t>
      </w:r>
      <w:r w:rsidRPr="00FE6117">
        <w:rPr>
          <w:rFonts w:ascii="Times New Roman" w:eastAsia="宋体" w:hAnsi="Times New Roman"/>
          <w:sz w:val="24"/>
          <w:szCs w:val="24"/>
        </w:rPr>
        <w:t>: Bar plot showing total signal inputs and outputs of cell interactions in cluster</w:t>
      </w:r>
      <w:r>
        <w:rPr>
          <w:rFonts w:ascii="Times New Roman" w:eastAsia="宋体" w:hAnsi="Times New Roman"/>
          <w:sz w:val="24"/>
          <w:szCs w:val="24"/>
        </w:rPr>
        <w:t>2</w:t>
      </w:r>
      <w:r w:rsidRPr="00FE6117">
        <w:rPr>
          <w:rFonts w:ascii="Times New Roman" w:eastAsia="宋体" w:hAnsi="Times New Roman"/>
          <w:sz w:val="24"/>
          <w:szCs w:val="24"/>
        </w:rPr>
        <w:t xml:space="preserve"> vs. cluster3.</w:t>
      </w:r>
    </w:p>
    <w:p w14:paraId="47B7DD03" w14:textId="4102A598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8D2FE0" wp14:editId="797277D8">
            <wp:extent cx="5274310" cy="5531485"/>
            <wp:effectExtent l="0" t="0" r="0" b="0"/>
            <wp:docPr id="13893441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344148" name="图片 138934414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690D5" w14:textId="77777777" w:rsidR="00972871" w:rsidRPr="00154F37" w:rsidRDefault="00972871" w:rsidP="000A06EE">
      <w:pPr>
        <w:spacing w:line="240" w:lineRule="auto"/>
        <w:ind w:firstLineChars="200" w:firstLine="489"/>
        <w:jc w:val="both"/>
        <w:rPr>
          <w:rFonts w:ascii="Times New Roman" w:eastAsia="宋体" w:hAnsi="Times New Roman"/>
          <w:b/>
          <w:bCs/>
          <w:sz w:val="24"/>
          <w:szCs w:val="24"/>
        </w:rPr>
      </w:pPr>
      <w:r w:rsidRPr="00154F37">
        <w:rPr>
          <w:rFonts w:ascii="Times New Roman" w:eastAsia="宋体" w:hAnsi="Times New Roman"/>
          <w:b/>
          <w:bCs/>
          <w:sz w:val="24"/>
          <w:szCs w:val="24"/>
        </w:rPr>
        <w:t>Figure S2: Clinical relevance of the CAF-derived risk model in the METABRIC cohort</w:t>
      </w:r>
    </w:p>
    <w:p w14:paraId="580F25ED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A: </w:t>
      </w:r>
      <w:proofErr w:type="spellStart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Riskscore</w:t>
      </w:r>
      <w:proofErr w:type="spellEnd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 linkage plots:</w:t>
      </w:r>
    </w:p>
    <w:p w14:paraId="582EDA53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Top: Scatter plot of </w:t>
      </w:r>
      <w:proofErr w:type="spellStart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riskscore</w:t>
      </w:r>
      <w:proofErr w:type="spellEnd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 values, with patients divided into high-risk and low-risk groups based on the median </w:t>
      </w:r>
      <w:proofErr w:type="spellStart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riskscore</w:t>
      </w:r>
      <w:proofErr w:type="spellEnd"/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.</w:t>
      </w:r>
    </w:p>
    <w:p w14:paraId="187A8B34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Middle: Scatter plot of patient survival times.</w:t>
      </w:r>
    </w:p>
    <w:p w14:paraId="303B16B2" w14:textId="77777777" w:rsidR="00972871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Bottom: Heatmap showing the expression levels of CAF-related genes.</w:t>
      </w:r>
    </w:p>
    <w:p w14:paraId="65E2651B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>
        <w:rPr>
          <w:rFonts w:ascii="Times New Roman" w:hAnsi="Times New Roman"/>
          <w:color w:val="1F1F1F"/>
          <w:kern w:val="0"/>
          <w:sz w:val="24"/>
          <w:szCs w:val="24"/>
        </w:rPr>
        <w:t>B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: Univariate Cox regression analysis of </w:t>
      </w:r>
      <w:r>
        <w:rPr>
          <w:rFonts w:ascii="Times New Roman" w:hAnsi="Times New Roman"/>
          <w:color w:val="1F1F1F"/>
          <w:kern w:val="0"/>
          <w:sz w:val="24"/>
          <w:szCs w:val="24"/>
        </w:rPr>
        <w:t>O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S-related clinical factors.</w:t>
      </w:r>
    </w:p>
    <w:p w14:paraId="394DB0B9" w14:textId="77777777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>
        <w:rPr>
          <w:rFonts w:ascii="Times New Roman" w:hAnsi="Times New Roman"/>
          <w:color w:val="1F1F1F"/>
          <w:kern w:val="0"/>
          <w:sz w:val="24"/>
          <w:szCs w:val="24"/>
        </w:rPr>
        <w:t>C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: Multivariate Cox regression analysis of </w:t>
      </w:r>
      <w:r>
        <w:rPr>
          <w:rFonts w:ascii="Times New Roman" w:hAnsi="Times New Roman"/>
          <w:color w:val="1F1F1F"/>
          <w:kern w:val="0"/>
          <w:sz w:val="24"/>
          <w:szCs w:val="24"/>
        </w:rPr>
        <w:t>O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S-related parameters.</w:t>
      </w:r>
    </w:p>
    <w:p w14:paraId="748182F8" w14:textId="36D22788" w:rsidR="00972871" w:rsidRPr="00FE6117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>
        <w:rPr>
          <w:rFonts w:ascii="Times New Roman" w:hAnsi="Times New Roman" w:hint="eastAsia"/>
          <w:color w:val="1F1F1F"/>
          <w:kern w:val="0"/>
          <w:sz w:val="24"/>
          <w:szCs w:val="24"/>
        </w:rPr>
        <w:lastRenderedPageBreak/>
        <w:t>D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 and </w:t>
      </w:r>
      <w:r>
        <w:rPr>
          <w:rFonts w:ascii="Times New Roman" w:hAnsi="Times New Roman" w:hint="eastAsia"/>
          <w:color w:val="1F1F1F"/>
          <w:kern w:val="0"/>
          <w:sz w:val="24"/>
          <w:szCs w:val="24"/>
        </w:rPr>
        <w:t>E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 xml:space="preserve">: Nomogram and calibration curve for predicting 1-, 3-, and 5-year </w:t>
      </w:r>
      <w:r w:rsidR="002F6EE3">
        <w:rPr>
          <w:rFonts w:ascii="Times New Roman" w:hAnsi="Times New Roman"/>
          <w:color w:val="1F1F1F"/>
          <w:kern w:val="0"/>
          <w:sz w:val="24"/>
          <w:szCs w:val="24"/>
        </w:rPr>
        <w:t>O</w:t>
      </w:r>
      <w:r w:rsidRPr="00FE6117">
        <w:rPr>
          <w:rFonts w:ascii="Times New Roman" w:hAnsi="Times New Roman"/>
          <w:color w:val="1F1F1F"/>
          <w:kern w:val="0"/>
          <w:sz w:val="24"/>
          <w:szCs w:val="24"/>
        </w:rPr>
        <w:t>S in BC patients.</w:t>
      </w:r>
    </w:p>
    <w:p w14:paraId="278A552A" w14:textId="77777777" w:rsidR="00972871" w:rsidRPr="000F5CE5" w:rsidRDefault="00972871" w:rsidP="000A06EE">
      <w:pPr>
        <w:spacing w:line="240" w:lineRule="auto"/>
        <w:ind w:firstLineChars="200" w:firstLine="480"/>
        <w:jc w:val="both"/>
        <w:rPr>
          <w:rFonts w:ascii="Times New Roman" w:hAnsi="Times New Roman"/>
          <w:color w:val="1F1F1F"/>
          <w:kern w:val="0"/>
          <w:sz w:val="24"/>
          <w:szCs w:val="24"/>
        </w:rPr>
      </w:pPr>
      <w:r w:rsidRPr="00475279">
        <w:rPr>
          <w:rFonts w:ascii="Times New Roman" w:hAnsi="Times New Roman"/>
          <w:color w:val="1F1F1F"/>
          <w:kern w:val="0"/>
          <w:sz w:val="24"/>
          <w:szCs w:val="24"/>
        </w:rPr>
        <w:t>METABRIC, Molecular Taxonomy of Breast Cancer International Consortium</w:t>
      </w:r>
    </w:p>
    <w:p w14:paraId="00F1E37C" w14:textId="77777777" w:rsidR="00972871" w:rsidRPr="00EB1FAD" w:rsidRDefault="00972871" w:rsidP="000A06EE">
      <w:pPr>
        <w:spacing w:line="240" w:lineRule="auto"/>
        <w:ind w:firstLineChars="200" w:firstLine="440"/>
        <w:jc w:val="both"/>
      </w:pPr>
    </w:p>
    <w:p w14:paraId="2394D16E" w14:textId="77777777" w:rsidR="001A6FD0" w:rsidRPr="00972871" w:rsidRDefault="001A6FD0" w:rsidP="000A06EE">
      <w:pPr>
        <w:spacing w:line="240" w:lineRule="auto"/>
        <w:ind w:firstLineChars="200" w:firstLine="440"/>
        <w:jc w:val="both"/>
      </w:pPr>
    </w:p>
    <w:sectPr w:rsidR="001A6FD0" w:rsidRPr="00972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71"/>
    <w:rsid w:val="0009722D"/>
    <w:rsid w:val="000A06EE"/>
    <w:rsid w:val="000B6126"/>
    <w:rsid w:val="00186102"/>
    <w:rsid w:val="00193CBA"/>
    <w:rsid w:val="001A6FD0"/>
    <w:rsid w:val="001E0D9C"/>
    <w:rsid w:val="002615FE"/>
    <w:rsid w:val="00276108"/>
    <w:rsid w:val="002830F4"/>
    <w:rsid w:val="002F6EE3"/>
    <w:rsid w:val="004E6585"/>
    <w:rsid w:val="006D113B"/>
    <w:rsid w:val="00771258"/>
    <w:rsid w:val="00972871"/>
    <w:rsid w:val="009D0DD6"/>
    <w:rsid w:val="00AA473C"/>
    <w:rsid w:val="00C80A76"/>
    <w:rsid w:val="00CF439D"/>
    <w:rsid w:val="00D63C2B"/>
    <w:rsid w:val="00DB4FA6"/>
    <w:rsid w:val="00E80819"/>
    <w:rsid w:val="00FA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A0364"/>
  <w15:chartTrackingRefBased/>
  <w15:docId w15:val="{01DB2DE5-7DA3-B647-AE66-454284EA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871"/>
    <w:pPr>
      <w:widowControl w:val="0"/>
      <w:spacing w:before="100" w:beforeAutospacing="1" w:line="276" w:lineRule="auto"/>
    </w:pPr>
    <w:rPr>
      <w:rFonts w:ascii="DengXian" w:eastAsia="DengXian" w:hAnsi="DengXian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2871"/>
    <w:pPr>
      <w:keepNext/>
      <w:keepLines/>
      <w:spacing w:before="480" w:beforeAutospacing="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871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871"/>
    <w:pPr>
      <w:keepNext/>
      <w:keepLines/>
      <w:spacing w:before="160" w:beforeAutospacing="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871"/>
    <w:pPr>
      <w:keepNext/>
      <w:keepLines/>
      <w:spacing w:before="80" w:beforeAutospacing="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871"/>
    <w:pPr>
      <w:keepNext/>
      <w:keepLines/>
      <w:spacing w:before="80" w:beforeAutospacing="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871"/>
    <w:pPr>
      <w:keepNext/>
      <w:keepLines/>
      <w:spacing w:before="40" w:beforeAutospacing="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871"/>
    <w:pPr>
      <w:keepNext/>
      <w:keepLines/>
      <w:spacing w:before="40" w:beforeAutospacing="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871"/>
    <w:pPr>
      <w:keepNext/>
      <w:keepLines/>
      <w:spacing w:before="0" w:beforeAutospacing="0"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871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28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2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2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287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287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7287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28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28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28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2871"/>
    <w:pPr>
      <w:spacing w:before="0" w:beforeAutospacing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72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871"/>
    <w:pPr>
      <w:numPr>
        <w:ilvl w:val="1"/>
      </w:numPr>
      <w:spacing w:before="0" w:beforeAutospacing="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728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871"/>
    <w:pPr>
      <w:spacing w:before="160" w:beforeAutospacing="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728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871"/>
    <w:pPr>
      <w:spacing w:before="0" w:beforeAutospacing="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728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2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728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28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a1824</dc:creator>
  <cp:keywords/>
  <dc:description/>
  <cp:lastModifiedBy>a1824</cp:lastModifiedBy>
  <cp:revision>7</cp:revision>
  <dcterms:created xsi:type="dcterms:W3CDTF">2025-08-21T11:28:00Z</dcterms:created>
  <dcterms:modified xsi:type="dcterms:W3CDTF">2025-08-26T14:55:00Z</dcterms:modified>
</cp:coreProperties>
</file>