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EA0451">
      <w:pPr>
        <w:pStyle w:val="3"/>
        <w:rPr>
          <w:rFonts w:hint="eastAsia" w:ascii="Times New Roman" w:hAnsi="Times New Roman" w:cs="Times New Roman" w:eastAsiaTheme="minorEastAsia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Supplementatry Table</w:t>
      </w:r>
      <w:r>
        <w:rPr>
          <w:rFonts w:ascii="Times New Roman" w:hAnsi="Times New Roman" w:cs="Times New Roman"/>
          <w:b/>
          <w:bCs/>
          <w:sz w:val="24"/>
        </w:rPr>
        <w:fldChar w:fldCharType="begin"/>
      </w:r>
      <w:r>
        <w:rPr>
          <w:rFonts w:ascii="Times New Roman" w:hAnsi="Times New Roman" w:cs="Times New Roman"/>
          <w:b/>
          <w:bCs/>
          <w:sz w:val="24"/>
        </w:rPr>
        <w:instrText xml:space="preserve"> SEQ Supplementatry \* ARABIC </w:instrText>
      </w:r>
      <w:r>
        <w:rPr>
          <w:rFonts w:ascii="Times New Roman" w:hAnsi="Times New Roman" w:cs="Times New Roman"/>
          <w:b/>
          <w:bCs/>
          <w:sz w:val="24"/>
        </w:rPr>
        <w:fldChar w:fldCharType="separate"/>
      </w:r>
      <w:r>
        <w:rPr>
          <w:rFonts w:ascii="Times New Roman" w:hAnsi="Times New Roman" w:cs="Times New Roman"/>
          <w:b/>
          <w:bCs/>
          <w:sz w:val="24"/>
        </w:rPr>
        <w:t>1</w:t>
      </w:r>
      <w:r>
        <w:rPr>
          <w:rFonts w:ascii="Times New Roman" w:hAnsi="Times New Roman" w:cs="Times New Roman"/>
          <w:b/>
          <w:bCs/>
          <w:sz w:val="24"/>
        </w:rPr>
        <w:fldChar w:fldCharType="end"/>
      </w:r>
      <w:r>
        <w:rPr>
          <w:rFonts w:ascii="Times New Roman" w:hAnsi="Times New Roman" w:cs="Times New Roman"/>
          <w:b/>
          <w:bCs/>
          <w:sz w:val="24"/>
        </w:rPr>
        <w:t>.</w:t>
      </w:r>
      <w:r>
        <w:rPr>
          <w:rFonts w:ascii="Times New Roman" w:hAnsi="Times New Roman" w:cs="Times New Roman" w:eastAsiaTheme="minorEastAsia"/>
          <w:b/>
          <w:bCs/>
          <w:sz w:val="24"/>
        </w:rPr>
        <w:t xml:space="preserve"> </w:t>
      </w:r>
      <w:r>
        <w:rPr>
          <w:rFonts w:ascii="Times New Roman" w:hAnsi="Times New Roman" w:cs="Times New Roman" w:eastAsiaTheme="minorEastAsia"/>
          <w:sz w:val="24"/>
        </w:rPr>
        <w:t>Type of therapies received by each group</w:t>
      </w:r>
    </w:p>
    <w:tbl>
      <w:tblPr>
        <w:tblStyle w:val="5"/>
        <w:tblW w:w="77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80" w:type="dxa"/>
          <w:left w:w="128" w:type="dxa"/>
          <w:bottom w:w="80" w:type="dxa"/>
          <w:right w:w="128" w:type="dxa"/>
        </w:tblCellMar>
      </w:tblPr>
      <w:tblGrid>
        <w:gridCol w:w="3699"/>
        <w:gridCol w:w="1969"/>
        <w:gridCol w:w="2131"/>
      </w:tblGrid>
      <w:tr w14:paraId="6A4AB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jc w:val="center"/>
        </w:trPr>
        <w:tc>
          <w:tcPr>
            <w:tcW w:w="369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AB463B3">
            <w:pPr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Cs w:val="21"/>
              </w:rPr>
              <w:t>Treatment Category</w:t>
            </w:r>
          </w:p>
        </w:tc>
        <w:tc>
          <w:tcPr>
            <w:tcW w:w="196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561C6C8">
            <w:pPr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Cs w:val="21"/>
              </w:rPr>
              <w:t>Control Group</w:t>
            </w:r>
          </w:p>
        </w:tc>
        <w:tc>
          <w:tcPr>
            <w:tcW w:w="213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313D121">
            <w:pPr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Cs w:val="21"/>
              </w:rPr>
              <w:t>D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szCs w:val="21"/>
              </w:rPr>
              <w:t>ara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Cs w:val="21"/>
              </w:rPr>
              <w:t>-Based Group</w:t>
            </w:r>
          </w:p>
        </w:tc>
      </w:tr>
      <w:tr w14:paraId="5CA34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jc w:val="center"/>
        </w:trPr>
        <w:tc>
          <w:tcPr>
            <w:tcW w:w="369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04827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left"/>
              <w:rPr>
                <w:rFonts w:ascii="Times New Roman" w:hAnsi="Times New Roman" w:eastAsia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1"/>
              </w:rPr>
              <w:t>PI + IMiD+ dexamethasone±Other agent, n</w:t>
            </w: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Cs w:val="21"/>
              </w:rPr>
              <w:t>(%)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B142CFB">
            <w:pPr>
              <w:snapToGrid w:val="0"/>
              <w:jc w:val="center"/>
              <w:rPr>
                <w:rFonts w:ascii="Times New Roman" w:hAnsi="Times New Roman" w:eastAsia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1"/>
              </w:rPr>
              <w:t>79</w:t>
            </w: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(</w:t>
            </w:r>
            <w:r>
              <w:rPr>
                <w:rFonts w:ascii="Times New Roman" w:hAnsi="Times New Roman" w:eastAsia="Times New Roman" w:cs="Times New Roman"/>
                <w:color w:val="000000"/>
                <w:szCs w:val="21"/>
              </w:rPr>
              <w:t>70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)</w:t>
            </w:r>
          </w:p>
        </w:tc>
        <w:tc>
          <w:tcPr>
            <w:tcW w:w="213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00EA380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1"/>
              </w:rPr>
              <w:t>-</w:t>
            </w:r>
          </w:p>
        </w:tc>
      </w:tr>
      <w:tr w14:paraId="53008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jc w:val="center"/>
        </w:trPr>
        <w:tc>
          <w:tcPr>
            <w:tcW w:w="369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F8DA9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left"/>
              <w:rPr>
                <w:rStyle w:val="7"/>
                <w:rFonts w:ascii="Times New Roman" w:hAnsi="Times New Roman" w:eastAsia="宋体" w:cs="Times New Roman"/>
                <w:b w:val="0"/>
                <w:color w:val="0F1115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1"/>
              </w:rPr>
              <w:t>PI+dexamethasone±Other agent, n</w:t>
            </w: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Cs w:val="21"/>
              </w:rPr>
              <w:t>(%)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8AFB1AF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1"/>
              </w:rPr>
              <w:t>33</w:t>
            </w:r>
            <w:r>
              <w:rPr>
                <w:rFonts w:hint="eastAsia" w:ascii="Times New Roman" w:hAnsi="Times New Roman" w:eastAsia="Times New Roman" w:cs="Times New Roman"/>
                <w:color w:val="000000"/>
                <w:szCs w:val="21"/>
              </w:rPr>
              <w:t xml:space="preserve"> (</w:t>
            </w:r>
            <w:r>
              <w:rPr>
                <w:rFonts w:ascii="Times New Roman" w:hAnsi="Times New Roman" w:eastAsia="Times New Roman" w:cs="Times New Roman"/>
                <w:color w:val="000000"/>
                <w:szCs w:val="21"/>
              </w:rPr>
              <w:t>29</w:t>
            </w:r>
            <w:r>
              <w:rPr>
                <w:rFonts w:hint="eastAsia" w:ascii="Times New Roman" w:hAnsi="Times New Roman" w:eastAsia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213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74090D2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1"/>
              </w:rPr>
              <w:t>-</w:t>
            </w:r>
          </w:p>
        </w:tc>
      </w:tr>
      <w:tr w14:paraId="057CB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jc w:val="center"/>
        </w:trPr>
        <w:tc>
          <w:tcPr>
            <w:tcW w:w="369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55697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left"/>
              <w:rPr>
                <w:rStyle w:val="7"/>
                <w:rFonts w:ascii="Times New Roman" w:hAnsi="Times New Roman" w:eastAsia="宋体" w:cs="Times New Roman"/>
                <w:b w:val="0"/>
                <w:color w:val="0F1115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1"/>
              </w:rPr>
              <w:t>Other agent, n</w:t>
            </w: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Cs w:val="21"/>
              </w:rPr>
              <w:t>(%)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5F8BA8C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(</w:t>
            </w:r>
            <w:r>
              <w:rPr>
                <w:rFonts w:ascii="Times New Roman" w:hAnsi="Times New Roman" w:eastAsia="Times New Roman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)</w:t>
            </w:r>
          </w:p>
        </w:tc>
        <w:tc>
          <w:tcPr>
            <w:tcW w:w="213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21973CF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1"/>
              </w:rPr>
              <w:t>-</w:t>
            </w:r>
          </w:p>
        </w:tc>
      </w:tr>
      <w:tr w14:paraId="221EE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jc w:val="center"/>
        </w:trPr>
        <w:tc>
          <w:tcPr>
            <w:tcW w:w="369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D4D79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left"/>
              <w:rPr>
                <w:rStyle w:val="7"/>
                <w:rFonts w:ascii="Times New Roman" w:hAnsi="Times New Roman" w:eastAsia="宋体" w:cs="Times New Roman"/>
                <w:b w:val="0"/>
                <w:color w:val="0F1115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1"/>
              </w:rPr>
              <w:t>Dara+IMiD+dexamethasone, n</w:t>
            </w: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Cs w:val="21"/>
              </w:rPr>
              <w:t>(%)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028BC5D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1"/>
              </w:rPr>
              <w:t>-</w:t>
            </w:r>
          </w:p>
        </w:tc>
        <w:tc>
          <w:tcPr>
            <w:tcW w:w="213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5CF05D0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1"/>
              </w:rPr>
              <w:t>6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(</w:t>
            </w:r>
            <w:r>
              <w:rPr>
                <w:rFonts w:ascii="Times New Roman" w:hAnsi="Times New Roman" w:eastAsia="Times New Roman" w:cs="Times New Roman"/>
                <w:color w:val="000000"/>
                <w:szCs w:val="21"/>
              </w:rPr>
              <w:t>12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)</w:t>
            </w:r>
          </w:p>
        </w:tc>
      </w:tr>
      <w:tr w14:paraId="2BB7A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jc w:val="center"/>
        </w:trPr>
        <w:tc>
          <w:tcPr>
            <w:tcW w:w="369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6BA60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left"/>
              <w:rPr>
                <w:rStyle w:val="7"/>
                <w:rFonts w:ascii="Times New Roman" w:hAnsi="Times New Roman" w:eastAsia="宋体" w:cs="Times New Roman"/>
                <w:b w:val="0"/>
                <w:color w:val="0F1115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1"/>
              </w:rPr>
              <w:t>Dara+IMiD+PI+dexamethasone, n</w:t>
            </w: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Cs w:val="21"/>
              </w:rPr>
              <w:t>(%)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71A6CD1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1"/>
              </w:rPr>
              <w:t>-</w:t>
            </w:r>
          </w:p>
        </w:tc>
        <w:tc>
          <w:tcPr>
            <w:tcW w:w="213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BCD3D5C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1"/>
              </w:rPr>
              <w:t>38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(</w:t>
            </w:r>
            <w:r>
              <w:rPr>
                <w:rFonts w:ascii="Times New Roman" w:hAnsi="Times New Roman" w:eastAsia="Times New Roman" w:cs="Times New Roman"/>
                <w:color w:val="000000"/>
                <w:szCs w:val="21"/>
              </w:rPr>
              <w:t>75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)</w:t>
            </w:r>
          </w:p>
        </w:tc>
      </w:tr>
      <w:tr w14:paraId="2BD90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jc w:val="center"/>
        </w:trPr>
        <w:tc>
          <w:tcPr>
            <w:tcW w:w="369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F449B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left"/>
              <w:rPr>
                <w:rStyle w:val="7"/>
                <w:rFonts w:ascii="Times New Roman" w:hAnsi="Times New Roman" w:eastAsia="宋体" w:cs="Times New Roman"/>
                <w:b w:val="0"/>
                <w:color w:val="0F1115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1"/>
              </w:rPr>
              <w:t>Dara+IMiD+dexamethasone+Other agent, n</w:t>
            </w: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Cs w:val="21"/>
              </w:rPr>
              <w:t>(%)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6140FAA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1"/>
              </w:rPr>
              <w:t>-</w:t>
            </w:r>
          </w:p>
        </w:tc>
        <w:tc>
          <w:tcPr>
            <w:tcW w:w="213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AA9B6DE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1"/>
              </w:rPr>
              <w:t>6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(</w:t>
            </w:r>
            <w:r>
              <w:rPr>
                <w:rFonts w:ascii="Times New Roman" w:hAnsi="Times New Roman" w:eastAsia="Times New Roman" w:cs="Times New Roman"/>
                <w:color w:val="000000"/>
                <w:szCs w:val="21"/>
              </w:rPr>
              <w:t>12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)</w:t>
            </w:r>
          </w:p>
        </w:tc>
      </w:tr>
      <w:tr w14:paraId="5B7C4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jc w:val="center"/>
        </w:trPr>
        <w:tc>
          <w:tcPr>
            <w:tcW w:w="3699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402492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left"/>
              <w:rPr>
                <w:rStyle w:val="7"/>
                <w:rFonts w:ascii="Times New Roman" w:hAnsi="Times New Roman" w:eastAsia="宋体" w:cs="Times New Roman"/>
                <w:b w:val="0"/>
                <w:color w:val="0F1115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1"/>
              </w:rPr>
              <w:t>Dara+PI+dexamethasone, n</w:t>
            </w: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Cs w:val="21"/>
              </w:rPr>
              <w:t>(%)</w:t>
            </w:r>
          </w:p>
        </w:tc>
        <w:tc>
          <w:tcPr>
            <w:tcW w:w="1969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5626DA02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1"/>
              </w:rPr>
              <w:t>-</w:t>
            </w:r>
          </w:p>
        </w:tc>
        <w:tc>
          <w:tcPr>
            <w:tcW w:w="2131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2B86551F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 (</w:t>
            </w:r>
            <w:r>
              <w:rPr>
                <w:rFonts w:ascii="Times New Roman" w:hAnsi="Times New Roman" w:eastAsia="Times New Roman" w:cs="Times New Roman"/>
                <w:color w:val="00000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)</w:t>
            </w:r>
          </w:p>
        </w:tc>
      </w:tr>
    </w:tbl>
    <w:p w14:paraId="58CAD51B">
      <w:pPr>
        <w:pStyle w:val="3"/>
        <w:rPr>
          <w:rFonts w:hint="eastAsia"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Abbreviations:</w:t>
      </w:r>
      <w:r>
        <w:rPr>
          <w:rFonts w:hint="eastAsia"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IMiD Immunomodulatory drug, PI Proteasome inhibitor, Dara Daratumumab, Other agent including doxorubicin, Cyclophosphamide or selinexor.</w:t>
      </w:r>
    </w:p>
    <w:p w14:paraId="52F4698C">
      <w:pPr>
        <w:rPr>
          <w:rFonts w:hint="eastAsia"/>
        </w:rPr>
      </w:pPr>
      <w:r>
        <w:rPr>
          <w:rFonts w:hint="eastAsia"/>
        </w:rPr>
        <w:br w:type="page"/>
      </w:r>
    </w:p>
    <w:p w14:paraId="0581F74E">
      <w:pPr>
        <w:pStyle w:val="3"/>
        <w:rPr>
          <w:rFonts w:ascii="Times New Roman" w:hAnsi="Times New Roman" w:cs="Times New Roman" w:eastAsiaTheme="minorEastAsia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Supplementatry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T</w:t>
      </w:r>
      <w:r>
        <w:rPr>
          <w:rFonts w:ascii="Times New Roman" w:hAnsi="Times New Roman" w:cs="Times New Roman"/>
          <w:b/>
          <w:bCs/>
          <w:sz w:val="24"/>
        </w:rPr>
        <w:t>able2.</w:t>
      </w:r>
      <w:r>
        <w:rPr>
          <w:rFonts w:hint="eastAsia"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 w:eastAsiaTheme="minorEastAsia"/>
          <w:sz w:val="24"/>
        </w:rPr>
        <w:t>Type of bone resorption therapy</w:t>
      </w:r>
    </w:p>
    <w:tbl>
      <w:tblPr>
        <w:tblStyle w:val="5"/>
        <w:tblW w:w="77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80" w:type="dxa"/>
          <w:left w:w="128" w:type="dxa"/>
          <w:bottom w:w="80" w:type="dxa"/>
          <w:right w:w="128" w:type="dxa"/>
        </w:tblCellMar>
      </w:tblPr>
      <w:tblGrid>
        <w:gridCol w:w="2115"/>
        <w:gridCol w:w="1179"/>
        <w:gridCol w:w="1831"/>
        <w:gridCol w:w="1810"/>
        <w:gridCol w:w="818"/>
      </w:tblGrid>
      <w:tr w14:paraId="0C380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blHeader/>
          <w:jc w:val="center"/>
        </w:trPr>
        <w:tc>
          <w:tcPr>
            <w:tcW w:w="211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0FA84E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Treatment group</w:t>
            </w:r>
          </w:p>
        </w:tc>
        <w:tc>
          <w:tcPr>
            <w:tcW w:w="117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5C9ED9C">
            <w:pPr>
              <w:snapToGrid w:val="0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Total patients,n</w:t>
            </w:r>
          </w:p>
        </w:tc>
        <w:tc>
          <w:tcPr>
            <w:tcW w:w="183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EAD430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Bisphosphonates, n</w:t>
            </w: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(%)</w:t>
            </w:r>
          </w:p>
        </w:tc>
        <w:tc>
          <w:tcPr>
            <w:tcW w:w="181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7F136B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Denosumab, n</w:t>
            </w: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(%)</w:t>
            </w:r>
          </w:p>
        </w:tc>
        <w:tc>
          <w:tcPr>
            <w:tcW w:w="81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BCCD5EF">
            <w:pPr>
              <w:snapToGrid w:val="0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None, n</w:t>
            </w: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(%)</w:t>
            </w:r>
          </w:p>
        </w:tc>
      </w:tr>
      <w:tr w14:paraId="39B8E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jc w:val="center"/>
        </w:trPr>
        <w:tc>
          <w:tcPr>
            <w:tcW w:w="211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CA2F03F">
            <w:pPr>
              <w:snapToGrid w:val="0"/>
              <w:jc w:val="center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Control Group</w:t>
            </w:r>
          </w:p>
        </w:tc>
        <w:tc>
          <w:tcPr>
            <w:tcW w:w="1179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1E79A45">
            <w:pPr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113</w:t>
            </w:r>
          </w:p>
        </w:tc>
        <w:tc>
          <w:tcPr>
            <w:tcW w:w="183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D162CCB">
            <w:pPr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50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>(86)</w:t>
            </w:r>
          </w:p>
        </w:tc>
        <w:tc>
          <w:tcPr>
            <w:tcW w:w="181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6C15EF5">
            <w:pPr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40(51)</w:t>
            </w:r>
          </w:p>
        </w:tc>
        <w:tc>
          <w:tcPr>
            <w:tcW w:w="81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364B678">
            <w:pPr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23(82)</w:t>
            </w:r>
          </w:p>
        </w:tc>
      </w:tr>
      <w:tr w14:paraId="32518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jc w:val="center"/>
        </w:trPr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D8305">
            <w:pPr>
              <w:snapToGrid w:val="0"/>
              <w:jc w:val="center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Dara-Based Group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7FCCE">
            <w:pPr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51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A4833">
            <w:pPr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8(13)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08C72">
            <w:pPr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38(49)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8A292">
            <w:pPr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5(18)</w:t>
            </w:r>
          </w:p>
        </w:tc>
      </w:tr>
      <w:tr w14:paraId="4512C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jc w:val="center"/>
        </w:trPr>
        <w:tc>
          <w:tcPr>
            <w:tcW w:w="211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BA8C176">
            <w:pPr>
              <w:snapToGrid w:val="0"/>
              <w:jc w:val="center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Total</w:t>
            </w:r>
          </w:p>
        </w:tc>
        <w:tc>
          <w:tcPr>
            <w:tcW w:w="1179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412CBEC">
            <w:pPr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164</w:t>
            </w:r>
          </w:p>
        </w:tc>
        <w:tc>
          <w:tcPr>
            <w:tcW w:w="183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025E08C">
            <w:pPr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58</w:t>
            </w:r>
          </w:p>
        </w:tc>
        <w:tc>
          <w:tcPr>
            <w:tcW w:w="181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8241D19">
            <w:pPr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78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C7D116F">
            <w:pPr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28</w:t>
            </w:r>
          </w:p>
        </w:tc>
      </w:tr>
    </w:tbl>
    <w:p w14:paraId="4961F650">
      <w:pPr>
        <w:pStyle w:val="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Supplementatry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T</w:t>
      </w:r>
      <w:bookmarkStart w:id="0" w:name="_GoBack"/>
      <w:bookmarkEnd w:id="0"/>
      <w:r>
        <w:rPr>
          <w:rFonts w:ascii="Times New Roman" w:hAnsi="Times New Roman" w:cs="Times New Roman"/>
          <w:b/>
          <w:bCs/>
        </w:rPr>
        <w:t>able2.</w:t>
      </w:r>
      <w:r>
        <w:rPr>
          <w:rFonts w:ascii="Times New Roman" w:hAnsi="Times New Roman" w:cs="Times New Roman"/>
        </w:rPr>
        <w:t xml:space="preserve"> Bisphosphonates including Pamidronate and Zoledronate</w:t>
      </w:r>
      <w:r>
        <w:rPr>
          <w:rFonts w:hint="eastAsia" w:ascii="Times New Roman" w:hAnsi="Times New Roman" w:cs="Times New Roman"/>
        </w:rPr>
        <w:t>.</w:t>
      </w:r>
    </w:p>
    <w:p w14:paraId="4E332E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C92BE54">
      <w:pPr>
        <w:pStyle w:val="3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Supplementary Figure </w:t>
      </w:r>
      <w:r>
        <w:rPr>
          <w:rFonts w:ascii="Times New Roman" w:hAnsi="Times New Roman" w:cs="Times New Roman"/>
          <w:b/>
          <w:bCs/>
          <w:sz w:val="24"/>
        </w:rPr>
        <w:fldChar w:fldCharType="begin"/>
      </w:r>
      <w:r>
        <w:rPr>
          <w:rFonts w:ascii="Times New Roman" w:hAnsi="Times New Roman" w:cs="Times New Roman"/>
          <w:b/>
          <w:bCs/>
          <w:sz w:val="24"/>
        </w:rPr>
        <w:instrText xml:space="preserve"> SEQ Supplementary_Figure_ \* ARABIC </w:instrText>
      </w:r>
      <w:r>
        <w:rPr>
          <w:rFonts w:ascii="Times New Roman" w:hAnsi="Times New Roman" w:cs="Times New Roman"/>
          <w:b/>
          <w:bCs/>
          <w:sz w:val="24"/>
        </w:rPr>
        <w:fldChar w:fldCharType="separate"/>
      </w:r>
      <w:r>
        <w:rPr>
          <w:rFonts w:ascii="Times New Roman" w:hAnsi="Times New Roman" w:cs="Times New Roman"/>
          <w:b/>
          <w:bCs/>
          <w:sz w:val="24"/>
        </w:rPr>
        <w:t>1</w:t>
      </w:r>
      <w:r>
        <w:rPr>
          <w:rFonts w:ascii="Times New Roman" w:hAnsi="Times New Roman" w:cs="Times New Roman"/>
          <w:b/>
          <w:bCs/>
          <w:sz w:val="24"/>
        </w:rPr>
        <w:fldChar w:fldCharType="end"/>
      </w:r>
      <w:r>
        <w:rPr>
          <w:rFonts w:ascii="Times New Roman" w:hAnsi="Times New Roman" w:cs="Times New Roman"/>
          <w:b/>
          <w:bCs/>
          <w:sz w:val="24"/>
        </w:rPr>
        <w:t>.</w:t>
      </w:r>
    </w:p>
    <w:p w14:paraId="449C4C52">
      <w:r>
        <w:rPr>
          <w:rFonts w:hint="eastAsia"/>
        </w:rPr>
        <w:drawing>
          <wp:inline distT="0" distB="0" distL="114300" distR="114300">
            <wp:extent cx="5268595" cy="5052060"/>
            <wp:effectExtent l="0" t="0" r="1905" b="2540"/>
            <wp:docPr id="1" name="图片 1" descr="附图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附图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505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56A0C">
      <w:pPr>
        <w:rPr>
          <w:rFonts w:ascii="Times New Roman" w:hAnsi="Times New Roman" w:eastAsia="等线" w:cs="Times New Roman"/>
        </w:rPr>
      </w:pPr>
      <w:r>
        <w:rPr>
          <w:rFonts w:ascii="Times New Roman" w:hAnsi="Times New Roman" w:cs="Times New Roman"/>
          <w:b/>
          <w:bCs/>
        </w:rPr>
        <w:t>Supplementary Figure1.</w:t>
      </w:r>
      <w:r>
        <w:rPr>
          <w:rFonts w:ascii="Times New Roman" w:hAnsi="Times New Roman" w:eastAsia="等线" w:cs="Times New Roman"/>
          <w:b/>
          <w:bCs/>
        </w:rPr>
        <w:t xml:space="preserve"> </w:t>
      </w:r>
      <w:r>
        <w:rPr>
          <w:rFonts w:ascii="Times New Roman" w:hAnsi="Times New Roman" w:eastAsia="等线" w:cs="Times New Roman"/>
        </w:rPr>
        <w:t>The subgroups of Kaplan-Meier curves regarding time to first SRE. (A) high-risk patients</w:t>
      </w:r>
      <w:r>
        <w:rPr>
          <w:rFonts w:hint="eastAsia" w:ascii="Times New Roman" w:hAnsi="Times New Roman" w:eastAsia="等线" w:cs="Times New Roman"/>
        </w:rPr>
        <w:t xml:space="preserve">; </w:t>
      </w:r>
      <w:r>
        <w:rPr>
          <w:rFonts w:ascii="Times New Roman" w:hAnsi="Times New Roman" w:eastAsia="等线" w:cs="Times New Roman"/>
        </w:rPr>
        <w:t>(B) patients with hypercalcemia</w:t>
      </w:r>
      <w:r>
        <w:rPr>
          <w:rFonts w:hint="eastAsia" w:ascii="Times New Roman" w:hAnsi="Times New Roman" w:eastAsia="等线" w:cs="Times New Roman"/>
        </w:rPr>
        <w:t>;</w:t>
      </w:r>
      <w:r>
        <w:rPr>
          <w:rFonts w:ascii="Times New Roman" w:hAnsi="Times New Roman" w:eastAsia="等线" w:cs="Times New Roman"/>
        </w:rPr>
        <w:t xml:space="preserve"> (C–D) patients with or without EMD</w:t>
      </w:r>
      <w:r>
        <w:rPr>
          <w:rFonts w:hint="eastAsia" w:ascii="Times New Roman" w:hAnsi="Times New Roman" w:eastAsia="等线" w:cs="Times New Roman"/>
        </w:rPr>
        <w:t>;</w:t>
      </w:r>
      <w:r>
        <w:rPr>
          <w:rFonts w:ascii="Times New Roman" w:hAnsi="Times New Roman" w:eastAsia="等线" w:cs="Times New Roman"/>
        </w:rPr>
        <w:t xml:space="preserve"> (E–F) patients with or without CPCs</w:t>
      </w:r>
      <w:r>
        <w:rPr>
          <w:rFonts w:hint="eastAsia" w:ascii="Times New Roman" w:hAnsi="Times New Roman" w:eastAsia="等线" w:cs="Times New Roman"/>
        </w:rPr>
        <w:t>;</w:t>
      </w:r>
      <w:r>
        <w:rPr>
          <w:rFonts w:ascii="Times New Roman" w:hAnsi="Times New Roman" w:eastAsia="等线" w:cs="Times New Roman"/>
        </w:rPr>
        <w:t xml:space="preserve"> (G–H) subgroup analysis by use of anti-bone resorption drugs, defined as treatment with either Bisphosphonates or Denosumab.</w:t>
      </w:r>
    </w:p>
    <w:p w14:paraId="2DE1BCBD">
      <w:pPr>
        <w:rPr>
          <w:rFonts w:hint="eastAsia" w:ascii="Times New Roman" w:hAnsi="Times New Roman" w:eastAsia="黑体" w:cs="Times New Roman"/>
          <w:sz w:val="20"/>
        </w:rPr>
      </w:pPr>
      <w:r>
        <w:rPr>
          <w:rFonts w:ascii="Times New Roman" w:hAnsi="Times New Roman" w:cs="Times New Roman"/>
          <w:b/>
          <w:bCs/>
        </w:rPr>
        <w:t>Abbreviations:</w:t>
      </w:r>
      <w:r>
        <w:rPr>
          <w:rFonts w:hint="eastAsia"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eastAsia="等线" w:cs="Times New Roman"/>
        </w:rPr>
        <w:t>EMD, extramedullary disease</w:t>
      </w:r>
      <w:r>
        <w:rPr>
          <w:rFonts w:hint="eastAsia" w:ascii="Times New Roman" w:hAnsi="Times New Roman" w:eastAsia="等线" w:cs="Times New Roman"/>
        </w:rPr>
        <w:t>;</w:t>
      </w:r>
      <w:r>
        <w:rPr>
          <w:rFonts w:ascii="Times New Roman" w:hAnsi="Times New Roman" w:eastAsia="等线" w:cs="Times New Roman"/>
        </w:rPr>
        <w:t xml:space="preserve"> CPCs, circulating plasma cells. </w:t>
      </w:r>
      <w:r>
        <w:rPr>
          <w:rFonts w:ascii="Times New Roman" w:hAnsi="Times New Roman" w:cs="Times New Roman"/>
        </w:rPr>
        <w:t>Log-rank test was performed to determine differences of SRE-free probability between subgroups. P value &lt; 0.05 was considered as statistically significant.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E9346C"/>
    <w:rsid w:val="00017AC3"/>
    <w:rsid w:val="00036F4B"/>
    <w:rsid w:val="001940B9"/>
    <w:rsid w:val="002B6923"/>
    <w:rsid w:val="002E4785"/>
    <w:rsid w:val="006378B6"/>
    <w:rsid w:val="006B779C"/>
    <w:rsid w:val="007E2F5A"/>
    <w:rsid w:val="00824069"/>
    <w:rsid w:val="00B53263"/>
    <w:rsid w:val="00C17244"/>
    <w:rsid w:val="00D14C07"/>
    <w:rsid w:val="01145609"/>
    <w:rsid w:val="01E22949"/>
    <w:rsid w:val="01E37341"/>
    <w:rsid w:val="029167E5"/>
    <w:rsid w:val="05CC64B2"/>
    <w:rsid w:val="06C76C7A"/>
    <w:rsid w:val="0774295E"/>
    <w:rsid w:val="090E293E"/>
    <w:rsid w:val="0A051F93"/>
    <w:rsid w:val="0A1977EC"/>
    <w:rsid w:val="0A287A2F"/>
    <w:rsid w:val="0BB56CC5"/>
    <w:rsid w:val="0BCF2858"/>
    <w:rsid w:val="0DE95727"/>
    <w:rsid w:val="0DFC545B"/>
    <w:rsid w:val="0E666D78"/>
    <w:rsid w:val="0FCE2E27"/>
    <w:rsid w:val="15806971"/>
    <w:rsid w:val="166E015D"/>
    <w:rsid w:val="16A9014A"/>
    <w:rsid w:val="17937DA8"/>
    <w:rsid w:val="17FF6273"/>
    <w:rsid w:val="186500A0"/>
    <w:rsid w:val="190F698A"/>
    <w:rsid w:val="19267830"/>
    <w:rsid w:val="1B886580"/>
    <w:rsid w:val="1BC021BE"/>
    <w:rsid w:val="1C362480"/>
    <w:rsid w:val="1CA078F9"/>
    <w:rsid w:val="1D061E52"/>
    <w:rsid w:val="1D1C78C7"/>
    <w:rsid w:val="1DF83E91"/>
    <w:rsid w:val="1FB75686"/>
    <w:rsid w:val="20210D51"/>
    <w:rsid w:val="20DB53A4"/>
    <w:rsid w:val="211F1734"/>
    <w:rsid w:val="22F06E9F"/>
    <w:rsid w:val="23533917"/>
    <w:rsid w:val="241F37F9"/>
    <w:rsid w:val="25321BD9"/>
    <w:rsid w:val="29806D16"/>
    <w:rsid w:val="2AA902C1"/>
    <w:rsid w:val="2B795EE5"/>
    <w:rsid w:val="2C163734"/>
    <w:rsid w:val="2C4604BD"/>
    <w:rsid w:val="2C954FA0"/>
    <w:rsid w:val="2D680522"/>
    <w:rsid w:val="2D7746A6"/>
    <w:rsid w:val="2DCD42C6"/>
    <w:rsid w:val="2EA27501"/>
    <w:rsid w:val="2F7E1144"/>
    <w:rsid w:val="2FA33530"/>
    <w:rsid w:val="2FE853E7"/>
    <w:rsid w:val="3049232A"/>
    <w:rsid w:val="314825E1"/>
    <w:rsid w:val="324F174E"/>
    <w:rsid w:val="3344327C"/>
    <w:rsid w:val="36A12C23"/>
    <w:rsid w:val="377834F5"/>
    <w:rsid w:val="379320DC"/>
    <w:rsid w:val="37FE0E3D"/>
    <w:rsid w:val="391928CD"/>
    <w:rsid w:val="3AA30888"/>
    <w:rsid w:val="3C796CB5"/>
    <w:rsid w:val="3D257C7B"/>
    <w:rsid w:val="3DAB2EE2"/>
    <w:rsid w:val="3EE85404"/>
    <w:rsid w:val="3EE9346C"/>
    <w:rsid w:val="3F9F3D14"/>
    <w:rsid w:val="407D392A"/>
    <w:rsid w:val="41314E40"/>
    <w:rsid w:val="44707D8E"/>
    <w:rsid w:val="45F4643C"/>
    <w:rsid w:val="469D7DA9"/>
    <w:rsid w:val="47925F0D"/>
    <w:rsid w:val="49951CE4"/>
    <w:rsid w:val="4A407EA2"/>
    <w:rsid w:val="4EC72940"/>
    <w:rsid w:val="4F111E0D"/>
    <w:rsid w:val="505446A7"/>
    <w:rsid w:val="50F82D67"/>
    <w:rsid w:val="51BD6A66"/>
    <w:rsid w:val="547215A0"/>
    <w:rsid w:val="54AB2D04"/>
    <w:rsid w:val="574370F4"/>
    <w:rsid w:val="58A106A5"/>
    <w:rsid w:val="59576FB6"/>
    <w:rsid w:val="599E2E37"/>
    <w:rsid w:val="5B070568"/>
    <w:rsid w:val="5B294982"/>
    <w:rsid w:val="5CBF10FA"/>
    <w:rsid w:val="5DBB4545"/>
    <w:rsid w:val="5DE30E18"/>
    <w:rsid w:val="5EFA28BD"/>
    <w:rsid w:val="5F053010"/>
    <w:rsid w:val="6223212B"/>
    <w:rsid w:val="626544F2"/>
    <w:rsid w:val="637D586B"/>
    <w:rsid w:val="6626043C"/>
    <w:rsid w:val="66833198"/>
    <w:rsid w:val="67712994"/>
    <w:rsid w:val="68444BA9"/>
    <w:rsid w:val="68FE2FAA"/>
    <w:rsid w:val="69C77840"/>
    <w:rsid w:val="69E06B54"/>
    <w:rsid w:val="6B910106"/>
    <w:rsid w:val="6C3F7B62"/>
    <w:rsid w:val="6C441B24"/>
    <w:rsid w:val="6DF606F4"/>
    <w:rsid w:val="6E1C5038"/>
    <w:rsid w:val="6EDD3662"/>
    <w:rsid w:val="6EF72976"/>
    <w:rsid w:val="6F7A7103"/>
    <w:rsid w:val="6FF944CB"/>
    <w:rsid w:val="720930EC"/>
    <w:rsid w:val="73B928EF"/>
    <w:rsid w:val="741951BC"/>
    <w:rsid w:val="7516167C"/>
    <w:rsid w:val="75AA6994"/>
    <w:rsid w:val="76AC04E9"/>
    <w:rsid w:val="786C2DC1"/>
    <w:rsid w:val="78F84D37"/>
    <w:rsid w:val="79F24465"/>
    <w:rsid w:val="7A0F08C2"/>
    <w:rsid w:val="7A6A66F1"/>
    <w:rsid w:val="7E6873EC"/>
    <w:rsid w:val="7F075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aption"/>
    <w:basedOn w:val="1"/>
    <w:next w:val="1"/>
    <w:unhideWhenUsed/>
    <w:qFormat/>
    <w:uiPriority w:val="0"/>
    <w:rPr>
      <w:rFonts w:ascii="Arial" w:hAnsi="Arial" w:eastAsia="黑体"/>
      <w:sz w:val="20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204</Words>
  <Characters>1277</Characters>
  <Lines>44</Lines>
  <Paragraphs>22</Paragraphs>
  <TotalTime>10</TotalTime>
  <ScaleCrop>false</ScaleCrop>
  <LinksUpToDate>false</LinksUpToDate>
  <CharactersWithSpaces>1430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2025-09-09T15:44:00Z</dcterms:created>
  <dc:creator>Ground Control</dc:creator>
  <cp:lastModifiedBy>Ground Control</cp:lastModifiedBy>
  <dcterms:modified xsi:type="dcterms:W3CDTF">2025-10-21T13:50:23Z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A3E69082370A4E5985184C82CE7B52D2_11</vt:lpwstr>
  </property>
  <property fmtid="{D5CDD505-2E9C-101B-9397-08002B2CF9AE}" pid="4" name="KSOTemplateDocerSaveRecord">
    <vt:lpwstr>eyJoZGlkIjoiYjBhNWJjNDdkNDk1ZjM4N2EyMGM0YjY5NzZjMWExNjEiLCJ1c2VySWQiOiI1Njg0Nzk1MzQifQ==</vt:lpwstr>
  </property>
</Properties>
</file>