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C3BF67">
      <w:pPr>
        <w:rPr>
          <w:rFonts w:hint="eastAsia" w:ascii="Times New Roman" w:hAnsi="Times New Roman" w:eastAsia="Microsoft YaHei UI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Microsoft YaHei UI" w:cs="Times New Roman"/>
          <w:b/>
          <w:bCs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Supplemental</w:t>
      </w:r>
      <w:r>
        <w:rPr>
          <w:rFonts w:hint="default" w:ascii="Times New Roman" w:hAnsi="Times New Roman" w:eastAsia="Microsoft YaHei UI" w:cs="Times New Roman"/>
          <w:b/>
          <w:bCs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 xml:space="preserve"> Appendix S1</w:t>
      </w:r>
      <w:r>
        <w:rPr>
          <w:rFonts w:hint="eastAsia" w:ascii="Times New Roman" w:hAnsi="Times New Roman" w:eastAsia="Microsoft YaHei UI" w:cs="Times New Roman"/>
          <w:b/>
          <w:bCs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hint="default" w:ascii="Times New Roman" w:hAnsi="Times New Roman" w:eastAsia="Microsoft YaHei UI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A total of 1834 radiomic</w:t>
      </w:r>
      <w:r>
        <w:rPr>
          <w:rFonts w:hint="eastAsia" w:ascii="Times New Roman" w:hAnsi="Times New Roman" w:eastAsia="Microsoft YaHei UI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Microsoft YaHei UI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 xml:space="preserve"> features were extracted from each ROI, including </w:t>
      </w:r>
      <w:r>
        <w:rPr>
          <w:rFonts w:hint="default" w:ascii="Times New Roman" w:hAnsi="Times New Roman" w:eastAsia="Microsoft YaHei UI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shape</w:t>
      </w:r>
      <w:r>
        <w:rPr>
          <w:rFonts w:hint="default" w:ascii="Times New Roman" w:hAnsi="Times New Roman" w:eastAsia="Microsoft YaHei UI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 xml:space="preserve"> features (n=14), first-order features (n=18), and texture features (n=73): gray level co-occurrence matrix features (GLCM) (n=22), gray level dependence matrix features (GLDM) (n=14), gray level run length matrix features (GLRLM) (n=16), gray level size zone matrix features (GLSZM) (n=16), neighbouring gray tone difference matrix features (NGTDM) (n=5), </w:t>
      </w:r>
      <w:r>
        <w:rPr>
          <w:rFonts w:hint="eastAsia" w:ascii="Times New Roman" w:hAnsi="Times New Roman" w:eastAsia="Microsoft YaHei UI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as well as</w:t>
      </w:r>
      <w:r>
        <w:rPr>
          <w:rFonts w:hint="default" w:ascii="Times New Roman" w:hAnsi="Times New Roman" w:eastAsia="Microsoft YaHei UI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 xml:space="preserve"> first-order and texture features transformed by exponential (n=91), gradient (n=91), logarithm (n=91), square (n=91), squareroot (n=91), local binary pattern (LBP) (n=273),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Laplacian of Gaussian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(L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o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G) </w:t>
      </w:r>
      <w:r>
        <w:rPr>
          <w:rFonts w:hint="default" w:ascii="Times New Roman" w:hAnsi="Times New Roman" w:eastAsia="Microsoft YaHei UI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(n=273),</w:t>
      </w:r>
      <w:r>
        <w:rPr>
          <w:rFonts w:hint="eastAsia" w:ascii="Times New Roman" w:hAnsi="Times New Roman" w:eastAsia="Microsoft YaHei UI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Microsoft YaHei UI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and wavelet (n=728)</w:t>
      </w:r>
      <w:r>
        <w:rPr>
          <w:rFonts w:hint="default" w:ascii="Times New Roman" w:hAnsi="Times New Roman" w:eastAsia="Microsoft YaHei UI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filter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Microsoft YaHei UI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transformations</w:t>
      </w:r>
      <w:r>
        <w:rPr>
          <w:rFonts w:hint="eastAsia" w:ascii="Times New Roman" w:hAnsi="Times New Roman" w:eastAsia="Microsoft YaHei UI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.</w:t>
      </w:r>
    </w:p>
    <w:p w14:paraId="14310330">
      <w:pPr>
        <w:rPr>
          <w:rFonts w:hint="default" w:ascii="Times New Roman" w:hAnsi="Times New Roman" w:eastAsia="Microsoft YaHei UI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2295051F">
      <w:p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 xml:space="preserve">Supplemental Table 1: </w:t>
      </w:r>
      <w:r>
        <w:rPr>
          <w:rFonts w:ascii="Times New Roman" w:hAnsi="Times New Roman" w:cs="Times New Roman"/>
          <w:sz w:val="21"/>
          <w:szCs w:val="21"/>
        </w:rPr>
        <w:t>D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L</w:t>
      </w:r>
      <w:r>
        <w:rPr>
          <w:rFonts w:ascii="Times New Roman" w:hAnsi="Times New Roman" w:cs="Times New Roman"/>
          <w:sz w:val="21"/>
          <w:szCs w:val="21"/>
        </w:rPr>
        <w:t>CT scanning protocol and contrast agent injection scheme</w:t>
      </w:r>
    </w:p>
    <w:tbl>
      <w:tblPr>
        <w:tblStyle w:val="3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4"/>
        <w:gridCol w:w="3299"/>
        <w:gridCol w:w="3299"/>
      </w:tblGrid>
      <w:tr w14:paraId="4B1F2D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CB19952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Parameter</w:t>
            </w:r>
          </w:p>
        </w:tc>
        <w:tc>
          <w:tcPr>
            <w:tcW w:w="0" w:type="auto"/>
          </w:tcPr>
          <w:p w14:paraId="7BF30420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Center 1</w:t>
            </w:r>
          </w:p>
        </w:tc>
        <w:tc>
          <w:tcPr>
            <w:tcW w:w="0" w:type="auto"/>
          </w:tcPr>
          <w:p w14:paraId="404D1B44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Center 2</w:t>
            </w:r>
          </w:p>
        </w:tc>
      </w:tr>
      <w:tr w14:paraId="153CBD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EE81B36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CT scanner</w:t>
            </w:r>
          </w:p>
        </w:tc>
        <w:tc>
          <w:tcPr>
            <w:tcW w:w="0" w:type="auto"/>
          </w:tcPr>
          <w:p w14:paraId="5927C2B3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Hawk Spectral CT (Philips</w:t>
            </w:r>
          </w:p>
          <w:p w14:paraId="4EB2407E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Healthcare, Netherlands)</w:t>
            </w:r>
          </w:p>
        </w:tc>
        <w:tc>
          <w:tcPr>
            <w:tcW w:w="0" w:type="auto"/>
          </w:tcPr>
          <w:p w14:paraId="50E5F436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IQon Spectral CT (Philips</w:t>
            </w:r>
          </w:p>
          <w:p w14:paraId="625689C4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Healthcare, Netherlands)</w:t>
            </w:r>
          </w:p>
        </w:tc>
      </w:tr>
      <w:tr w14:paraId="0BB94C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CACB49A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Tube voltage</w:t>
            </w:r>
          </w:p>
        </w:tc>
        <w:tc>
          <w:tcPr>
            <w:tcW w:w="0" w:type="auto"/>
          </w:tcPr>
          <w:p w14:paraId="5C1D1126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120 kVp</w:t>
            </w:r>
          </w:p>
        </w:tc>
        <w:tc>
          <w:tcPr>
            <w:tcW w:w="0" w:type="auto"/>
          </w:tcPr>
          <w:p w14:paraId="22F39F79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120 kVp</w:t>
            </w:r>
          </w:p>
        </w:tc>
      </w:tr>
      <w:tr w14:paraId="30B05D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0279833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Tube current</w:t>
            </w:r>
          </w:p>
        </w:tc>
        <w:tc>
          <w:tcPr>
            <w:tcW w:w="0" w:type="auto"/>
          </w:tcPr>
          <w:p w14:paraId="30C1273E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technique for automatic tube current modulation</w:t>
            </w:r>
          </w:p>
        </w:tc>
        <w:tc>
          <w:tcPr>
            <w:tcW w:w="0" w:type="auto"/>
          </w:tcPr>
          <w:p w14:paraId="446FA78A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technique for automatic tube current modulation</w:t>
            </w:r>
          </w:p>
        </w:tc>
      </w:tr>
      <w:tr w14:paraId="1EF352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AA7177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Helical pitch</w:t>
            </w:r>
          </w:p>
        </w:tc>
        <w:tc>
          <w:tcPr>
            <w:tcW w:w="0" w:type="auto"/>
          </w:tcPr>
          <w:p w14:paraId="3D63209D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1.000</w:t>
            </w:r>
          </w:p>
        </w:tc>
        <w:tc>
          <w:tcPr>
            <w:tcW w:w="0" w:type="auto"/>
          </w:tcPr>
          <w:p w14:paraId="495356E1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0.998</w:t>
            </w:r>
          </w:p>
        </w:tc>
      </w:tr>
      <w:tr w14:paraId="1B13B1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15E4101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Detector</w:t>
            </w:r>
          </w:p>
          <w:p w14:paraId="3F0638C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collimation</w:t>
            </w:r>
          </w:p>
        </w:tc>
        <w:tc>
          <w:tcPr>
            <w:tcW w:w="0" w:type="auto"/>
          </w:tcPr>
          <w:p w14:paraId="114158A1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256</w:t>
            </w:r>
            <w:r>
              <w:rPr>
                <w:rFonts w:ascii="Times New Roman" w:hAnsi="Times New Roman" w:cs="Times New Roman"/>
                <w:sz w:val="24"/>
              </w:rPr>
              <w:t>×0.625 mm</w:t>
            </w:r>
          </w:p>
        </w:tc>
        <w:tc>
          <w:tcPr>
            <w:tcW w:w="0" w:type="auto"/>
          </w:tcPr>
          <w:p w14:paraId="3EE2CE21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64×0.625 mm</w:t>
            </w:r>
          </w:p>
        </w:tc>
      </w:tr>
      <w:tr w14:paraId="57AA6C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9668F71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Rotation speed</w:t>
            </w:r>
          </w:p>
        </w:tc>
        <w:tc>
          <w:tcPr>
            <w:tcW w:w="0" w:type="auto"/>
          </w:tcPr>
          <w:p w14:paraId="3F5CC309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0.5 s/r</w:t>
            </w:r>
          </w:p>
        </w:tc>
        <w:tc>
          <w:tcPr>
            <w:tcW w:w="0" w:type="auto"/>
          </w:tcPr>
          <w:p w14:paraId="63947B1A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0.75 s/r</w:t>
            </w:r>
          </w:p>
        </w:tc>
      </w:tr>
      <w:tr w14:paraId="7FEC2F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BCECCF2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Matrix for image reconstruction</w:t>
            </w:r>
          </w:p>
        </w:tc>
        <w:tc>
          <w:tcPr>
            <w:tcW w:w="0" w:type="auto"/>
          </w:tcPr>
          <w:p w14:paraId="13575DC3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512×512</w:t>
            </w:r>
          </w:p>
        </w:tc>
        <w:tc>
          <w:tcPr>
            <w:tcW w:w="0" w:type="auto"/>
          </w:tcPr>
          <w:p w14:paraId="180D73DE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512×512</w:t>
            </w:r>
          </w:p>
        </w:tc>
      </w:tr>
      <w:tr w14:paraId="5034EC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0389A9C">
            <w:pPr>
              <w:jc w:val="left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canning range</w:t>
            </w:r>
          </w:p>
        </w:tc>
        <w:tc>
          <w:tcPr>
            <w:tcW w:w="0" w:type="auto"/>
          </w:tcPr>
          <w:p w14:paraId="0CC9668A">
            <w:pPr>
              <w:jc w:val="left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From the thoracic inlet to the base of the lung</w:t>
            </w:r>
          </w:p>
        </w:tc>
        <w:tc>
          <w:tcPr>
            <w:tcW w:w="0" w:type="auto"/>
          </w:tcPr>
          <w:p w14:paraId="1BAD6C55">
            <w:pPr>
              <w:jc w:val="left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From the thoracic inlet to the base of the lung</w:t>
            </w:r>
          </w:p>
        </w:tc>
      </w:tr>
      <w:tr w14:paraId="5CD922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39CF4C1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Spectral level</w:t>
            </w:r>
          </w:p>
        </w:tc>
        <w:tc>
          <w:tcPr>
            <w:tcW w:w="0" w:type="auto"/>
          </w:tcPr>
          <w:p w14:paraId="5576843C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0" w:type="auto"/>
          </w:tcPr>
          <w:p w14:paraId="599B912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14:paraId="05D301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EF2F83A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Filter</w:t>
            </w:r>
          </w:p>
        </w:tc>
        <w:tc>
          <w:tcPr>
            <w:tcW w:w="0" w:type="auto"/>
          </w:tcPr>
          <w:p w14:paraId="28DF5D38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Standard B</w:t>
            </w:r>
          </w:p>
        </w:tc>
        <w:tc>
          <w:tcPr>
            <w:tcW w:w="0" w:type="auto"/>
          </w:tcPr>
          <w:p w14:paraId="1D964213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Standard B</w:t>
            </w:r>
          </w:p>
        </w:tc>
      </w:tr>
      <w:tr w14:paraId="194550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4BCD109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Reconstruction section thickness</w:t>
            </w:r>
          </w:p>
        </w:tc>
        <w:tc>
          <w:tcPr>
            <w:tcW w:w="0" w:type="auto"/>
          </w:tcPr>
          <w:p w14:paraId="01E63191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mm</w:t>
            </w:r>
          </w:p>
        </w:tc>
        <w:tc>
          <w:tcPr>
            <w:tcW w:w="0" w:type="auto"/>
          </w:tcPr>
          <w:p w14:paraId="656A51AC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mm</w:t>
            </w:r>
          </w:p>
        </w:tc>
      </w:tr>
      <w:tr w14:paraId="2A2503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740F041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Reconstruction interval</w:t>
            </w:r>
          </w:p>
        </w:tc>
        <w:tc>
          <w:tcPr>
            <w:tcW w:w="0" w:type="auto"/>
          </w:tcPr>
          <w:p w14:paraId="147B082F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mm</w:t>
            </w:r>
          </w:p>
        </w:tc>
        <w:tc>
          <w:tcPr>
            <w:tcW w:w="0" w:type="auto"/>
          </w:tcPr>
          <w:p w14:paraId="1CCC9D84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mm</w:t>
            </w:r>
          </w:p>
        </w:tc>
      </w:tr>
      <w:tr w14:paraId="57C8CC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472C98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Contrast agent</w:t>
            </w:r>
          </w:p>
        </w:tc>
        <w:tc>
          <w:tcPr>
            <w:tcW w:w="0" w:type="auto"/>
          </w:tcPr>
          <w:p w14:paraId="48F310AB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Ioversol 320(Hengrui company)</w:t>
            </w:r>
          </w:p>
        </w:tc>
        <w:tc>
          <w:tcPr>
            <w:tcW w:w="0" w:type="auto"/>
          </w:tcPr>
          <w:p w14:paraId="43B30652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Iohexol 300(GE Healthcare)</w:t>
            </w:r>
          </w:p>
        </w:tc>
      </w:tr>
      <w:tr w14:paraId="47857D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D42E872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Injection dose</w:t>
            </w:r>
          </w:p>
        </w:tc>
        <w:tc>
          <w:tcPr>
            <w:tcW w:w="0" w:type="auto"/>
          </w:tcPr>
          <w:p w14:paraId="2F52A3BF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1.1 ml/kg</w:t>
            </w:r>
          </w:p>
        </w:tc>
        <w:tc>
          <w:tcPr>
            <w:tcW w:w="0" w:type="auto"/>
          </w:tcPr>
          <w:p w14:paraId="20B2681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 ml/kg</w:t>
            </w:r>
          </w:p>
        </w:tc>
      </w:tr>
      <w:tr w14:paraId="4FD360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06F889E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Flow rate</w:t>
            </w:r>
          </w:p>
        </w:tc>
        <w:tc>
          <w:tcPr>
            <w:tcW w:w="0" w:type="auto"/>
          </w:tcPr>
          <w:p w14:paraId="3F37E407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The injection duration is set to 25 seconds, and the flow rate is calculated by dividing the total drug volume by 25 seconds</w:t>
            </w:r>
          </w:p>
        </w:tc>
        <w:tc>
          <w:tcPr>
            <w:tcW w:w="0" w:type="auto"/>
          </w:tcPr>
          <w:p w14:paraId="37278796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2.5 ml/s</w:t>
            </w:r>
          </w:p>
        </w:tc>
      </w:tr>
      <w:tr w14:paraId="279E47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bottom w:val="single" w:color="auto" w:sz="12" w:space="0"/>
            </w:tcBorders>
          </w:tcPr>
          <w:p w14:paraId="456D176D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Arterial Phase Scanning Mode</w:t>
            </w:r>
          </w:p>
        </w:tc>
        <w:tc>
          <w:tcPr>
            <w:tcW w:w="0" w:type="auto"/>
            <w:tcBorders>
              <w:bottom w:val="single" w:color="auto" w:sz="12" w:space="0"/>
            </w:tcBorders>
          </w:tcPr>
          <w:p w14:paraId="674040E7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Automatic contrast agent tracking was employed with a threshold of 150 HU and the arterial phase scan was initiated with an 8-second delay</w:t>
            </w:r>
          </w:p>
        </w:tc>
        <w:tc>
          <w:tcPr>
            <w:tcW w:w="0" w:type="auto"/>
            <w:tcBorders>
              <w:bottom w:val="single" w:color="auto" w:sz="12" w:space="0"/>
            </w:tcBorders>
          </w:tcPr>
          <w:p w14:paraId="29456A57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Automatic contrast agent tracking was employed with a threshold of 150 HU and the arterial phase scan was initiated with an 8-second delay</w:t>
            </w:r>
          </w:p>
        </w:tc>
      </w:tr>
      <w:tr w14:paraId="39CE8D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</w:tcPr>
          <w:p w14:paraId="1AC9DB9D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Venous phase</w:t>
            </w:r>
          </w:p>
          <w:p w14:paraId="09D175E5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scanning mode</w:t>
            </w:r>
          </w:p>
        </w:tc>
        <w:tc>
          <w:tcPr>
            <w:tcW w:w="0" w:type="auto"/>
          </w:tcPr>
          <w:p w14:paraId="02D60D7A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35 seconds after the arterial phase scan ended</w:t>
            </w:r>
          </w:p>
        </w:tc>
        <w:tc>
          <w:tcPr>
            <w:tcW w:w="0" w:type="auto"/>
          </w:tcPr>
          <w:p w14:paraId="387ECDE3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35 seconds after the arterial phase scan ended</w:t>
            </w:r>
          </w:p>
        </w:tc>
      </w:tr>
    </w:tbl>
    <w:p w14:paraId="31976A93">
      <w:pPr>
        <w:rPr>
          <w:rFonts w:hint="eastAsia"/>
        </w:rPr>
      </w:pPr>
    </w:p>
    <w:p w14:paraId="09635D32"/>
    <w:p w14:paraId="74234967"/>
    <w:p w14:paraId="61087E17"/>
    <w:p w14:paraId="3C7E5498">
      <w:r>
        <w:rPr>
          <w:rFonts w:hint="eastAsia"/>
        </w:rPr>
        <w:drawing>
          <wp:inline distT="0" distB="0" distL="114300" distR="114300">
            <wp:extent cx="5256530" cy="2602865"/>
            <wp:effectExtent l="0" t="0" r="1270" b="6985"/>
            <wp:docPr id="1" name="图片 1" descr="能谱参数测量示意图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能谱参数测量示意图-0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260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600DB">
      <w:pPr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Supplemental Figure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: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chematic diagram of D</w:t>
      </w:r>
      <w:r>
        <w:rPr>
          <w:rFonts w:hint="eastAsia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L</w:t>
      </w:r>
      <w:r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CT quantitative parameter measurement. On the venous phase conventional 120 kVp lung window image (width, 1600 HU; level, -600 HU) (</w:t>
      </w:r>
      <w:r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), the ROI was delineated along the tumor contour. The "copy and paste" function was used to ensure consistency of the ROI across the virtual monoenergetic images (40 keV, </w:t>
      </w:r>
      <w:r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B</w:t>
      </w:r>
      <w:r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; 100 keV, </w:t>
      </w:r>
      <w:r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), iodine density (ID), effective atomic number (Zeff), and electron density (ED) maps (</w:t>
      </w:r>
      <w:r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D-F</w:t>
      </w:r>
      <w:r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). Additionally, an ROI was drawn on the aorta at the same level for NIC calculation.</w:t>
      </w:r>
    </w:p>
    <w:p w14:paraId="18AA91E1">
      <w:pPr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24FC6AFA">
      <w:pPr>
        <w:rPr>
          <w:rFonts w:ascii="Times New Roman" w:hAnsi="Times New Roman" w:cs="Times New Roman"/>
          <w:sz w:val="21"/>
          <w:szCs w:val="21"/>
        </w:rPr>
      </w:pPr>
    </w:p>
    <w:p w14:paraId="670A8621">
      <w:pPr>
        <w:rPr>
          <w:rFonts w:ascii="Times New Roman" w:hAnsi="Times New Roman" w:cs="Times New Roman"/>
          <w:sz w:val="21"/>
          <w:szCs w:val="21"/>
        </w:rPr>
      </w:pPr>
    </w:p>
    <w:p w14:paraId="581E1368">
      <w:pPr>
        <w:rPr>
          <w:rFonts w:ascii="Times New Roman" w:hAnsi="Times New Roman" w:cs="Times New Roman"/>
          <w:sz w:val="21"/>
          <w:szCs w:val="21"/>
        </w:rPr>
      </w:pPr>
    </w:p>
    <w:p w14:paraId="370278FE">
      <w:pPr>
        <w:rPr>
          <w:rFonts w:ascii="Times New Roman" w:hAnsi="Times New Roman" w:cs="Times New Roman"/>
          <w:sz w:val="21"/>
          <w:szCs w:val="21"/>
        </w:rPr>
      </w:pPr>
    </w:p>
    <w:p w14:paraId="5D5441F1">
      <w:pPr>
        <w:rPr>
          <w:rFonts w:ascii="Times New Roman" w:hAnsi="Times New Roman" w:cs="Times New Roman"/>
          <w:sz w:val="21"/>
          <w:szCs w:val="21"/>
        </w:rPr>
      </w:pPr>
    </w:p>
    <w:p w14:paraId="6D1933D9">
      <w:pPr>
        <w:rPr>
          <w:rFonts w:ascii="Times New Roman" w:hAnsi="Times New Roman" w:cs="Times New Roman"/>
          <w:sz w:val="21"/>
          <w:szCs w:val="21"/>
        </w:rPr>
      </w:pPr>
    </w:p>
    <w:p w14:paraId="64463C15">
      <w:pPr>
        <w:rPr>
          <w:rFonts w:ascii="Times New Roman" w:hAnsi="Times New Roman" w:cs="Times New Roman"/>
          <w:sz w:val="21"/>
          <w:szCs w:val="21"/>
        </w:rPr>
      </w:pPr>
    </w:p>
    <w:p w14:paraId="693891B6">
      <w:pPr>
        <w:rPr>
          <w:rFonts w:ascii="Times New Roman" w:hAnsi="Times New Roman" w:cs="Times New Roman"/>
          <w:sz w:val="21"/>
          <w:szCs w:val="21"/>
        </w:rPr>
      </w:pPr>
    </w:p>
    <w:p w14:paraId="4061D8CC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  <w: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  <w:drawing>
          <wp:inline distT="0" distB="0" distL="114300" distR="114300">
            <wp:extent cx="5273040" cy="5714365"/>
            <wp:effectExtent l="0" t="0" r="3810" b="635"/>
            <wp:docPr id="3" name="图片 3" descr="Tra_feature_weigh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Tra_feature_weights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71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6A567">
      <w:pP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Supplemental Figure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: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 w:themeColor="text1"/>
          <w:spacing w:val="0"/>
          <w:sz w:val="21"/>
          <w:szCs w:val="21"/>
          <w:shd w:val="clear" w:color="auto" w:fill="auto"/>
          <w14:textFill>
            <w14:solidFill>
              <w14:schemeClr w14:val="tx1"/>
            </w14:solidFill>
          </w14:textFill>
        </w:rPr>
        <w:t>Radiomic features and corresponding weight coefficients selected from conventional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 w:themeColor="text1"/>
          <w:spacing w:val="0"/>
          <w:sz w:val="2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 w:themeColor="text1"/>
          <w:spacing w:val="0"/>
          <w:sz w:val="2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(A)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 w:themeColor="text1"/>
          <w:spacing w:val="0"/>
          <w:sz w:val="21"/>
          <w:szCs w:val="21"/>
          <w:shd w:val="clear" w:color="auto" w:fill="auto"/>
          <w14:textFill>
            <w14:solidFill>
              <w14:schemeClr w14:val="tx1"/>
            </w14:solidFill>
          </w14:textFill>
        </w:rPr>
        <w:t>, VMI 40keV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 w:themeColor="text1"/>
          <w:spacing w:val="0"/>
          <w:sz w:val="2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 (B)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 w:themeColor="text1"/>
          <w:spacing w:val="0"/>
          <w:sz w:val="21"/>
          <w:szCs w:val="21"/>
          <w:shd w:val="clear" w:color="auto" w:fill="auto"/>
          <w14:textFill>
            <w14:solidFill>
              <w14:schemeClr w14:val="tx1"/>
            </w14:solidFill>
          </w14:textFill>
        </w:rPr>
        <w:t>, 65keV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 w:themeColor="text1"/>
          <w:spacing w:val="0"/>
          <w:sz w:val="2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 (C)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 w:themeColor="text1"/>
          <w:spacing w:val="0"/>
          <w:sz w:val="21"/>
          <w:szCs w:val="21"/>
          <w:shd w:val="clear" w:color="auto" w:fill="auto"/>
          <w14:textFill>
            <w14:solidFill>
              <w14:schemeClr w14:val="tx1"/>
            </w14:solidFill>
          </w14:textFill>
        </w:rPr>
        <w:t>, 100keV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 w:themeColor="text1"/>
          <w:spacing w:val="0"/>
          <w:sz w:val="2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 (D)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 w:themeColor="text1"/>
          <w:spacing w:val="0"/>
          <w:sz w:val="21"/>
          <w:szCs w:val="21"/>
          <w:shd w:val="clear" w:color="auto" w:fill="auto"/>
          <w14:textFill>
            <w14:solidFill>
              <w14:schemeClr w14:val="tx1"/>
            </w14:solidFill>
          </w14:textFill>
        </w:rPr>
        <w:t>, ID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 w:themeColor="text1"/>
          <w:spacing w:val="0"/>
          <w:sz w:val="2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 (E)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 w:themeColor="text1"/>
          <w:spacing w:val="0"/>
          <w:sz w:val="21"/>
          <w:szCs w:val="21"/>
          <w:shd w:val="clear" w:color="auto" w:fill="auto"/>
          <w14:textFill>
            <w14:solidFill>
              <w14:schemeClr w14:val="tx1"/>
            </w14:solidFill>
          </w14:textFill>
        </w:rPr>
        <w:t>, Zeff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 w:themeColor="text1"/>
          <w:spacing w:val="0"/>
          <w:sz w:val="2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 (F)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 w:themeColor="text1"/>
          <w:spacing w:val="0"/>
          <w:sz w:val="21"/>
          <w:szCs w:val="21"/>
          <w:shd w:val="clear" w:color="auto" w:fill="auto"/>
          <w14:textFill>
            <w14:solidFill>
              <w14:schemeClr w14:val="tx1"/>
            </w14:solidFill>
          </w14:textFill>
        </w:rPr>
        <w:t>, and E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 w:themeColor="text1"/>
          <w:spacing w:val="0"/>
          <w:sz w:val="2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D (G)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 w:themeColor="text1"/>
          <w:spacing w:val="0"/>
          <w:sz w:val="21"/>
          <w:szCs w:val="21"/>
          <w:shd w:val="clear" w:color="auto" w:fill="auto"/>
          <w14:textFill>
            <w14:solidFill>
              <w14:schemeClr w14:val="tx1"/>
            </w14:solidFill>
          </w14:textFill>
        </w:rPr>
        <w:t xml:space="preserve"> imag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 w:themeColor="text1"/>
          <w:spacing w:val="0"/>
          <w:sz w:val="2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es.</w:t>
      </w:r>
    </w:p>
    <w:p w14:paraId="5278FF65">
      <w:pPr>
        <w:rPr>
          <w:rFonts w:ascii="Times New Roman" w:hAnsi="Times New Roman" w:cs="Times New Roman"/>
          <w:sz w:val="21"/>
          <w:szCs w:val="21"/>
        </w:rPr>
      </w:pPr>
    </w:p>
    <w:p w14:paraId="45E614D1"/>
    <w:p w14:paraId="34FF322F">
      <w:r>
        <w:rPr>
          <w:rFonts w:hint="eastAsia"/>
        </w:rPr>
        <w:drawing>
          <wp:inline distT="0" distB="0" distL="114300" distR="114300">
            <wp:extent cx="5269230" cy="1541780"/>
            <wp:effectExtent l="0" t="0" r="7620" b="1270"/>
            <wp:docPr id="2" name="图片 2" descr="delong_each_cohort_train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elong_each_cohort_train-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54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D7A57">
      <w:pPr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Supplemental Figure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The D</w:t>
      </w:r>
      <w:r>
        <w:rPr>
          <w:rFonts w:hint="eastAsia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e</w:t>
      </w:r>
      <w:r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long test results of the clinical-radiological model, radiomics model, and nomogram in the training set, internal validation set, and external validation set.</w:t>
      </w:r>
    </w:p>
    <w:p w14:paraId="313B2776">
      <w:pPr>
        <w:rPr>
          <w:rFonts w:ascii="Times New Roman" w:hAnsi="Times New Roman" w:cs="Times New Roman"/>
          <w:sz w:val="21"/>
          <w:szCs w:val="21"/>
        </w:rPr>
      </w:pPr>
    </w:p>
    <w:p w14:paraId="675504CD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5259705" cy="1650365"/>
            <wp:effectExtent l="0" t="0" r="17145" b="6985"/>
            <wp:docPr id="4" name="图片 4" descr="MA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AX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165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4D7A2">
      <w:pPr>
        <w:rPr>
          <w:rFonts w:ascii="Times New Roman" w:hAnsi="Times New Roman" w:cs="Times New Roman"/>
          <w:color w:val="auto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auto"/>
          <w:sz w:val="21"/>
          <w:szCs w:val="21"/>
        </w:rPr>
        <w:t xml:space="preserve">Supplemental Figure 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4</w:t>
      </w:r>
      <w:r>
        <w:rPr>
          <w:rFonts w:ascii="Times New Roman" w:hAnsi="Times New Roman" w:cs="Times New Roman"/>
          <w:b/>
          <w:bCs/>
          <w:color w:val="auto"/>
          <w:sz w:val="21"/>
          <w:szCs w:val="21"/>
        </w:rPr>
        <w:t xml:space="preserve">: </w:t>
      </w:r>
      <w:r>
        <w:rPr>
          <w:rFonts w:hint="eastAsia" w:ascii="Times New Roman" w:hAnsi="Times New Roman" w:cs="Times New Roman"/>
          <w:color w:val="auto"/>
          <w:sz w:val="21"/>
          <w:szCs w:val="21"/>
        </w:rPr>
        <w:t>Confusion matrices evaluating the predictive performance of the nomogram in the training, internal validation, and external validation sets.</w:t>
      </w:r>
    </w:p>
    <w:p w14:paraId="1685B7C6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4B3CB246">
      <w:pPr>
        <w:spacing w:line="240" w:lineRule="auto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auto"/>
          <w:sz w:val="21"/>
          <w:szCs w:val="21"/>
        </w:rPr>
        <w:t xml:space="preserve">Supplemental Table 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bCs/>
          <w:color w:val="auto"/>
          <w:sz w:val="21"/>
          <w:szCs w:val="21"/>
        </w:rPr>
        <w:t xml:space="preserve">: 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</w:rPr>
        <w:t>Predictive performance of the nomogram across different nodule type of lung adenocarcinoma</w:t>
      </w:r>
    </w:p>
    <w:tbl>
      <w:tblPr>
        <w:tblStyle w:val="2"/>
        <w:tblpPr w:leftFromText="180" w:rightFromText="180" w:vertAnchor="text" w:tblpXSpec="left" w:tblpY="1"/>
        <w:tblOverlap w:val="never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2"/>
        <w:gridCol w:w="846"/>
        <w:gridCol w:w="1334"/>
        <w:gridCol w:w="1166"/>
        <w:gridCol w:w="1200"/>
        <w:gridCol w:w="1254"/>
      </w:tblGrid>
      <w:tr w14:paraId="11B27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597" w:type="pc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148DAA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zh-CN"/>
              </w:rPr>
              <w:t>N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odule type</w:t>
            </w:r>
          </w:p>
        </w:tc>
        <w:tc>
          <w:tcPr>
            <w:tcW w:w="1279" w:type="pct"/>
            <w:gridSpan w:val="2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4F07C2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AUC (95% CI)</w:t>
            </w:r>
          </w:p>
        </w:tc>
        <w:tc>
          <w:tcPr>
            <w:tcW w:w="684" w:type="pc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4FEA78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Accuracy</w:t>
            </w:r>
          </w:p>
        </w:tc>
        <w:tc>
          <w:tcPr>
            <w:tcW w:w="704" w:type="pc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2C6AA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Sensitivity</w:t>
            </w:r>
          </w:p>
        </w:tc>
        <w:tc>
          <w:tcPr>
            <w:tcW w:w="735" w:type="pc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6DAE9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Specificity</w:t>
            </w:r>
          </w:p>
        </w:tc>
      </w:tr>
      <w:tr w14:paraId="25E2A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97" w:type="pct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A8229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Microsoft YaHei UI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8"/>
              </w:rPr>
              <w:t>pGGN/mGGN</w:t>
            </w:r>
          </w:p>
        </w:tc>
        <w:tc>
          <w:tcPr>
            <w:tcW w:w="496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3981EB4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31CC45E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44CBE94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704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00AEC52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735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48F7861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2"/>
                <w:sz w:val="22"/>
                <w:szCs w:val="22"/>
              </w:rPr>
            </w:pPr>
          </w:p>
        </w:tc>
      </w:tr>
      <w:tr w14:paraId="540CD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97" w:type="pct"/>
            <w:shd w:val="clear" w:color="auto" w:fill="auto"/>
            <w:noWrap/>
            <w:vAlign w:val="center"/>
          </w:tcPr>
          <w:p w14:paraId="3D9834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 w:firstLine="220" w:firstLineChars="10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Microsoft YaHei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shd w:val="clear" w:fill="FFFFFF"/>
                <w:lang w:val="en-US" w:eastAsia="zh-CN"/>
              </w:rPr>
              <w:t>T</w:t>
            </w:r>
            <w:r>
              <w:rPr>
                <w:rFonts w:hint="default" w:ascii="Times New Roman" w:hAnsi="Times New Roman" w:eastAsia="Microsoft YaHei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shd w:val="clear" w:fill="FFFFFF"/>
              </w:rPr>
              <w:t>raining</w:t>
            </w:r>
            <w:r>
              <w:rPr>
                <w:rFonts w:hint="default" w:ascii="Times New Roman" w:hAnsi="Times New Roman" w:eastAsia="Microsoft YaHei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shd w:val="clear" w:fill="FFFFFF"/>
                <w:lang w:val="en-US" w:eastAsia="zh-CN"/>
              </w:rPr>
              <w:t xml:space="preserve"> set</w:t>
            </w:r>
          </w:p>
        </w:tc>
        <w:tc>
          <w:tcPr>
            <w:tcW w:w="1279" w:type="pct"/>
            <w:gridSpan w:val="2"/>
            <w:shd w:val="clear" w:color="auto" w:fill="auto"/>
            <w:vAlign w:val="center"/>
          </w:tcPr>
          <w:p w14:paraId="31A15D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0.902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(0.770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1.000)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73DAA0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0.940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E59CE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0.818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6E37F4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0.959</w:t>
            </w:r>
          </w:p>
        </w:tc>
      </w:tr>
      <w:tr w14:paraId="52214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97" w:type="pct"/>
            <w:shd w:val="clear" w:color="auto" w:fill="auto"/>
            <w:vAlign w:val="center"/>
          </w:tcPr>
          <w:p w14:paraId="38EE21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 w:firstLine="220" w:firstLineChars="10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Microsoft YaHei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shd w:val="clear" w:fill="FFFFFF"/>
                <w:lang w:val="en-US" w:eastAsia="zh-CN"/>
              </w:rPr>
              <w:t>I</w:t>
            </w:r>
            <w:r>
              <w:rPr>
                <w:rFonts w:hint="default" w:ascii="Times New Roman" w:hAnsi="Times New Roman" w:eastAsia="Microsoft YaHei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shd w:val="clear" w:fill="FFFFFF"/>
              </w:rPr>
              <w:t>nternal validation set</w:t>
            </w:r>
          </w:p>
        </w:tc>
        <w:tc>
          <w:tcPr>
            <w:tcW w:w="1279" w:type="pct"/>
            <w:gridSpan w:val="2"/>
            <w:shd w:val="clear" w:color="auto" w:fill="auto"/>
            <w:vAlign w:val="center"/>
          </w:tcPr>
          <w:p w14:paraId="324905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0.833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(0.619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1.000)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35E74F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0.833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565F89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0.571 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0F3905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0.897</w:t>
            </w:r>
          </w:p>
        </w:tc>
      </w:tr>
      <w:tr w14:paraId="20B50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97" w:type="pct"/>
            <w:shd w:val="clear" w:color="auto" w:fill="auto"/>
            <w:noWrap/>
            <w:vAlign w:val="center"/>
          </w:tcPr>
          <w:p w14:paraId="15DD71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 w:firstLine="220" w:firstLineChars="10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Microsoft YaHei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shd w:val="clear" w:fill="FFFFFF"/>
                <w:lang w:val="en-US" w:eastAsia="zh-CN"/>
              </w:rPr>
              <w:t>E</w:t>
            </w:r>
            <w:r>
              <w:rPr>
                <w:rFonts w:hint="default" w:ascii="Times New Roman" w:hAnsi="Times New Roman" w:eastAsia="Microsoft YaHei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shd w:val="clear" w:fill="FFFFFF"/>
              </w:rPr>
              <w:t>xternal validation set</w:t>
            </w:r>
          </w:p>
        </w:tc>
        <w:tc>
          <w:tcPr>
            <w:tcW w:w="1279" w:type="pct"/>
            <w:gridSpan w:val="2"/>
            <w:shd w:val="clear" w:color="auto" w:fill="auto"/>
            <w:vAlign w:val="center"/>
          </w:tcPr>
          <w:p w14:paraId="044B25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0.847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(0.673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1.000)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308EB9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0.816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641374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0.778 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3EE1FF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0.825</w:t>
            </w:r>
          </w:p>
        </w:tc>
      </w:tr>
      <w:tr w14:paraId="3D5F0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97" w:type="pct"/>
            <w:shd w:val="clear" w:color="auto" w:fill="auto"/>
            <w:noWrap/>
            <w:vAlign w:val="center"/>
          </w:tcPr>
          <w:p w14:paraId="0E1E60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2"/>
                <w:szCs w:val="28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8"/>
              </w:rPr>
              <w:t>olid nodule</w:t>
            </w:r>
          </w:p>
        </w:tc>
        <w:tc>
          <w:tcPr>
            <w:tcW w:w="1279" w:type="pct"/>
            <w:gridSpan w:val="2"/>
            <w:shd w:val="clear" w:color="auto" w:fill="auto"/>
            <w:vAlign w:val="center"/>
          </w:tcPr>
          <w:p w14:paraId="40E0A73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/>
              </w:rPr>
            </w:pPr>
          </w:p>
        </w:tc>
        <w:tc>
          <w:tcPr>
            <w:tcW w:w="684" w:type="pct"/>
            <w:shd w:val="clear" w:color="auto" w:fill="auto"/>
            <w:noWrap/>
            <w:vAlign w:val="center"/>
          </w:tcPr>
          <w:p w14:paraId="763CED9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/>
              </w:rPr>
            </w:pPr>
          </w:p>
        </w:tc>
        <w:tc>
          <w:tcPr>
            <w:tcW w:w="704" w:type="pct"/>
            <w:shd w:val="clear" w:color="auto" w:fill="auto"/>
            <w:noWrap/>
            <w:vAlign w:val="center"/>
          </w:tcPr>
          <w:p w14:paraId="1CE640E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/>
              </w:rPr>
            </w:pPr>
          </w:p>
        </w:tc>
        <w:tc>
          <w:tcPr>
            <w:tcW w:w="735" w:type="pct"/>
            <w:shd w:val="clear" w:color="auto" w:fill="auto"/>
            <w:noWrap/>
            <w:vAlign w:val="center"/>
          </w:tcPr>
          <w:p w14:paraId="593376E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/>
              </w:rPr>
            </w:pPr>
          </w:p>
        </w:tc>
      </w:tr>
      <w:tr w14:paraId="29803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97" w:type="pct"/>
            <w:shd w:val="clear" w:color="auto" w:fill="auto"/>
            <w:noWrap/>
            <w:vAlign w:val="center"/>
          </w:tcPr>
          <w:p w14:paraId="6EDBAE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220" w:firstLineChars="10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Microsoft YaHei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shd w:val="clear" w:fill="FFFFFF"/>
                <w:lang w:val="en-US" w:eastAsia="zh-CN"/>
              </w:rPr>
              <w:t>T</w:t>
            </w:r>
            <w:r>
              <w:rPr>
                <w:rFonts w:hint="default" w:ascii="Times New Roman" w:hAnsi="Times New Roman" w:eastAsia="Microsoft YaHei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shd w:val="clear" w:fill="FFFFFF"/>
              </w:rPr>
              <w:t>raining</w:t>
            </w:r>
            <w:r>
              <w:rPr>
                <w:rFonts w:hint="default" w:ascii="Times New Roman" w:hAnsi="Times New Roman" w:eastAsia="Microsoft YaHei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shd w:val="clear" w:fill="FFFFFF"/>
                <w:lang w:val="en-US" w:eastAsia="zh-CN"/>
              </w:rPr>
              <w:t xml:space="preserve"> set</w:t>
            </w:r>
          </w:p>
        </w:tc>
        <w:tc>
          <w:tcPr>
            <w:tcW w:w="1279" w:type="pct"/>
            <w:gridSpan w:val="2"/>
            <w:shd w:val="clear" w:color="auto" w:fill="auto"/>
            <w:vAlign w:val="center"/>
          </w:tcPr>
          <w:p w14:paraId="610E40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0.749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(0.604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0.894)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0922F8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0.745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E4D4B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0.724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6AD2A9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0.778</w:t>
            </w:r>
          </w:p>
        </w:tc>
      </w:tr>
      <w:tr w14:paraId="41BF6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97" w:type="pct"/>
            <w:shd w:val="clear" w:color="auto" w:fill="auto"/>
            <w:vAlign w:val="center"/>
          </w:tcPr>
          <w:p w14:paraId="494E32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 w:firstLine="220" w:firstLineChars="10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Microsoft YaHei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shd w:val="clear" w:fill="FFFFFF"/>
                <w:lang w:val="en-US" w:eastAsia="zh-CN"/>
              </w:rPr>
              <w:t>I</w:t>
            </w:r>
            <w:r>
              <w:rPr>
                <w:rFonts w:hint="default" w:ascii="Times New Roman" w:hAnsi="Times New Roman" w:eastAsia="Microsoft YaHei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shd w:val="clear" w:fill="FFFFFF"/>
              </w:rPr>
              <w:t>nternal validation set</w:t>
            </w:r>
          </w:p>
        </w:tc>
        <w:tc>
          <w:tcPr>
            <w:tcW w:w="1279" w:type="pct"/>
            <w:gridSpan w:val="2"/>
            <w:shd w:val="clear" w:color="auto" w:fill="auto"/>
            <w:vAlign w:val="center"/>
          </w:tcPr>
          <w:p w14:paraId="58E550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0.855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(0.680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1.000)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36AE95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0.857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22869F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0.818 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23B6CF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0.900</w:t>
            </w:r>
          </w:p>
        </w:tc>
      </w:tr>
      <w:tr w14:paraId="7406A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97" w:type="pct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48DB62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 w:firstLine="220" w:firstLineChars="10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Microsoft YaHei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shd w:val="clear" w:fill="FFFFFF"/>
                <w:lang w:val="en-US" w:eastAsia="zh-CN"/>
              </w:rPr>
              <w:t>E</w:t>
            </w:r>
            <w:r>
              <w:rPr>
                <w:rFonts w:hint="default" w:ascii="Times New Roman" w:hAnsi="Times New Roman" w:eastAsia="Microsoft YaHei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shd w:val="clear" w:fill="FFFFFF"/>
              </w:rPr>
              <w:t>xternal validation set</w:t>
            </w:r>
          </w:p>
        </w:tc>
        <w:tc>
          <w:tcPr>
            <w:tcW w:w="1279" w:type="pct"/>
            <w:gridSpan w:val="2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18A71A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0.781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(0.611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0.951)</w:t>
            </w:r>
          </w:p>
        </w:tc>
        <w:tc>
          <w:tcPr>
            <w:tcW w:w="684" w:type="pct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7B56F5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0.724</w:t>
            </w:r>
          </w:p>
        </w:tc>
        <w:tc>
          <w:tcPr>
            <w:tcW w:w="704" w:type="pct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35311F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0.643</w:t>
            </w:r>
          </w:p>
        </w:tc>
        <w:tc>
          <w:tcPr>
            <w:tcW w:w="735" w:type="pct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5462F5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0.800</w:t>
            </w:r>
          </w:p>
        </w:tc>
      </w:tr>
    </w:tbl>
    <w:p w14:paraId="05197B2C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Times New Roman" w:hAnsi="Times New Roman" w:eastAsia="Microsoft YaHei UI" w:cs="Times New Roman"/>
          <w:b w:val="0"/>
          <w:bCs w:val="0"/>
          <w:color w:val="auto"/>
          <w:kern w:val="0"/>
          <w:sz w:val="18"/>
          <w:szCs w:val="18"/>
          <w:lang w:val="en-US" w:eastAsia="zh-CN" w:bidi="ar"/>
        </w:rPr>
        <w:t>AUC area under the curve</w:t>
      </w:r>
      <w:r>
        <w:rPr>
          <w:rFonts w:hint="eastAsia" w:ascii="Times New Roman" w:hAnsi="Times New Roman" w:eastAsia="Microsoft YaHei UI" w:cs="Times New Roman"/>
          <w:b w:val="0"/>
          <w:bCs w:val="0"/>
          <w:color w:val="auto"/>
          <w:kern w:val="0"/>
          <w:sz w:val="18"/>
          <w:szCs w:val="18"/>
          <w:lang w:val="en-US" w:eastAsia="zh-CN" w:bidi="ar"/>
        </w:rPr>
        <w:t>,</w:t>
      </w:r>
      <w:r>
        <w:rPr>
          <w:rFonts w:hint="default" w:ascii="Times New Roman" w:hAnsi="Times New Roman" w:eastAsia="Microsoft YaHei UI" w:cs="Times New Roman"/>
          <w:b w:val="0"/>
          <w:bCs w:val="0"/>
          <w:color w:val="auto"/>
          <w:kern w:val="0"/>
          <w:sz w:val="18"/>
          <w:szCs w:val="18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18"/>
          <w:szCs w:val="18"/>
          <w:lang w:val="en-US" w:eastAsia="zh-CN" w:bidi="ar"/>
        </w:rPr>
        <w:t>CI c</w:t>
      </w:r>
      <w:r>
        <w:rPr>
          <w:rStyle w:val="5"/>
          <w:rFonts w:hint="default" w:ascii="Times New Roman" w:hAnsi="Times New Roman" w:eastAsia="Microsoft YaHei UI" w:cs="Times New Roman"/>
          <w:b w:val="0"/>
          <w:bCs w:val="0"/>
          <w:i w:val="0"/>
          <w:iCs w:val="0"/>
          <w:caps w:val="0"/>
          <w:color w:val="auto"/>
          <w:spacing w:val="0"/>
          <w:sz w:val="18"/>
          <w:szCs w:val="18"/>
          <w:shd w:val="clear" w:fill="FFFFFF"/>
        </w:rPr>
        <w:t xml:space="preserve">onfidence </w:t>
      </w:r>
      <w:r>
        <w:rPr>
          <w:rStyle w:val="5"/>
          <w:rFonts w:hint="default" w:ascii="Times New Roman" w:hAnsi="Times New Roman" w:eastAsia="Microsoft YaHei UI" w:cs="Times New Roman"/>
          <w:b w:val="0"/>
          <w:bCs w:val="0"/>
          <w:i w:val="0"/>
          <w:iCs w:val="0"/>
          <w:caps w:val="0"/>
          <w:color w:val="auto"/>
          <w:spacing w:val="0"/>
          <w:sz w:val="18"/>
          <w:szCs w:val="18"/>
          <w:shd w:val="clear" w:fill="FFFFFF"/>
          <w:lang w:val="en-US" w:eastAsia="zh-CN"/>
        </w:rPr>
        <w:t>i</w:t>
      </w:r>
      <w:r>
        <w:rPr>
          <w:rStyle w:val="5"/>
          <w:rFonts w:hint="default" w:ascii="Times New Roman" w:hAnsi="Times New Roman" w:eastAsia="Microsoft YaHei UI" w:cs="Times New Roman"/>
          <w:b w:val="0"/>
          <w:bCs w:val="0"/>
          <w:i w:val="0"/>
          <w:iCs w:val="0"/>
          <w:caps w:val="0"/>
          <w:color w:val="auto"/>
          <w:spacing w:val="0"/>
          <w:sz w:val="18"/>
          <w:szCs w:val="18"/>
          <w:shd w:val="clear" w:fill="FFFFFF"/>
        </w:rPr>
        <w:t>nterval</w:t>
      </w:r>
      <w:r>
        <w:rPr>
          <w:rStyle w:val="5"/>
          <w:rFonts w:hint="eastAsia" w:ascii="Times New Roman" w:hAnsi="Times New Roman" w:eastAsia="Microsoft YaHei UI" w:cs="Times New Roman"/>
          <w:b w:val="0"/>
          <w:bCs w:val="0"/>
          <w:i w:val="0"/>
          <w:iCs w:val="0"/>
          <w:caps w:val="0"/>
          <w:color w:val="auto"/>
          <w:spacing w:val="0"/>
          <w:sz w:val="18"/>
          <w:szCs w:val="18"/>
          <w:shd w:val="clear" w:fill="FFFFFF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color w:val="auto"/>
          <w:kern w:val="2"/>
          <w:sz w:val="18"/>
          <w:szCs w:val="18"/>
          <w:lang w:val="en-US" w:eastAsia="zh-CN"/>
        </w:rPr>
        <w:t>pGGN pure ground-glass nodule</w:t>
      </w:r>
      <w:r>
        <w:rPr>
          <w:rFonts w:hint="eastAsia" w:ascii="Times New Roman" w:hAnsi="Times New Roman" w:eastAsia="宋体" w:cs="Times New Roman"/>
          <w:color w:val="auto"/>
          <w:kern w:val="2"/>
          <w:sz w:val="18"/>
          <w:szCs w:val="18"/>
          <w:lang w:val="en-US" w:eastAsia="zh-CN"/>
        </w:rPr>
        <w:t>, m</w:t>
      </w:r>
      <w:r>
        <w:rPr>
          <w:rFonts w:hint="default" w:ascii="Times New Roman" w:hAnsi="Times New Roman" w:eastAsia="宋体" w:cs="Times New Roman"/>
          <w:color w:val="auto"/>
          <w:kern w:val="2"/>
          <w:sz w:val="18"/>
          <w:szCs w:val="18"/>
          <w:lang w:val="en-US" w:eastAsia="zh-CN"/>
        </w:rPr>
        <w:t xml:space="preserve">GGN </w:t>
      </w:r>
      <w:r>
        <w:rPr>
          <w:rFonts w:hint="eastAsia" w:ascii="Times New Roman" w:hAnsi="Times New Roman" w:eastAsia="宋体" w:cs="Times New Roman"/>
          <w:color w:val="auto"/>
          <w:kern w:val="2"/>
          <w:sz w:val="18"/>
          <w:szCs w:val="18"/>
          <w:lang w:val="en-US" w:eastAsia="zh-CN"/>
        </w:rPr>
        <w:t>mixed</w:t>
      </w:r>
      <w:r>
        <w:rPr>
          <w:rFonts w:hint="default" w:ascii="Times New Roman" w:hAnsi="Times New Roman" w:eastAsia="宋体" w:cs="Times New Roman"/>
          <w:color w:val="auto"/>
          <w:kern w:val="2"/>
          <w:sz w:val="18"/>
          <w:szCs w:val="18"/>
          <w:lang w:val="en-US" w:eastAsia="zh-CN"/>
        </w:rPr>
        <w:t xml:space="preserve"> ground-glass nodule</w:t>
      </w:r>
      <w:r>
        <w:rPr>
          <w:rStyle w:val="5"/>
          <w:rFonts w:hint="eastAsia" w:ascii="Times New Roman" w:hAnsi="Times New Roman" w:eastAsia="Microsoft YaHei UI" w:cs="Times New Roman"/>
          <w:b w:val="0"/>
          <w:bCs w:val="0"/>
          <w:i w:val="0"/>
          <w:iCs w:val="0"/>
          <w:caps w:val="0"/>
          <w:color w:val="auto"/>
          <w:spacing w:val="0"/>
          <w:sz w:val="18"/>
          <w:szCs w:val="18"/>
          <w:shd w:val="clear" w:fill="FFFFFF"/>
          <w:lang w:val="en-US" w:eastAsia="zh-CN"/>
        </w:rPr>
        <w:t>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734"/>
    <w:rsid w:val="000466F1"/>
    <w:rsid w:val="002A4CFE"/>
    <w:rsid w:val="002D4E53"/>
    <w:rsid w:val="005521E4"/>
    <w:rsid w:val="00570255"/>
    <w:rsid w:val="00616734"/>
    <w:rsid w:val="00692DB6"/>
    <w:rsid w:val="008D12FD"/>
    <w:rsid w:val="00C46A97"/>
    <w:rsid w:val="00D36CEB"/>
    <w:rsid w:val="00E054E6"/>
    <w:rsid w:val="00ED5E91"/>
    <w:rsid w:val="016F469A"/>
    <w:rsid w:val="0306739F"/>
    <w:rsid w:val="0A0700B4"/>
    <w:rsid w:val="10F7015B"/>
    <w:rsid w:val="1600454E"/>
    <w:rsid w:val="19ED306E"/>
    <w:rsid w:val="1A972280"/>
    <w:rsid w:val="1B09044A"/>
    <w:rsid w:val="1B1D1494"/>
    <w:rsid w:val="1CBB63E9"/>
    <w:rsid w:val="1E204892"/>
    <w:rsid w:val="1F9A6430"/>
    <w:rsid w:val="245D270F"/>
    <w:rsid w:val="254F2514"/>
    <w:rsid w:val="292E7292"/>
    <w:rsid w:val="2A5E455A"/>
    <w:rsid w:val="2BE348CB"/>
    <w:rsid w:val="2EE265FC"/>
    <w:rsid w:val="31817E09"/>
    <w:rsid w:val="345315CC"/>
    <w:rsid w:val="3CA5380D"/>
    <w:rsid w:val="41903405"/>
    <w:rsid w:val="48E30B00"/>
    <w:rsid w:val="4FA113E3"/>
    <w:rsid w:val="50217246"/>
    <w:rsid w:val="50B2114C"/>
    <w:rsid w:val="51F00924"/>
    <w:rsid w:val="5FFE0814"/>
    <w:rsid w:val="6086039F"/>
    <w:rsid w:val="619258A7"/>
    <w:rsid w:val="661B49C8"/>
    <w:rsid w:val="69CC0026"/>
    <w:rsid w:val="6C087DCA"/>
    <w:rsid w:val="70266D41"/>
    <w:rsid w:val="73194D8A"/>
    <w:rsid w:val="737373C6"/>
    <w:rsid w:val="78034139"/>
    <w:rsid w:val="79C97388"/>
    <w:rsid w:val="7BA20F57"/>
    <w:rsid w:val="7F3D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586</Words>
  <Characters>3318</Characters>
  <Lines>14</Lines>
  <Paragraphs>4</Paragraphs>
  <TotalTime>0</TotalTime>
  <ScaleCrop>false</ScaleCrop>
  <LinksUpToDate>false</LinksUpToDate>
  <CharactersWithSpaces>3808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2024-11-24T07:17:00Z</dcterms:created>
  <dc:creator>Administrator</dc:creator>
  <cp:lastModifiedBy>Joy</cp:lastModifiedBy>
  <dcterms:modified xsi:type="dcterms:W3CDTF">2025-11-18T09:58:15Z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AAF61A0504D143E98DD51E3838ABFF5E_12</vt:lpwstr>
  </property>
  <property fmtid="{D5CDD505-2E9C-101B-9397-08002B2CF9AE}" pid="4" name="KSOTemplateDocerSaveRecord">
    <vt:lpwstr>eyJoZGlkIjoiNjMxMzZkNTg5ZmIzZTE5MmEyNGFhNzE0Nzc0ZmNiM2QiLCJ1c2VySWQiOiI2Mzk3OTQzNTcifQ==</vt:lpwstr>
  </property>
</Properties>
</file>