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F0B7DE" w14:textId="1FC8D078" w:rsidR="00000000" w:rsidRDefault="00000000">
      <w:pPr>
        <w:rPr>
          <w:rFonts w:hint="eastAsia"/>
        </w:rPr>
      </w:pPr>
      <w:r>
        <w:t xml:space="preserve">　　</w:t>
      </w:r>
      <w:r w:rsidRPr="00253BBC">
        <w:rPr>
          <w:rFonts w:ascii="Times New Roman" w:hAnsi="Times New Roman" w:cs="Times New Roman"/>
          <w:color w:val="000000"/>
        </w:rPr>
        <w:t xml:space="preserve"> </w:t>
      </w:r>
      <w:r w:rsidR="00253BBC" w:rsidRPr="00253BBC">
        <w:rPr>
          <w:rFonts w:ascii="Times New Roman" w:hAnsi="Times New Roman" w:cs="Times New Roman" w:hint="eastAsia"/>
          <w:color w:val="000000"/>
        </w:rPr>
        <w:t>Table S5 Strategies for conversion therapy</w:t>
      </w:r>
    </w:p>
    <w:tbl>
      <w:tblPr>
        <w:tblW w:w="0" w:type="auto"/>
        <w:jc w:val="center"/>
        <w:tblCellMar>
          <w:top w:w="15" w:type="dxa"/>
          <w:left w:w="15" w:type="dxa"/>
          <w:right w:w="15" w:type="dxa"/>
        </w:tblCellMar>
        <w:tblLook w:val="04A0" w:firstRow="1" w:lastRow="0" w:firstColumn="1" w:lastColumn="0" w:noHBand="0" w:noVBand="1"/>
      </w:tblPr>
      <w:tblGrid>
        <w:gridCol w:w="1318"/>
        <w:gridCol w:w="2548"/>
        <w:gridCol w:w="10092"/>
      </w:tblGrid>
      <w:tr w:rsidR="00000000" w14:paraId="74E4C0F0" w14:textId="77777777" w:rsidTr="00253BBC">
        <w:trPr>
          <w:trHeight w:val="315"/>
          <w:jc w:val="center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8CA8111" w14:textId="77777777" w:rsidR="00000000" w:rsidRDefault="0000000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Study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BC60C3E" w14:textId="77777777" w:rsidR="00000000" w:rsidRDefault="0000000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Strategy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7D080A9" w14:textId="77777777" w:rsidR="00000000" w:rsidRDefault="0000000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Details</w:t>
            </w:r>
          </w:p>
        </w:tc>
      </w:tr>
      <w:tr w:rsidR="00000000" w14:paraId="33BC8C9F" w14:textId="77777777" w:rsidTr="00253BBC">
        <w:trPr>
          <w:trHeight w:val="210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14:paraId="06CAA676" w14:textId="0A95B930" w:rsidR="00000000" w:rsidRDefault="0000000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Zuo      </w:t>
            </w:r>
            <w:r w:rsidR="00253BBC">
              <w:rPr>
                <w:rFonts w:ascii="Times New Roman" w:hAnsi="Times New Roman" w:cs="Times New Roman" w:hint="eastAsia"/>
                <w:color w:val="000000"/>
              </w:rPr>
              <w:t xml:space="preserve">  </w:t>
            </w:r>
            <w:r>
              <w:rPr>
                <w:rFonts w:ascii="Times New Roman" w:hAnsi="Times New Roman" w:cs="Times New Roman"/>
                <w:color w:val="000000"/>
              </w:rPr>
              <w:t>2025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2760A64E" w14:textId="77777777" w:rsidR="00000000" w:rsidRDefault="0000000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HAIC+TKI+ICI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41D8C2F8" w14:textId="77777777" w:rsidR="00000000" w:rsidRDefault="0000000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HAIC: four to six cycles of HAIC; Patients repeatedly received HAIC with the FOLFOX regimen every 21-day cycle (oxaliplatin 85 mg/m2 infusion for 2 h; leucovorin 400 mg/m2 for 2–3h; and ﬂuorouracil 1250/2500 mg/m2 for 23/46 h).TKI and PD-1 inhibitors were received within 3 days after the ﬁrst cycle of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HAIC.The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type of TKI in this study includes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lenvatinib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(12 mg/day for body weight 60 kg or 8 mg/day for body weight &lt;60 kg orally once daily), sorafenib (400 mg twice a day),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apatinib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(250 mg orally once daily), and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donafenib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(200 mg twice a day). PD-1inhibitors, including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camrelizumab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sintilimab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, and tislelizumab, were administered intravenously at 200 mg every 3 weeks. Another PD-1 inhibitor,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toripalimab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, was administered intravenously at 240 mg every 3 weeks.</w:t>
            </w:r>
          </w:p>
        </w:tc>
      </w:tr>
      <w:tr w:rsidR="00000000" w14:paraId="64672C24" w14:textId="77777777" w:rsidTr="00253BBC">
        <w:trPr>
          <w:trHeight w:val="120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14:paraId="636B7225" w14:textId="2CEE0F33" w:rsidR="00000000" w:rsidRDefault="00000000" w:rsidP="00253BBC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Zuo       </w:t>
            </w:r>
            <w:r w:rsidR="00253BBC">
              <w:rPr>
                <w:rFonts w:ascii="Times New Roman" w:hAnsi="Times New Roman" w:cs="Times New Roman" w:hint="eastAsia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2025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2C06F319" w14:textId="77777777" w:rsidR="00000000" w:rsidRDefault="0000000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TKI+ICI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21A8D103" w14:textId="77777777" w:rsidR="00000000" w:rsidRDefault="0000000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The type of TKI in this study includes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lenvatinib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(12 mg/day for body weight 60 kg or 8 mg/day for body weight &lt;60 kg orally once daily), sorafenib (400 mg twice a day),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apatinib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(250 mg orally once daily), and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donafenib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(200 mg twice a day). PD-1inhibitors, including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camrelizumab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sintilimab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, and tislelizumab, were administered intravenously at 200 mg every 3 weeks. Another PD-1 inhibitor,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toripalimab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, was administered intravenously at 240 mg every 3 weeks.</w:t>
            </w:r>
          </w:p>
        </w:tc>
      </w:tr>
      <w:tr w:rsidR="00000000" w14:paraId="620E901B" w14:textId="77777777" w:rsidTr="00253BBC">
        <w:trPr>
          <w:trHeight w:val="180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14:paraId="651548ED" w14:textId="77777777" w:rsidR="00000000" w:rsidRDefault="0000000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Yang        2025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7C9BA2DB" w14:textId="77777777" w:rsidR="00000000" w:rsidRDefault="0000000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TACE + TKI + ICI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79C3A7F0" w14:textId="0A5B2C35" w:rsidR="00000000" w:rsidRDefault="0000000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The total number of TACE in all patients was &lt; 6times.Patients received at least one of the following tyrosine kinase inhibitors: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lenvatinib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orally once a day, at a dose of 8mg for individuals weighing less than &lt; 60 kg or 12 mg for all others;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donafenib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orally twice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aday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, at a dose of 0.2 g;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apatinib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orally once a day, at doses of 250–500 mg;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anlotinib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orally once a day, at a dose of 12 mg; or bevacizumab  intravenously once every 3 weeks, at a dose of 15 mg/kg. The patients also received at least one of the following immune checkpoint inhibitors intravenously once every 3 weeks: tislelizumab 200 mg; atezolizumab 1200 mg;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sintilimab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200 mg;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carelizumab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200 mg;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toripalimab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240 mg; and </w:t>
            </w:r>
            <w:r w:rsidR="00253BB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pembrolizumab 200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mg.</w:t>
            </w:r>
          </w:p>
        </w:tc>
      </w:tr>
      <w:tr w:rsidR="00000000" w14:paraId="221C2882" w14:textId="77777777" w:rsidTr="00253BBC">
        <w:trPr>
          <w:trHeight w:val="90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14:paraId="63BB47A1" w14:textId="77777777" w:rsidR="00000000" w:rsidRDefault="00000000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Yalikun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2025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22B7D3F1" w14:textId="77777777" w:rsidR="00000000" w:rsidRDefault="0000000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HAIC +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apatinib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+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camrelizumab</w:t>
            </w:r>
            <w:proofErr w:type="spellEnd"/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014A7FF9" w14:textId="77777777" w:rsidR="00000000" w:rsidRDefault="0000000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All patients received oral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apatinib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250 mg once daily, intravenous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camrelizumab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200 mg on day 3, and HAIC with FOLFOX regimen (oxaliplatin 85 mg/m2 at hours 0–2, leucovorin 400 mg/m2 at hours 2–3, and fluorouracil 400 mg/m2 at hour 3, followed by fluorouracil 2400 mg/m2 for 46 h) on days 4–5 of each 21-day cycle for up to 8 cycles</w:t>
            </w:r>
          </w:p>
        </w:tc>
      </w:tr>
      <w:tr w:rsidR="00000000" w14:paraId="34C469C9" w14:textId="77777777" w:rsidTr="00253BBC">
        <w:trPr>
          <w:trHeight w:val="2955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14:paraId="2D4ACDC8" w14:textId="77777777" w:rsidR="00000000" w:rsidRDefault="00000000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</w:rPr>
              <w:lastRenderedPageBreak/>
              <w:t>Wu,Y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       2025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29C54CBC" w14:textId="77777777" w:rsidR="00000000" w:rsidRDefault="0000000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D-TACE-HAIC +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lenvatinib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+ ICI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111D86AE" w14:textId="77777777" w:rsidR="00000000" w:rsidRDefault="0000000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Patients &lt; 60 kg and </w:t>
            </w:r>
            <w:r>
              <w:rPr>
                <w:rFonts w:ascii="Cambria Math" w:hAnsi="Cambria Math" w:cs="Times New Roman"/>
                <w:color w:val="000000"/>
                <w:sz w:val="22"/>
                <w:szCs w:val="22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60 kg were respectively treated with oral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lenvatinib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at doses of 8 mg/day and 12 mg/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day.Patients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were administered intravenous PD-1 inhibitors and underwent D-TACE-HAIC treatment every 3 weeks. TACE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:  embolized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using drug-loaded microspheres that had been mixed with oxaliplatin (50 mg) without complete devascularization. HAIC: continuously infuse oxaliplatin (85 mg/m2) for 2 h, calcium folinate (400 mg/m2) for 2h, 5-fluorouracil (400 mg/m2) for 15 min, and 5-fluorouracil (2400 mg/m2) for 46 h.</w:t>
            </w:r>
          </w:p>
        </w:tc>
      </w:tr>
      <w:tr w:rsidR="00000000" w14:paraId="69416A21" w14:textId="77777777" w:rsidTr="00253BBC">
        <w:trPr>
          <w:trHeight w:val="2955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14:paraId="6E1B186C" w14:textId="77777777" w:rsidR="00000000" w:rsidRDefault="00000000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</w:rPr>
              <w:t>Wu,J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      2025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2084EBF9" w14:textId="77777777" w:rsidR="00000000" w:rsidRDefault="0000000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TACE + Lenvatinib + ICI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265D6D93" w14:textId="0F5948EB" w:rsidR="00000000" w:rsidRDefault="0000000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TACE was repeated on demand every 4–6weeks if </w:t>
            </w:r>
            <w:r w:rsidR="00253BB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necessary. Lenvatinib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was orally administered once a day at doses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br/>
              <w:t xml:space="preserve">of 8 or 12 mg to patients with body weights &lt;60 kg or </w:t>
            </w:r>
            <w:r>
              <w:rPr>
                <w:rFonts w:ascii="Cambria Math" w:hAnsi="Cambria Math" w:cs="Times New Roman"/>
                <w:color w:val="000000"/>
                <w:sz w:val="22"/>
                <w:szCs w:val="22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60 kg, respectively. The PD-1 inhibitor was administered intravenously every 3 weeks at a standard dose 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sintilimab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200 mg, tislelizumab 200 mg,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camrelizumab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200 mg,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toripalimab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240 mg, and pembrolizumab 200 mg). Lenvatinib and PD-1 inhibitors were administered within 3–14 days of the ﬁrst TACE treatment and were discontinued for 3 days before and after the next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TACEtreatment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</w:t>
            </w:r>
          </w:p>
        </w:tc>
      </w:tr>
      <w:tr w:rsidR="00000000" w14:paraId="0CA32CFC" w14:textId="77777777" w:rsidTr="00253BBC">
        <w:trPr>
          <w:trHeight w:val="150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14:paraId="0D916A01" w14:textId="77777777" w:rsidR="00000000" w:rsidRDefault="0000000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Wen 1     2025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1E9C5F10" w14:textId="77777777" w:rsidR="00000000" w:rsidRDefault="0000000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TACE/HAIC +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Donafenib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+ ICI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6FF7B337" w14:textId="77777777" w:rsidR="00000000" w:rsidRDefault="0000000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(TACE) and hepatic arterial infusion chemotherapy (HAIC), was administered every 4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weeks.The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FOLFOX chemotherapy regimen involved an arterial infusion of oxaliplatin (130 mg/m2) for 2 hours, calcium folinate (400 mg/m2) for 1.5 h, and 5-fluorouracil (400 mg/m2) for 2 hours, followed by a continuous arterial infusion of 5-fluorouracil (2,400 mg/m2) over 46 h. Patients received oral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donafenib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0.2  g twice daily. PD-1 inhibitors such as tislelizumab,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camrelizumab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, and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sintilimab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were administered intravenously on a tri-weekly schedule.</w:t>
            </w:r>
          </w:p>
        </w:tc>
      </w:tr>
      <w:tr w:rsidR="00000000" w14:paraId="6AEBB69F" w14:textId="77777777" w:rsidTr="00253BBC">
        <w:trPr>
          <w:trHeight w:val="150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14:paraId="6B017784" w14:textId="77777777" w:rsidR="00000000" w:rsidRDefault="0000000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Wen 2       2025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3252F718" w14:textId="77777777" w:rsidR="00000000" w:rsidRDefault="0000000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TACE/HAIC + Sorafenib + ICI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33DE1C2D" w14:textId="77777777" w:rsidR="00000000" w:rsidRDefault="0000000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(TACE) and hepatic arterial infusion chemotherapy (HAIC), was administered every 4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weeks.The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FOLFOX chemotherapy regimen involved an arterial infusion of oxaliplatin (130 mg/m2) for 2 hours, calcium folinate (400 mg/m2) for 1.5 h, and 5-fluorouracil (400 mg/m2) for 2 hours, followed by a continuous arterial infusion of 5-fluorouracil (2,400 mg/m2) over 46 h. Patients received oral sorafenib 0.4 g twice daily. PD-1 inhibitors such as tislelizumab,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camrelizumab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, and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sintilimab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were administered intravenously on a tri-weekly schedule.</w:t>
            </w:r>
          </w:p>
        </w:tc>
      </w:tr>
      <w:tr w:rsidR="00000000" w14:paraId="234FCDDC" w14:textId="77777777" w:rsidTr="00253BBC">
        <w:trPr>
          <w:trHeight w:val="2955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14:paraId="6FC9EE84" w14:textId="77777777" w:rsidR="00000000" w:rsidRDefault="0000000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Tang       2025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30D0286D" w14:textId="77777777" w:rsidR="00000000" w:rsidRDefault="0000000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HAIC + Lenvatinib + tislelizumab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3CABBBC8" w14:textId="77777777" w:rsidR="00000000" w:rsidRDefault="0000000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Repeated HAIC was determined at intervals of 3 weeks according to operators’ evaluation, with no more than 8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cycles.HAIC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with oxaliplatin (130  mg/m2, hour 0 to 2 on day 1),leucovorin (200 mg/m2, hour 2 to 4 on day (1) and 5-fluorouracil (400 mg/m2 fluorouracil bolus within 15 min and 2400 mg/m2 fluorouracil maintaining 46 h. Patients in the HLP group received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lenvatinib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orally at a dosage of either 8 mg (</w:t>
            </w:r>
            <w:r>
              <w:rPr>
                <w:rFonts w:ascii="Cambria Math" w:hAnsi="Cambria Math" w:cs="Times New Roman"/>
                <w:color w:val="000000"/>
                <w:sz w:val="22"/>
                <w:szCs w:val="22"/>
              </w:rPr>
              <w:t>≤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60 kg) or 12  mg (&gt; 60  kg) depending on their body weight, and tislelizumab intravenously with a dose of 200 mg every 3 weeks. </w:t>
            </w:r>
          </w:p>
        </w:tc>
      </w:tr>
      <w:tr w:rsidR="00000000" w14:paraId="28563044" w14:textId="77777777" w:rsidTr="00253BBC">
        <w:trPr>
          <w:trHeight w:val="150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14:paraId="47994178" w14:textId="77777777" w:rsidR="00000000" w:rsidRDefault="0000000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Shen       2025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5D717C8C" w14:textId="77777777" w:rsidR="00000000" w:rsidRDefault="0000000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HAIC + sorafenib +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camrelizumab</w:t>
            </w:r>
            <w:proofErr w:type="spellEnd"/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65C3EC89" w14:textId="77777777" w:rsidR="00000000" w:rsidRDefault="0000000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Patients received up to six 21-day cycles of hepatic arterial infusion with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camrelizumab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br/>
              <w:t xml:space="preserve">and FOLFOX chemotherapy. The infusion of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camrelizumab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(200 mg in 100 mL 0.9% saline) was administered at a constant rate for a total of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  h.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The FOLFOX regimen consisted of oxaliplatin 85 mg/m2 at a constant rate for 1.5 h, followed by leucovorin 200 mg/m2 for 1.5 h, and fluorouracil 2500 mg/m2 for 46 h. In addition, all patients received sorafenib (400 mg orally twice daily, beginning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since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day 3 after initiation of hepatic arterial infusion) until disease progression or unacceptable toxicity.</w:t>
            </w:r>
          </w:p>
        </w:tc>
      </w:tr>
      <w:tr w:rsidR="00000000" w14:paraId="487DBA03" w14:textId="77777777" w:rsidTr="00253BBC">
        <w:trPr>
          <w:trHeight w:val="210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14:paraId="0D867B25" w14:textId="43C9EA2C" w:rsidR="00000000" w:rsidRDefault="0000000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Pan 1    </w:t>
            </w:r>
            <w:r w:rsidR="00253BBC">
              <w:rPr>
                <w:rFonts w:ascii="Times New Roman" w:hAnsi="Times New Roman" w:cs="Times New Roman" w:hint="eastAsia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2025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7B2EF721" w14:textId="77777777" w:rsidR="00000000" w:rsidRDefault="0000000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TACE/HAIC + Lenvatinib + ICI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53CBB223" w14:textId="77777777" w:rsidR="00000000" w:rsidRDefault="0000000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The standard TACE regimen typically includes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epirubicin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and lipid-based platinum compounds.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he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HAIC regimen primarily consisted of the FOLFOX protocol, which includes oxaliplatin, leucovorin, and ﬂuorouracil. Recommended doses for HAIC therapy are 85 mg/m2 for oxaliplatin, 400 mg/m2 for cisplatin, and 2,400 mg/m2 for ﬂuorouracil, administered every 3–4weeks. The PD-1 antibodies used in this study included pembrolizumab, nivolumab,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sintilimab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, tislelizumab,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toripalimab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, and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camrelizumab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, while the PD-L1 antibodies included durvalumab and atezolizumab. Lenvatinib were administered according to the product package insert and previous studies, based on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br/>
              <w:t>current efﬁcacy and safety data, prior treatment, and</w:t>
            </w:r>
            <w:r>
              <w:rPr>
                <w:rFonts w:cs="Times New Roman" w:hint="eastAsia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drug availability</w:t>
            </w:r>
            <w:r>
              <w:rPr>
                <w:rFonts w:cs="Times New Roman" w:hint="eastAsia"/>
                <w:color w:val="000000"/>
                <w:sz w:val="22"/>
                <w:szCs w:val="22"/>
              </w:rPr>
              <w:t>.</w:t>
            </w:r>
          </w:p>
        </w:tc>
      </w:tr>
      <w:tr w:rsidR="00000000" w14:paraId="5D675EB6" w14:textId="77777777" w:rsidTr="00253BBC">
        <w:trPr>
          <w:trHeight w:val="210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14:paraId="1A55E201" w14:textId="3429813D" w:rsidR="00000000" w:rsidRDefault="0000000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 xml:space="preserve">Pan 2    </w:t>
            </w:r>
            <w:r w:rsidR="00253BBC">
              <w:rPr>
                <w:rFonts w:ascii="Times New Roman" w:hAnsi="Times New Roman" w:cs="Times New Roman" w:hint="eastAsia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2025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6BCBFCD4" w14:textId="77777777" w:rsidR="00000000" w:rsidRDefault="0000000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TACE/HAIC + Bevacizumab + ICI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0BAF4143" w14:textId="4E17A53B" w:rsidR="00000000" w:rsidRDefault="0000000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The standard TACE regimen typically includes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epirubicin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and lipid-based platinum compounds.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he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HAIC regimen primarily consisted of the FOLFOX protocol, which includes oxaliplatin, leucovorin, and ﬂuorouracil. Recommended doses for HAIC therapy are 85 mg/m2 for oxaliplatin, 400 mg/m2 for cisplatin, and 2,400 mg/m2 for ﬂuorouracil, administered every 3–4weeks. The PD-1 antibodies used in this study included pembrolizumab, nivolumab,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sintilimab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, tislelizumab,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toripalimab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, and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camrelizumab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, while the PD-L1 antibodies included durvalumab and atezolizumab. Bevacizumab </w:t>
            </w:r>
            <w:r w:rsidR="00253BB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was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administered according to the product package insert and previous studies, based on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br/>
              <w:t>current efﬁcacy and safety data, prior treatment, and</w:t>
            </w:r>
            <w:r>
              <w:rPr>
                <w:rFonts w:cs="Times New Roman" w:hint="eastAsia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drug availability</w:t>
            </w:r>
            <w:r>
              <w:rPr>
                <w:rFonts w:cs="Times New Roman" w:hint="eastAsia"/>
                <w:color w:val="000000"/>
                <w:sz w:val="22"/>
                <w:szCs w:val="22"/>
              </w:rPr>
              <w:t>.</w:t>
            </w:r>
          </w:p>
        </w:tc>
      </w:tr>
      <w:tr w:rsidR="00000000" w14:paraId="2A8B4984" w14:textId="77777777" w:rsidTr="00253BBC">
        <w:trPr>
          <w:trHeight w:val="63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14:paraId="61A94EDF" w14:textId="374FC02D" w:rsidR="00000000" w:rsidRDefault="0000000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Li         </w:t>
            </w:r>
            <w:r w:rsidR="00253BBC">
              <w:rPr>
                <w:rFonts w:ascii="Times New Roman" w:hAnsi="Times New Roman" w:cs="Times New Roman" w:hint="eastAsia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2025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3743AA49" w14:textId="77777777" w:rsidR="00000000" w:rsidRDefault="0000000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TACE +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Sintilimab</w:t>
            </w:r>
            <w:proofErr w:type="spellEnd"/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39E8943A" w14:textId="77777777" w:rsidR="00000000" w:rsidRDefault="0000000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Eligible patients with intermediate-stage HCC beyond up-to-seven criteria received conventional TACE alongside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sintilimab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(200 mg, intravenous, every 3 weeks).</w:t>
            </w:r>
          </w:p>
        </w:tc>
      </w:tr>
      <w:tr w:rsidR="00000000" w14:paraId="3532E75B" w14:textId="77777777" w:rsidTr="00253BBC">
        <w:trPr>
          <w:trHeight w:val="2055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14:paraId="3C901BA1" w14:textId="77777777" w:rsidR="00000000" w:rsidRDefault="0000000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Huang 1 2025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7F80BEAF" w14:textId="77777777" w:rsidR="00000000" w:rsidRDefault="0000000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HAIC + Lenvatinib + ICI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09203F8E" w14:textId="77777777" w:rsidR="00000000" w:rsidRDefault="0000000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Patients initiated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lenvatinib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(12 mg/day for bodyweight </w:t>
            </w:r>
            <w:r>
              <w:rPr>
                <w:rFonts w:ascii="Cambria Math" w:hAnsi="Cambria Math" w:cs="Times New Roman"/>
                <w:color w:val="000000"/>
                <w:sz w:val="22"/>
                <w:szCs w:val="22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60kg or 8 mg/day for bodyweight &lt;60kg) 3–7</w:t>
            </w:r>
            <w:r>
              <w:rPr>
                <w:rFonts w:cs="Times New Roman" w:hint="eastAsia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days before initial HAIC to conﬁrm tolerability and then underwent</w:t>
            </w:r>
            <w:r>
              <w:rPr>
                <w:rFonts w:cs="Times New Roman" w:hint="eastAsia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21-day treatment cycles of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lenvatinib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, PD-1/L1 antibody, and HAIC (FOLFOX).</w:t>
            </w:r>
          </w:p>
        </w:tc>
      </w:tr>
      <w:tr w:rsidR="00000000" w14:paraId="061F3B64" w14:textId="77777777" w:rsidTr="00253BBC">
        <w:trPr>
          <w:trHeight w:val="63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14:paraId="7CE24D72" w14:textId="77777777" w:rsidR="00000000" w:rsidRDefault="0000000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Huang 2 2025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10C201E2" w14:textId="77777777" w:rsidR="00000000" w:rsidRDefault="0000000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HAIC + Bevacizumab + ICI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7DCEEB21" w14:textId="77777777" w:rsidR="00000000" w:rsidRDefault="0000000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patients received 15 mg/kg body weight of bevacizumab and PD-1/L1 antibody intravenously followed by HAIC (FOLFOX) every 21 days.</w:t>
            </w:r>
          </w:p>
        </w:tc>
      </w:tr>
      <w:tr w:rsidR="00000000" w14:paraId="07613E25" w14:textId="77777777" w:rsidTr="00253BBC">
        <w:trPr>
          <w:trHeight w:val="120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14:paraId="77361C1A" w14:textId="77777777" w:rsidR="00000000" w:rsidRDefault="0000000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Gao         2025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71E11B29" w14:textId="77777777" w:rsidR="00000000" w:rsidRDefault="0000000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HAIC +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Donafenib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+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sintilimab</w:t>
            </w:r>
            <w:proofErr w:type="spellEnd"/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63DBEEB3" w14:textId="77777777" w:rsidR="00000000" w:rsidRDefault="0000000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Enrolled patients received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donafenib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(200 mg twice daily, taken orally, initiated 3–7days before the ﬁrst</w:t>
            </w:r>
            <w:r>
              <w:rPr>
                <w:rFonts w:cs="Times New Roman" w:hint="eastAsia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HAIC session),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sintilimab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(200 mg intravenously every</w:t>
            </w:r>
            <w:r>
              <w:rPr>
                <w:rFonts w:cs="Times New Roman" w:hint="eastAsia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3weeks, administered 0–1day before each HAIC</w:t>
            </w:r>
            <w:r>
              <w:rPr>
                <w:rFonts w:cs="Times New Roman" w:hint="eastAsia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treatment), and HAIC (oxaliplatin 85 mg/m2 over 2 h,</w:t>
            </w:r>
            <w:r>
              <w:rPr>
                <w:rFonts w:cs="Times New Roman" w:hint="eastAsia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leucovorin 400 mg/m2 over 2 h, bolus ﬂuorouracil</w:t>
            </w:r>
            <w:r>
              <w:rPr>
                <w:rFonts w:cs="Times New Roman" w:hint="eastAsia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400 mg/m2 within the ﬁrst 10 min, followed by ﬂuorouracil infusion 1200 mg/m2 over 23 h, every 3 weeks.</w:t>
            </w:r>
          </w:p>
        </w:tc>
      </w:tr>
      <w:tr w:rsidR="00000000" w14:paraId="431B5241" w14:textId="77777777" w:rsidTr="00253BBC">
        <w:trPr>
          <w:trHeight w:val="63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14:paraId="3899C13F" w14:textId="77777777" w:rsidR="00000000" w:rsidRDefault="0000000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Aoki       2025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7D976360" w14:textId="77777777" w:rsidR="00000000" w:rsidRDefault="0000000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Atezolizumab</w:t>
            </w:r>
            <w:r>
              <w:rPr>
                <w:rFonts w:ascii="Times New Roman" w:hAnsi="Times New Roman" w:cs="Times New Roman"/>
                <w:color w:val="000000"/>
              </w:rPr>
              <w:br/>
              <w:t>+ Bevacizumab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33CC63BE" w14:textId="77777777" w:rsidR="00000000" w:rsidRDefault="0000000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Atezolizumab + Bevacizumab</w:t>
            </w:r>
          </w:p>
        </w:tc>
      </w:tr>
      <w:tr w:rsidR="00000000" w14:paraId="2CD1C074" w14:textId="77777777" w:rsidTr="00253BBC">
        <w:trPr>
          <w:trHeight w:val="3555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14:paraId="0A2F667A" w14:textId="77777777" w:rsidR="00000000" w:rsidRDefault="0000000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Zhao       2024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577B0826" w14:textId="77777777" w:rsidR="00000000" w:rsidRDefault="0000000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TACE + HAIC + TKI + ICI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25F46BA1" w14:textId="51C4D20C" w:rsidR="00000000" w:rsidRDefault="0000000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DEB-TACE and HAIC </w:t>
            </w:r>
            <w:r w:rsidR="00253BB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were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administered every 3 weeks. TACE: Oxaliplatin 50 mg was fully mixed with a bottle of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br/>
              <w:t xml:space="preserve">DEB.  HAIC: modified FOLFOX-6 regimen (oxaliplatin 85 mg/m2 from hour 0 to 2 on day 1; leucovorin 400 mg/m2, from hour 2 to 3 on day 1; 5-fuorouracil 400 mg/m2 bolus at hour 3 on day 1; 5-flurouracil 2,400 mg/m2 over 46 hours on day 1–2)Lenvatinib (Eisai Europe Co. Ltd., UK) was administered orally at a dose of 8 mg/day for patients weighing </w:t>
            </w:r>
            <w:r>
              <w:rPr>
                <w:rFonts w:ascii="Cambria Math" w:hAnsi="Cambria Math" w:cs="Times New Roman"/>
                <w:color w:val="000000"/>
                <w:sz w:val="22"/>
                <w:szCs w:val="22"/>
              </w:rPr>
              <w:t>≤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60 kg or 12 mg/day for patients weighing &gt;60 kg until the tumor progression or occurrence of intolerant adverse events.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PD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-1 inhibitors, including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sintilimab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and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camrelizumab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, were administered at a dose of 200 mg every 3 weeks, starting within one week after the initiation of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lenvatinib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treatment.</w:t>
            </w:r>
          </w:p>
        </w:tc>
      </w:tr>
      <w:tr w:rsidR="00000000" w14:paraId="420039C5" w14:textId="77777777" w:rsidTr="00253BBC">
        <w:trPr>
          <w:trHeight w:val="120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14:paraId="05D0E821" w14:textId="77777777" w:rsidR="00000000" w:rsidRDefault="0000000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Yang         2024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3A65E021" w14:textId="77777777" w:rsidR="00000000" w:rsidRDefault="0000000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TACE + HAIC + Lenvatinib + ICI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715416EB" w14:textId="77777777" w:rsidR="00000000" w:rsidRDefault="0000000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Lenvatinib was administered orally once per day within 1 week after initial treatment (8 mg for weight &lt;60 kg and 12 mg for weight &gt;60 kg). PD-1 inhibitors were administered intravenously every 3 weeks 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camrelizumab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200 mg or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toripalimab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240 mg) during TACE-HAIC treatment. PD-1 inhibitors were administered continuously every three weeks after TACE-HAIC termination, concurrently with oral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lenvatinib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</w:t>
            </w:r>
          </w:p>
        </w:tc>
      </w:tr>
      <w:tr w:rsidR="00000000" w14:paraId="52699D93" w14:textId="77777777" w:rsidTr="00253BBC">
        <w:trPr>
          <w:trHeight w:val="120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14:paraId="1DB512E9" w14:textId="77777777" w:rsidR="00000000" w:rsidRDefault="0000000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Xiao       2024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46A32E0A" w14:textId="77777777" w:rsidR="00000000" w:rsidRDefault="0000000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HAIC + TKI + ICI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7D2A14B7" w14:textId="77777777" w:rsidR="00000000" w:rsidRDefault="0000000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HAIC: The treatment schedules included FOLFOX (HAIC with 5-fluorouracil, oxaliplatin, and leucovorin) and RALOX (HAIC with raltitrexed and oxaliplatin). The included patients were treated with sorafenib,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apatinib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, or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lenvatinib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as TKIs and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camrelizumab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sintilimab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, or tislelizumab as PD-1 inhibitors based on medication availability. Dosage modifications were made following the relevant guidelines, considering the patient’s performance, liver function, and treatment tolerance.</w:t>
            </w:r>
          </w:p>
        </w:tc>
      </w:tr>
      <w:tr w:rsidR="00000000" w14:paraId="29DD6F8D" w14:textId="77777777" w:rsidTr="00253BBC">
        <w:trPr>
          <w:trHeight w:val="2655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14:paraId="38CEFC3A" w14:textId="77777777" w:rsidR="00000000" w:rsidRDefault="0000000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Wu          2024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77AEFF27" w14:textId="77777777" w:rsidR="00000000" w:rsidRDefault="0000000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TACE + Lenvatinib +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Camrelizumab</w:t>
            </w:r>
            <w:proofErr w:type="spellEnd"/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0F7F8351" w14:textId="77777777" w:rsidR="00000000" w:rsidRDefault="0000000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Patients were treated with conventional TACE within 3 days of enrolment. An emulsion of lipiodol and lobaplatin was injected through the microcatheter into the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tumour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-feeding vessels, followed by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embolisation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with gelatine sponge particles until complete arterial flow stasis was observed. Patients received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lenvatinib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(8 mg for bodyweight &lt;60 kg or 12 mg for bodyweight </w:t>
            </w:r>
            <w:r>
              <w:rPr>
                <w:rFonts w:ascii="Cambria Math" w:hAnsi="Cambria Math" w:cs="Times New Roman"/>
                <w:color w:val="000000"/>
                <w:sz w:val="22"/>
                <w:szCs w:val="22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60 kg) orally once daily and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camrelizumab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(200 mg) intravenously every 3 weeks (plus or minus 3 days). </w:t>
            </w:r>
          </w:p>
        </w:tc>
      </w:tr>
      <w:tr w:rsidR="00000000" w14:paraId="4F857B68" w14:textId="77777777" w:rsidTr="00253BBC">
        <w:trPr>
          <w:trHeight w:val="2355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14:paraId="2F0D45BF" w14:textId="77777777" w:rsidR="00000000" w:rsidRDefault="0000000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Wang    2024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2B397BD7" w14:textId="77777777" w:rsidR="00000000" w:rsidRDefault="0000000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TKI+ICI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5750BD92" w14:textId="77777777" w:rsidR="00000000" w:rsidRDefault="0000000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We used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lenvatinib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combined with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camrelizumab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apatinib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combined with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camrelizumab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, and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lenvatinib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combined with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sintilimab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. The oral dose of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lenvatinib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was 12 mg (body weight </w:t>
            </w:r>
            <w:r>
              <w:rPr>
                <w:rFonts w:ascii="Cambria Math" w:hAnsi="Cambria Math" w:cs="Times New Roman"/>
                <w:color w:val="000000"/>
                <w:sz w:val="22"/>
                <w:szCs w:val="22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60 kg) or 8 mg (body weight &lt; 60 kg) once per day;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apatinib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was dosed at 750 mg once per day and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camrelizumab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and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sintilimab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at 200 mg every 3 weeks.</w:t>
            </w:r>
          </w:p>
        </w:tc>
      </w:tr>
      <w:tr w:rsidR="00000000" w14:paraId="5D528A67" w14:textId="77777777" w:rsidTr="00253BBC">
        <w:trPr>
          <w:trHeight w:val="4155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14:paraId="4EDC17CD" w14:textId="77777777" w:rsidR="00000000" w:rsidRDefault="0000000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Pang        2024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6C89F733" w14:textId="77777777" w:rsidR="00000000" w:rsidRDefault="0000000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TACE + HAIC+ TKI + ICI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03DD56AB" w14:textId="77777777" w:rsidR="00000000" w:rsidRDefault="0000000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Lenvatinib was administered orally at a dose of 12 mg (for patients with body weight </w:t>
            </w:r>
            <w:r>
              <w:rPr>
                <w:rFonts w:ascii="Cambria Math" w:hAnsi="Cambria Math" w:cs="Times New Roman"/>
                <w:color w:val="000000"/>
                <w:sz w:val="22"/>
                <w:szCs w:val="22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60 kg) or 8 mg (for patients with body weight &lt; 60 kg) once a day, sorafenib was administered orally at a dose of 400 mg twice daily. The PD-1 dose included a fixed dose of 200 mg every 3 weeks or a fixed dose of 3 mg/kg body weight every 3 weeks. Conventional TACE(c-TACE) is generally recommended the addition of small size gelatin sponge particles embolization after the embolization of iodide emulsion. Furthermore, during the c-TACE process, our center typically employs a mixture of iodized oil emulsion and doxorubicin at a dose of 30 mg/m2 for targeted vascular embolization. Then, a catheter was placed and fixed in the tumor feeding artery for the FOLFOX-based chemotherapy infusion at the following dosages: 85 mg/m2 of oxaliplatin infusion for 2 h; 400 mg/m2 of leucovorin infusion for 2 h; 400 mg/m2 of 5-FU bolus, and 2400 mg/m2 of continuous 5-FU infusion for 46 h. Repeated TACE-HAIC was performed at intervals of 3 weeks.</w:t>
            </w:r>
          </w:p>
        </w:tc>
      </w:tr>
      <w:tr w:rsidR="00000000" w14:paraId="64A0F82F" w14:textId="77777777" w:rsidTr="00253BBC">
        <w:trPr>
          <w:trHeight w:val="360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14:paraId="429478AB" w14:textId="77777777" w:rsidR="00000000" w:rsidRDefault="0000000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Lu           2024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54E61D80" w14:textId="77777777" w:rsidR="00000000" w:rsidRDefault="0000000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HAIC + TKI/Bevacizumab + ICI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1B068820" w14:textId="06561E24" w:rsidR="00000000" w:rsidRDefault="0000000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 regimen of ﬂuorouracil combined with oxaliplatin (FOLFOX) was continuously infused through the catheter using an infusion pump: (</w:t>
            </w:r>
            <w:r w:rsidR="00253BB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1) Oxaliplatin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: 85 mg/m² (adjusted to 130 mg/m² if the tumor diameter was greater than 10 cm) infused over 2 hours. Typically, 130 mg/m² was used for large, well-vascularized tumors, while 85 mg/m² was used for smaller, less vascularized tumors. Dosage adjustments were necessary if a large tumor shrinks. (2) Leucovorin (Calcium Folinate): 200 mg/m² infused over 2 hours. (3)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br/>
              <w:t>Fluorouracil: 400 mg/m² infused within 15 minutes, followed by 2400 mg/m² infused over 46 hours. The next chemotherapy cycle was repeated 3 or 4 weeks later with re-catheterization. Before or after the ﬁrst HAIC session, patients were intravenously administered anti-PD-1 antibodies every 3 weeks (200-mg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br/>
              <w:t xml:space="preserve">tislelizumab, 200-mg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camrelizumab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, or 200-mg pembrolizumab). For anti-angiogenesis treatment, the patients were administered 8-mg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lenvatinib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orally once daily, 200-mg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Donafenib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orally twice daily. Patients in the atezolizumab + bevacizumab group were intravenously administered atezolizumab (1200 mg) plus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br/>
              <w:t xml:space="preserve">bevacizumab (15 mg/kg) or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sintilimab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(200 mg) plus bevacizumab biosimilar (IBI305) every 3 weeks.</w:t>
            </w:r>
          </w:p>
        </w:tc>
      </w:tr>
      <w:tr w:rsidR="00000000" w14:paraId="4C2C410E" w14:textId="77777777" w:rsidTr="00253BBC">
        <w:trPr>
          <w:trHeight w:val="150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14:paraId="0E5E04A2" w14:textId="77777777" w:rsidR="00000000" w:rsidRDefault="0000000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Liang     2024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47E4815C" w14:textId="77777777" w:rsidR="00000000" w:rsidRDefault="0000000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IMRT + Bevacizumab + Pembrolizumab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24437D57" w14:textId="77777777" w:rsidR="00000000" w:rsidRDefault="0000000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IMRT technique: Totally, 45 Gy was prescribed to tumor in a moderately hypo-fractionated scheme, with 3.0 Gy per fraction. The biological equivalent dose (BED) was 54–58.5 Gy (tumorous α/β =10–15 Gy). Patients were irradiated once a day from Monday to Friday. Pembrolizumab was infused intravenously at a dose of 200 mg, every 3 weeks, according to KEYNOTE-240 trial. Bevacizumab was administered intravenously over 90 minutes by 15 mg/kg bodyweight every 3 weeks. Pembrolizumab and bevacizumab were infused within 2 weeks before or after the start of radiotherapy.</w:t>
            </w:r>
          </w:p>
        </w:tc>
      </w:tr>
      <w:tr w:rsidR="00000000" w14:paraId="2B00B5AF" w14:textId="77777777" w:rsidTr="00253BBC">
        <w:trPr>
          <w:trHeight w:val="180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14:paraId="58C896BE" w14:textId="77777777" w:rsidR="00000000" w:rsidRDefault="0000000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Kuo         2024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224BDD01" w14:textId="77777777" w:rsidR="00000000" w:rsidRDefault="0000000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HAIC + ICI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536A2B01" w14:textId="77777777" w:rsidR="00000000" w:rsidRDefault="0000000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HAIC was administered using a continuous approach. The chemotherapeutic agents selected for continuous HAIC comprised anthracycline-based compounds, mitomycin C, and 5-FU, all of which are dependent on time for their effectiveness. Additionally, cisplatin was used to enhance the efﬁcacy of 5-FU through a synergistic interaction. The upfront regimen of ICIs used in our study comprised nivolumab. The regimen was 3 mg/kg intravenously every 2 weeks, atezolizumab paired with bevacizumab. The regimen involved injecting 1,200 mg of atezolizumab and 15 mg of bevacizumab per kilogram of body weight intravenously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br/>
              <w:t>every 3 weeks.</w:t>
            </w:r>
          </w:p>
        </w:tc>
      </w:tr>
      <w:tr w:rsidR="00000000" w14:paraId="20E096DA" w14:textId="77777777" w:rsidTr="00253BBC">
        <w:trPr>
          <w:trHeight w:val="63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14:paraId="5546B8C4" w14:textId="77777777" w:rsidR="00000000" w:rsidRDefault="0000000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Kikuchi 2024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152B07E7" w14:textId="77777777" w:rsidR="00000000" w:rsidRDefault="0000000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Atezolizumab</w:t>
            </w:r>
            <w:r>
              <w:rPr>
                <w:rFonts w:ascii="Times New Roman" w:hAnsi="Times New Roman" w:cs="Times New Roman"/>
                <w:color w:val="000000"/>
              </w:rPr>
              <w:br/>
              <w:t>+ Bevacizumab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2EDAF472" w14:textId="77777777" w:rsidR="00000000" w:rsidRDefault="0000000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Patients received 1200 mg of atezolizumab plus 15 mg/kg bevacizumab intravenously once every 3 weeks until disease progression was confirmed.</w:t>
            </w:r>
          </w:p>
        </w:tc>
      </w:tr>
      <w:tr w:rsidR="00000000" w14:paraId="31B40F7A" w14:textId="77777777" w:rsidTr="00253BBC">
        <w:trPr>
          <w:trHeight w:val="180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14:paraId="6307F013" w14:textId="66BE6B04" w:rsidR="00000000" w:rsidRDefault="0000000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Huang </w:t>
            </w:r>
            <w:r w:rsidR="00253BBC">
              <w:rPr>
                <w:rFonts w:ascii="Times New Roman" w:hAnsi="Times New Roman" w:cs="Times New Roman" w:hint="eastAsia"/>
                <w:color w:val="000000"/>
              </w:rPr>
              <w:t xml:space="preserve">  </w:t>
            </w:r>
            <w:r>
              <w:rPr>
                <w:rFonts w:ascii="Times New Roman" w:hAnsi="Times New Roman" w:cs="Times New Roman"/>
                <w:color w:val="000000"/>
              </w:rPr>
              <w:t>2024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429202A9" w14:textId="77777777" w:rsidR="00000000" w:rsidRDefault="0000000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TACE + HAIC Atezolizumab</w:t>
            </w:r>
            <w:r>
              <w:rPr>
                <w:rFonts w:ascii="Times New Roman" w:hAnsi="Times New Roman" w:cs="Times New Roman"/>
                <w:color w:val="000000"/>
              </w:rPr>
              <w:br/>
              <w:t>+ Bevacizumab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767CED99" w14:textId="77777777" w:rsidR="00000000" w:rsidRDefault="0000000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TACE was followed by FOLFOX-based HAIC, comprising 85 mg/m2 of oxaliplatin, 400 mg/m2 of leucovorin, and an initial bolus of 400 mg/m2 of 5-FU for 2 h, which was then followed by a sustained infusion of 1200 mg/m2 for 23 h on day 1 and 2. On day 3, atezolizumab was delivered intravenously at a dosage of 1,200 mg. Bevacizumab was introduced intravenously at a dosage of 15 mg/kg. The combined regimens of A+B with TACE-HAIC were scheduled every 3–4 weeks. Typically, 2–6 cycles of TACE-HAIC</w:t>
            </w:r>
            <w:r>
              <w:rPr>
                <w:rFonts w:cs="Times New Roman" w:hint="eastAsia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were performed on demand, and repeat TACE-HAIC is</w:t>
            </w:r>
            <w:r>
              <w:rPr>
                <w:rFonts w:cs="Times New Roman" w:hint="eastAsia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performed</w:t>
            </w:r>
            <w:r>
              <w:rPr>
                <w:rFonts w:cs="Times New Roman" w:hint="eastAsia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upon the demonstration of a viable tumor and continue benefit from</w:t>
            </w:r>
            <w:r>
              <w:rPr>
                <w:rFonts w:cs="Times New Roman" w:hint="eastAsia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TACE-HAIC</w:t>
            </w:r>
            <w:r>
              <w:rPr>
                <w:rFonts w:cs="Times New Roman" w:hint="eastAsia"/>
                <w:color w:val="000000"/>
                <w:sz w:val="22"/>
                <w:szCs w:val="22"/>
              </w:rPr>
              <w:t>.</w:t>
            </w:r>
          </w:p>
        </w:tc>
      </w:tr>
      <w:tr w:rsidR="00000000" w14:paraId="3CD69ECD" w14:textId="77777777" w:rsidTr="00253BBC">
        <w:trPr>
          <w:trHeight w:val="120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14:paraId="63C28FC3" w14:textId="77777777" w:rsidR="00000000" w:rsidRDefault="0000000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Han 1           2024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3A1220E1" w14:textId="77777777" w:rsidR="00000000" w:rsidRDefault="0000000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TACE/HAIC + Lenvatinib + ICI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648426F0" w14:textId="77777777" w:rsidR="00000000" w:rsidRDefault="0000000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TACE. HAIC treatments, the 5-fluoro-uracil, leucovorin, and oxaliplatin regimen was administered via the hepatic artery as follows: 85 or 135 mg/m2 oxaliplatin, 400 mg/m2 leucovorin, and 400 mg/m2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uorouracil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on the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rst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day and 2400 mg/m2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uorouracil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for 46 hours.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lenvatinib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was taken orally, while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sintilimab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was administered intravenously at a dose of 200 mg every 3 weeks. The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firstadministration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of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sintilimab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occurred within 7 days of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lenvatinib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treatment initiation.</w:t>
            </w:r>
          </w:p>
        </w:tc>
      </w:tr>
      <w:tr w:rsidR="00000000" w14:paraId="1E056E4F" w14:textId="77777777" w:rsidTr="00253BBC">
        <w:trPr>
          <w:trHeight w:val="150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14:paraId="1097019B" w14:textId="77777777" w:rsidR="00000000" w:rsidRDefault="0000000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Han 1           2024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0C2556B4" w14:textId="77777777" w:rsidR="00000000" w:rsidRDefault="0000000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TACE/HAIC + Bevacizumab + ICI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0F7BDE22" w14:textId="77777777" w:rsidR="00000000" w:rsidRDefault="0000000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TACE. HAIC treatments, the 5-fluoro-uracil, leucovorin, and oxaliplatin regimen was administered via the hepatic artery as follows: 85 or 135 mg/m2 oxaliplatin, 400 mg/m2 leucovorin, and 400 mg/m2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uorouracil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on the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rst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day and 2400 mg/m2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uorouracil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for 46 hours. The patients received 200 mg of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sintilimab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(200 mg q3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w)intravenously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for 60 minutes, followed by 15 mg/kg of body weight of bevacizumab (15mg/kg q3w) intravenously for 90 minutes (second infusion for 60 minutes and 30 minutes afterward if no infusion reaction occurred) every 3 weeks.</w:t>
            </w:r>
          </w:p>
        </w:tc>
      </w:tr>
      <w:tr w:rsidR="00000000" w14:paraId="208AFE6F" w14:textId="77777777" w:rsidTr="00253BBC">
        <w:trPr>
          <w:trHeight w:val="3555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14:paraId="516589C4" w14:textId="321C5A03" w:rsidR="00000000" w:rsidRDefault="0000000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Chen      </w:t>
            </w:r>
            <w:r w:rsidR="00253BBC">
              <w:rPr>
                <w:rFonts w:ascii="Times New Roman" w:hAnsi="Times New Roman" w:cs="Times New Roman" w:hint="eastAsia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2024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3F62FF77" w14:textId="77777777" w:rsidR="00000000" w:rsidRDefault="0000000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TACE/HAIC + TKI + ICI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53EF5B36" w14:textId="77777777" w:rsidR="00000000" w:rsidRDefault="0000000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TACE: An emulsion composed of 5–20 ml of lipid alcohol and chemotherapy drugs (30–50 mg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epirubicin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) was injected into the blood supply artery of tumor, and embolization was performed with gelatin sponge particles. HAIC: RALOX scheme: oxaliplatin (100 mg/m2 for 4 h) and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ratitrexed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(3–4 mg/m2 for 1 h). TKI included sorafenib,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lenvatinib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and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donafenib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, all of which were administered orally. The dose of sorafenib was 400 mg twice a day, if tolerated, the dose gradually increased to 800 mg. The dose of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lenvatinib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was 12 mg (weight </w:t>
            </w:r>
            <w:r>
              <w:rPr>
                <w:rFonts w:ascii="Cambria Math" w:hAnsi="Cambria Math" w:cs="Times New Roman"/>
                <w:color w:val="000000"/>
                <w:sz w:val="22"/>
                <w:szCs w:val="22"/>
              </w:rPr>
              <w:t>≥</w:t>
            </w:r>
            <w:r>
              <w:rPr>
                <w:rFonts w:cs="Times New Roman" w:hint="eastAsia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60kg) or 8 mg (weight &lt; 60kg) once a day. The dose of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donafenib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was 200mg twice a day. The dose of anti-angiogenic drug bevacizumab was 15 mg/kg, injecting intravenously once every 3 weeks. PD-1, including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sintilimab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camrelizumab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and tislelizumab, was injected intravenously 200 mg once every 3 weeks. </w:t>
            </w:r>
          </w:p>
        </w:tc>
      </w:tr>
      <w:tr w:rsidR="00000000" w14:paraId="2D280A42" w14:textId="77777777" w:rsidTr="00253BBC">
        <w:trPr>
          <w:trHeight w:val="2955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14:paraId="0F4FBDAC" w14:textId="04B5EB9A" w:rsidR="00000000" w:rsidRDefault="0000000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Bai         </w:t>
            </w:r>
            <w:r w:rsidR="00253BBC">
              <w:rPr>
                <w:rFonts w:ascii="Times New Roman" w:hAnsi="Times New Roman" w:cs="Times New Roman" w:hint="eastAsia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2024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012C1EB2" w14:textId="77777777" w:rsidR="00000000" w:rsidRDefault="0000000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HAIC + Lenvatinib + ICI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14A2306A" w14:textId="77777777" w:rsidR="00000000" w:rsidRDefault="0000000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HAIC: MFOLFOX6 therapy was administered as follows: hepatic arterial administration delivered oxaliplatin at a dosage of 110 mg/m2; accompanied by intra-arterial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infusionof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5-FU at a dosage of 2.4g/m2 for 46 h. Lenvatinib was administered orally once per day, with a dosage of 8 or 12 mg (&lt; 60 kg, 8 mg/day; </w:t>
            </w:r>
            <w:r>
              <w:rPr>
                <w:rFonts w:ascii="Cambria Math" w:hAnsi="Cambria Math" w:cs="Times New Roman"/>
                <w:color w:val="000000"/>
                <w:sz w:val="22"/>
                <w:szCs w:val="22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60 kg, 12 mg/day) depending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br/>
              <w:t xml:space="preserve">on the patient’s body weight. PD-1 was intravenously injected every 3 weeks. The three PD-1s were as follows: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sintilizumab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200 mg, pembrolizumab 200 mg, or tislelizumab 200mg.</w:t>
            </w:r>
          </w:p>
        </w:tc>
      </w:tr>
      <w:tr w:rsidR="00000000" w14:paraId="29FD1087" w14:textId="77777777" w:rsidTr="00253BBC">
        <w:trPr>
          <w:trHeight w:val="90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14:paraId="741E4A59" w14:textId="77777777" w:rsidR="00000000" w:rsidRDefault="00000000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</w:rPr>
              <w:lastRenderedPageBreak/>
              <w:t>Zhang,WW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2023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49171BA6" w14:textId="77777777" w:rsidR="00000000" w:rsidRDefault="0000000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ICI + Lenvatinib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168C9356" w14:textId="77777777" w:rsidR="00000000" w:rsidRDefault="0000000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Pembrolizumab,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Nivolumab,Sintilimab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Toripalimab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, Tislelizumab, Each ICI inhibitors should be given according to the dosage and usage of the instructions. Lenvatinib: for patients weighing less than 60 kg, daily dose is 8mg, once daily, for patients weighing ≥ 60 kg, daily dose is 12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mg ,once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daily.</w:t>
            </w:r>
          </w:p>
        </w:tc>
      </w:tr>
      <w:tr w:rsidR="00000000" w14:paraId="04A7A38A" w14:textId="77777777" w:rsidTr="00253BBC">
        <w:trPr>
          <w:trHeight w:val="63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14:paraId="6C6FCD0D" w14:textId="77777777" w:rsidR="00000000" w:rsidRDefault="0000000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Wang       2023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181A6CE7" w14:textId="77777777" w:rsidR="00000000" w:rsidRDefault="00000000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Sintilimab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+ Lenvatinib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48D09317" w14:textId="77777777" w:rsidR="00000000" w:rsidRDefault="0000000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Sintilimab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200 mg q3w plus Lenvatinib 12 mg (body weight </w:t>
            </w:r>
            <w:r>
              <w:rPr>
                <w:rFonts w:cs="Times New Roman" w:hint="eastAsia"/>
                <w:color w:val="000000"/>
                <w:sz w:val="22"/>
                <w:szCs w:val="22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60 kg) or 8 mg (body weight &lt;60 kg) orally once daily.</w:t>
            </w:r>
          </w:p>
        </w:tc>
      </w:tr>
      <w:tr w:rsidR="00000000" w14:paraId="2C46E479" w14:textId="77777777" w:rsidTr="00253BBC">
        <w:trPr>
          <w:trHeight w:val="63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14:paraId="2E3991DE" w14:textId="77777777" w:rsidR="00000000" w:rsidRDefault="00000000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Shimose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    2023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719DB5FB" w14:textId="77777777" w:rsidR="00000000" w:rsidRDefault="0000000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Atezolizumab + Bevacizumab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4A5B5133" w14:textId="77777777" w:rsidR="00000000" w:rsidRDefault="0000000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1200 mg of Atezolizumab and 15 mg/kg of Bevacizumab intravenously every 3 weeks</w:t>
            </w:r>
          </w:p>
        </w:tc>
      </w:tr>
      <w:tr w:rsidR="00000000" w14:paraId="57DFE27E" w14:textId="77777777" w:rsidTr="00253BBC">
        <w:trPr>
          <w:trHeight w:val="945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14:paraId="36B7D2B8" w14:textId="77777777" w:rsidR="00000000" w:rsidRDefault="0000000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Liu               2023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451BB1BD" w14:textId="365BE77D" w:rsidR="00000000" w:rsidRDefault="00000000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Sintilimab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253BBC">
              <w:rPr>
                <w:rFonts w:ascii="Times New Roman" w:hAnsi="Times New Roman" w:cs="Times New Roman"/>
                <w:color w:val="000000"/>
              </w:rPr>
              <w:t>+ bevacizumab</w:t>
            </w:r>
            <w:r>
              <w:rPr>
                <w:rFonts w:ascii="Times New Roman" w:hAnsi="Times New Roman" w:cs="Times New Roman"/>
                <w:color w:val="000000"/>
              </w:rPr>
              <w:t xml:space="preserve"> biosimilar + HAIC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527E71C8" w14:textId="77777777" w:rsidR="00000000" w:rsidRDefault="0000000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sintilimab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(200 mg every 3 weeks), IBI305 (7.5 mg/kg every 3 weeks), and hepatic arterial infusion chemotherapy (HAIC, FOLFOX every 3 weeks)</w:t>
            </w:r>
          </w:p>
        </w:tc>
      </w:tr>
      <w:tr w:rsidR="00000000" w14:paraId="11878525" w14:textId="77777777" w:rsidTr="00253BBC">
        <w:trPr>
          <w:trHeight w:val="120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14:paraId="4300D7A3" w14:textId="58B75043" w:rsidR="00000000" w:rsidRDefault="00253BBC" w:rsidP="00253BBC">
            <w:pPr>
              <w:ind w:left="240" w:hangingChars="100" w:hanging="240"/>
              <w:rPr>
                <w:rFonts w:ascii="Times New Roman" w:hAnsi="Times New Roman" w:cs="Times New Roman" w:hint="eastAsia"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</w:rPr>
              <w:t>Chiang</w:t>
            </w:r>
            <w:r>
              <w:rPr>
                <w:rFonts w:ascii="Times New Roman" w:hAnsi="Times New Roman" w:cs="Times New Roman" w:hint="eastAsia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 xml:space="preserve"> 2023</w:t>
            </w:r>
            <w:proofErr w:type="gramEnd"/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125D5638" w14:textId="77777777" w:rsidR="00000000" w:rsidRDefault="0000000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TACE + SBRT + avelumab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21C15932" w14:textId="77777777" w:rsidR="00000000" w:rsidRDefault="0000000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TACE: The emulsion was prepared by mixing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iodised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oil with cisplatin (1 mg/mL) in a 1:1 ratio. SBRT: A radiation dose of 27.5–40.0 Gy in five fractions delivered daily was allowed per protocol. Patients received the first dose of intravenous avelumab (10 mg/kg) 14 days (plus or minus 3 days) after the completion of stereotactic body radiotherapy. Avelumab was then given every 2 weeks until the development of grade 3 or worse immune-related adverse events, disease progression, or withdrawal of consent. </w:t>
            </w:r>
          </w:p>
        </w:tc>
      </w:tr>
      <w:tr w:rsidR="00000000" w14:paraId="79146335" w14:textId="77777777" w:rsidTr="00253BBC">
        <w:trPr>
          <w:trHeight w:val="63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14:paraId="170B95D7" w14:textId="77777777" w:rsidR="00000000" w:rsidRDefault="0000000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Yi              2022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328011D4" w14:textId="77777777" w:rsidR="00000000" w:rsidRDefault="0000000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ICI + Lenvatinib 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7638B8BF" w14:textId="11D766E2" w:rsidR="00000000" w:rsidRDefault="0000000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ICI: 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camrelizumab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200 mg q2w,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sintilimab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200 </w:t>
            </w:r>
            <w:r w:rsidR="00253BB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mg, toripalimab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240 </w:t>
            </w:r>
            <w:r w:rsidR="00253BB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mg, pembrolizumab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200 mg, or tislelizumab 200 mg q3w. Lenvatinib: 12 mg orally in those weighing &gt; 60 kg or 8 mg once a day in those weighing &lt; 60 kg.  </w:t>
            </w:r>
          </w:p>
        </w:tc>
      </w:tr>
      <w:tr w:rsidR="00000000" w14:paraId="033597B5" w14:textId="77777777" w:rsidTr="00253BBC">
        <w:trPr>
          <w:trHeight w:val="120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14:paraId="1E2ED0C8" w14:textId="72AF3080" w:rsidR="00000000" w:rsidRDefault="0000000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Xu       </w:t>
            </w:r>
            <w:r w:rsidR="00253BBC">
              <w:rPr>
                <w:rFonts w:ascii="Times New Roman" w:hAnsi="Times New Roman" w:cs="Times New Roman" w:hint="eastAsia"/>
                <w:color w:val="000000"/>
              </w:rPr>
              <w:t xml:space="preserve">  </w:t>
            </w:r>
            <w:r>
              <w:rPr>
                <w:rFonts w:ascii="Times New Roman" w:hAnsi="Times New Roman" w:cs="Times New Roman"/>
                <w:color w:val="000000"/>
              </w:rPr>
              <w:t>2022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050C4B1F" w14:textId="77777777" w:rsidR="00000000" w:rsidRDefault="0000000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ICI + Lenvatinib 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43AA9C29" w14:textId="0F95E20B" w:rsidR="00000000" w:rsidRDefault="0000000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All patients received combination therapy with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lenvatinib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(8mg/day, orally) plus an anti-PD-1 antibody. The interval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br/>
              <w:t xml:space="preserve">between initiation of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lenvatinib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and an anti-PD-1 antibody was within one week. One of the following anti-PD-1 antibodies was intravenously administered: nivolumab 3 mg/</w:t>
            </w:r>
            <w:r w:rsidR="00253BB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kg,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or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camrelizumab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200 mg every 2 weeks; or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br/>
              <w:t xml:space="preserve">pembrolizumab 200 mg,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sintilimab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200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mg,toripalimab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240 mg, or tislelizumab 200 mg every 3weeks.</w:t>
            </w:r>
          </w:p>
        </w:tc>
      </w:tr>
      <w:tr w:rsidR="00000000" w14:paraId="1C331EC2" w14:textId="77777777" w:rsidTr="00253BBC">
        <w:trPr>
          <w:trHeight w:val="180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14:paraId="3A09A0D1" w14:textId="77777777" w:rsidR="00000000" w:rsidRDefault="0000000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Lin              2022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1E6B5642" w14:textId="319823BF" w:rsidR="00000000" w:rsidRDefault="0000000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ICI + TKI/molecular targeted </w:t>
            </w:r>
            <w:r w:rsidR="00253BBC">
              <w:rPr>
                <w:rFonts w:ascii="Times New Roman" w:hAnsi="Times New Roman" w:cs="Times New Roman"/>
                <w:color w:val="000000"/>
              </w:rPr>
              <w:t xml:space="preserve">therapy </w:t>
            </w:r>
            <w:proofErr w:type="gramStart"/>
            <w:r w:rsidR="00253BBC">
              <w:rPr>
                <w:rFonts w:ascii="Times New Roman" w:hAnsi="Times New Roman" w:cs="Times New Roman"/>
                <w:color w:val="000000"/>
              </w:rPr>
              <w:t>+</w:t>
            </w:r>
            <w:r>
              <w:rPr>
                <w:rFonts w:ascii="Times New Roman" w:hAnsi="Times New Roman" w:cs="Times New Roman"/>
                <w:color w:val="000000"/>
              </w:rPr>
              <w:t xml:space="preserve">  HAIC</w:t>
            </w:r>
            <w:proofErr w:type="gramEnd"/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16D8F4C6" w14:textId="13027B68" w:rsidR="00000000" w:rsidRDefault="0000000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ICI: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Sintilimab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and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camrelizumab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usage: 200 mg q3w. TKI</w:t>
            </w:r>
            <w:r w:rsidR="00253BB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: The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dosage of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lenvatinib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was: 8 mg (body weight &lt;60 kg) or 12 mg (body weight ³60 kg), orally, once a day. Sorafenib usage: 0.4 g orally, once a day.                                                                                                                                        1200 mg of Atezolizumab and 15 mg/kg of Bevacizumab intravenously every 3 weeks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br/>
              <w:t>HAIC with FOLFOX regimen: oxaliplatin 85 mg/m 2 intra-arterial infusion for 2 hours, leucovorin 400 mg/m 2 intravenous infusion for 1 hour, combined with 5-fluorouracil 400 mg/m 2 intra-arterial infusion for 1 hour, 5-fluorouracil 2400 mg/m 2 intra-arterial infusion for 23 hours, repeated every 3 weeks.</w:t>
            </w:r>
          </w:p>
        </w:tc>
      </w:tr>
      <w:tr w:rsidR="00000000" w14:paraId="00B1C01C" w14:textId="77777777" w:rsidTr="00253BBC">
        <w:trPr>
          <w:trHeight w:val="1200"/>
          <w:jc w:val="center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02FAF3F" w14:textId="6DD47AB4" w:rsidR="00000000" w:rsidRDefault="0000000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 xml:space="preserve">Chen    </w:t>
            </w:r>
            <w:r w:rsidR="00253BBC">
              <w:rPr>
                <w:rFonts w:ascii="Times New Roman" w:hAnsi="Times New Roman" w:cs="Times New Roman" w:hint="eastAsia"/>
                <w:color w:val="000000"/>
              </w:rPr>
              <w:t xml:space="preserve">  </w:t>
            </w:r>
            <w:r>
              <w:rPr>
                <w:rFonts w:ascii="Times New Roman" w:hAnsi="Times New Roman" w:cs="Times New Roman"/>
                <w:color w:val="000000"/>
              </w:rPr>
              <w:t>2022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062FB9F" w14:textId="77777777" w:rsidR="00000000" w:rsidRDefault="0000000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Pembrolizumab + Lenvatinib + TACE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05BE6CB" w14:textId="08343001" w:rsidR="00000000" w:rsidRDefault="0000000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Pembrolizumab 200 mg q3w. Lenvatinib was administered orally at 8 mg/day, regardless of body weight.                              TACE: Embolization was initially conducted using different diameter microspheres or drug-eluting beads, and the trunk was ultimately embolized with an absorbable gelatine sponge until the bleeding stopped. Pharmorubicin was used as </w:t>
            </w:r>
            <w:r w:rsidR="00253BB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chemotherapy drug. The TACE process was repeated if the lesion reduction was less than 50% of the baseline. </w:t>
            </w:r>
          </w:p>
        </w:tc>
      </w:tr>
      <w:tr w:rsidR="00000000" w14:paraId="51C07682" w14:textId="77777777" w:rsidTr="00253BBC">
        <w:trPr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14:paraId="3E2394CA" w14:textId="77777777" w:rsidR="00000000" w:rsidRDefault="0000000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60FE013" w14:textId="77777777" w:rsidR="0000000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A142446" w14:textId="77777777" w:rsidR="0000000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5F8F3456" w14:textId="77777777" w:rsidR="00666B7D" w:rsidRDefault="00666B7D"/>
    <w:sectPr w:rsidR="00666B7D" w:rsidSect="00253BBC">
      <w:pgSz w:w="16838" w:h="11906" w:orient="landscape"/>
      <w:pgMar w:top="1800" w:right="1440" w:bottom="1800" w:left="1440" w:header="851" w:footer="992" w:gutter="0"/>
      <w:cols w:space="425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420"/>
  <w:noPunctuationKerning/>
  <w:characterSpacingControl w:val="doNotCompress"/>
  <w:compat>
    <w:doNotSnapToGridInCell/>
    <w:doNotWrapTextWithPunct/>
    <w:doNotUseEastAsianBreakRules/>
    <w:growAutofit/>
    <w:useFELayou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BBC"/>
    <w:rsid w:val="00253BBC"/>
    <w:rsid w:val="00666B7D"/>
    <w:rsid w:val="00D67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EFC187F"/>
  <w15:chartTrackingRefBased/>
  <w15:docId w15:val="{56D75C31-E5A3-4303-8F1E-C4EFA99D6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宋体" w:eastAsia="宋体" w:hAnsi="宋体" w:cs="宋体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customStyle="1" w:styleId="font515046">
    <w:name w:val="font515046"/>
    <w:basedOn w:val="a"/>
    <w:pPr>
      <w:spacing w:before="100" w:beforeAutospacing="1" w:after="100" w:afterAutospacing="1"/>
    </w:pPr>
    <w:rPr>
      <w:rFonts w:ascii="Times New Roman" w:hAnsi="Times New Roman" w:cs="Times New Roman"/>
      <w:color w:val="000000"/>
      <w:sz w:val="22"/>
      <w:szCs w:val="22"/>
    </w:rPr>
  </w:style>
  <w:style w:type="paragraph" w:customStyle="1" w:styleId="font615046">
    <w:name w:val="font615046"/>
    <w:basedOn w:val="a"/>
    <w:pPr>
      <w:spacing w:before="100" w:beforeAutospacing="1" w:after="100" w:afterAutospacing="1"/>
    </w:pPr>
    <w:rPr>
      <w:rFonts w:ascii="Cambria Math" w:hAnsi="Cambria Math"/>
      <w:color w:val="000000"/>
      <w:sz w:val="22"/>
      <w:szCs w:val="22"/>
    </w:rPr>
  </w:style>
  <w:style w:type="paragraph" w:customStyle="1" w:styleId="font715046">
    <w:name w:val="font715046"/>
    <w:basedOn w:val="a"/>
    <w:pPr>
      <w:spacing w:before="100" w:beforeAutospacing="1" w:after="100" w:afterAutospacing="1"/>
    </w:pPr>
    <w:rPr>
      <w:color w:val="000000"/>
      <w:sz w:val="22"/>
      <w:szCs w:val="22"/>
    </w:rPr>
  </w:style>
  <w:style w:type="paragraph" w:customStyle="1" w:styleId="xl6515046">
    <w:name w:val="xl6515046"/>
    <w:basedOn w:val="a"/>
    <w:pPr>
      <w:spacing w:before="100" w:beforeAutospacing="1" w:after="100" w:afterAutospacing="1"/>
      <w:textAlignment w:val="bottom"/>
    </w:pPr>
    <w:rPr>
      <w:rFonts w:ascii="Times New Roman" w:hAnsi="Times New Roman" w:cs="Times New Roman"/>
      <w:color w:val="000000"/>
      <w:sz w:val="22"/>
      <w:szCs w:val="22"/>
    </w:rPr>
  </w:style>
  <w:style w:type="paragraph" w:customStyle="1" w:styleId="xl6615046">
    <w:name w:val="xl6615046"/>
    <w:basedOn w:val="a"/>
    <w:pPr>
      <w:spacing w:before="100" w:beforeAutospacing="1" w:after="100" w:afterAutospacing="1"/>
      <w:textAlignment w:val="bottom"/>
    </w:pPr>
    <w:rPr>
      <w:rFonts w:ascii="Times New Roman" w:hAnsi="Times New Roman" w:cs="Times New Roman"/>
      <w:color w:val="000000"/>
      <w:sz w:val="22"/>
      <w:szCs w:val="22"/>
    </w:rPr>
  </w:style>
  <w:style w:type="paragraph" w:customStyle="1" w:styleId="xl6715046">
    <w:name w:val="xl6715046"/>
    <w:basedOn w:val="a"/>
    <w:pPr>
      <w:pBdr>
        <w:top w:val="single" w:sz="4" w:space="1" w:color="auto"/>
        <w:bottom w:val="single" w:sz="4" w:space="0" w:color="auto"/>
      </w:pBdr>
      <w:spacing w:before="100" w:beforeAutospacing="1" w:after="100" w:afterAutospacing="1"/>
      <w:textAlignment w:val="bottom"/>
    </w:pPr>
    <w:rPr>
      <w:rFonts w:ascii="Times New Roman" w:hAnsi="Times New Roman" w:cs="Times New Roman"/>
      <w:color w:val="000000"/>
    </w:rPr>
  </w:style>
  <w:style w:type="paragraph" w:customStyle="1" w:styleId="xl6815046">
    <w:name w:val="xl6815046"/>
    <w:basedOn w:val="a"/>
    <w:pPr>
      <w:pBdr>
        <w:top w:val="single" w:sz="4" w:space="1" w:color="auto"/>
        <w:bottom w:val="single" w:sz="4" w:space="0" w:color="auto"/>
      </w:pBdr>
      <w:spacing w:before="100" w:beforeAutospacing="1" w:after="100" w:afterAutospacing="1"/>
      <w:textAlignment w:val="bottom"/>
    </w:pPr>
    <w:rPr>
      <w:rFonts w:ascii="Times New Roman" w:hAnsi="Times New Roman" w:cs="Times New Roman"/>
      <w:color w:val="000000"/>
      <w:sz w:val="22"/>
      <w:szCs w:val="22"/>
    </w:rPr>
  </w:style>
  <w:style w:type="paragraph" w:customStyle="1" w:styleId="xl6915046">
    <w:name w:val="xl6915046"/>
    <w:basedOn w:val="a"/>
    <w:pPr>
      <w:spacing w:before="100" w:beforeAutospacing="1" w:after="100" w:afterAutospacing="1"/>
      <w:textAlignment w:val="bottom"/>
    </w:pPr>
    <w:rPr>
      <w:rFonts w:ascii="Times New Roman" w:hAnsi="Times New Roman" w:cs="Times New Roman"/>
      <w:color w:val="000000"/>
    </w:rPr>
  </w:style>
  <w:style w:type="paragraph" w:customStyle="1" w:styleId="xl7015046">
    <w:name w:val="xl7015046"/>
    <w:basedOn w:val="a"/>
    <w:pPr>
      <w:pBdr>
        <w:bottom w:val="single" w:sz="4" w:space="0" w:color="auto"/>
      </w:pBdr>
      <w:spacing w:before="100" w:beforeAutospacing="1" w:after="100" w:afterAutospacing="1"/>
      <w:textAlignment w:val="bottom"/>
    </w:pPr>
    <w:rPr>
      <w:rFonts w:ascii="Times New Roman" w:hAnsi="Times New Roman" w:cs="Times New Roman"/>
      <w:color w:val="000000"/>
    </w:rPr>
  </w:style>
  <w:style w:type="paragraph" w:customStyle="1" w:styleId="xl7115046">
    <w:name w:val="xl7115046"/>
    <w:basedOn w:val="a"/>
    <w:pPr>
      <w:pBdr>
        <w:bottom w:val="single" w:sz="4" w:space="0" w:color="auto"/>
      </w:pBdr>
      <w:spacing w:before="100" w:beforeAutospacing="1" w:after="100" w:afterAutospacing="1"/>
      <w:textAlignment w:val="bottom"/>
    </w:pPr>
    <w:rPr>
      <w:rFonts w:ascii="Times New Roman" w:hAnsi="Times New Roman" w:cs="Times New Roman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11</Pages>
  <Words>3461</Words>
  <Characters>18384</Characters>
  <Application>Microsoft Office Word</Application>
  <DocSecurity>0</DocSecurity>
  <Lines>360</Lines>
  <Paragraphs>152</Paragraphs>
  <ScaleCrop>false</ScaleCrop>
  <Company/>
  <LinksUpToDate>false</LinksUpToDate>
  <CharactersWithSpaces>21693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凌波 胡</dc:creator>
  <cp:keywords/>
  <dc:description/>
  <cp:lastModifiedBy>凌波 胡</cp:lastModifiedBy>
  <cp:revision>2</cp:revision>
  <dcterms:created xsi:type="dcterms:W3CDTF">2025-06-28T12:09:00Z</dcterms:created>
  <dcterms:modified xsi:type="dcterms:W3CDTF">2025-06-28T12:09:00Z</dcterms:modified>
</cp:coreProperties>
</file>