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439F" w14:textId="77777777" w:rsidR="00481453" w:rsidRPr="004C21B3" w:rsidRDefault="00481453" w:rsidP="0048145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21B3">
        <w:rPr>
          <w:rFonts w:ascii="Times New Roman" w:hAnsi="Times New Roman" w:cs="Times New Roman"/>
          <w:b/>
          <w:bCs/>
          <w:sz w:val="24"/>
          <w:szCs w:val="24"/>
        </w:rPr>
        <w:t>Highlights</w:t>
      </w:r>
    </w:p>
    <w:p w14:paraId="5882F96F" w14:textId="77777777" w:rsidR="00481453" w:rsidRPr="004C21B3" w:rsidRDefault="00481453" w:rsidP="004814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1B3">
        <w:rPr>
          <w:rFonts w:ascii="Times New Roman" w:hAnsi="Times New Roman" w:cs="Times New Roman"/>
          <w:sz w:val="24"/>
          <w:szCs w:val="24"/>
        </w:rPr>
        <w:t>• In prostate cancer, EGCG inhibits the growth of prostate cancer cells and reduces oxidative stress.</w:t>
      </w:r>
    </w:p>
    <w:p w14:paraId="33A80CE3" w14:textId="77777777" w:rsidR="00481453" w:rsidRPr="004C21B3" w:rsidRDefault="00481453" w:rsidP="004814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1B3">
        <w:rPr>
          <w:rFonts w:ascii="Times New Roman" w:hAnsi="Times New Roman" w:cs="Times New Roman"/>
          <w:sz w:val="24"/>
          <w:szCs w:val="24"/>
        </w:rPr>
        <w:t>• EGCG affects signaling pathways such as NF-κB, MAPK and mTOR, which regulate cellular proliferation and survival.</w:t>
      </w:r>
    </w:p>
    <w:p w14:paraId="51033A14" w14:textId="07F8E5BB" w:rsidR="00481453" w:rsidRPr="004C21B3" w:rsidRDefault="00481453" w:rsidP="004814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1B3">
        <w:rPr>
          <w:rFonts w:ascii="Times New Roman" w:hAnsi="Times New Roman" w:cs="Times New Roman"/>
          <w:sz w:val="24"/>
          <w:szCs w:val="24"/>
        </w:rPr>
        <w:t>• EGCG suppresses AR signaling, which plays a role in prostate cancer development.</w:t>
      </w:r>
    </w:p>
    <w:p w14:paraId="03D7F466" w14:textId="77777777" w:rsidR="00481453" w:rsidRPr="004C21B3" w:rsidRDefault="00481453" w:rsidP="004814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1B3">
        <w:rPr>
          <w:rFonts w:ascii="Times New Roman" w:hAnsi="Times New Roman" w:cs="Times New Roman"/>
          <w:sz w:val="24"/>
          <w:szCs w:val="24"/>
        </w:rPr>
        <w:t>• EGCG reduces DNA damage and cellular stress response thanks to its antioxidant properties.</w:t>
      </w:r>
    </w:p>
    <w:p w14:paraId="44343F11" w14:textId="77777777" w:rsidR="00481453" w:rsidRDefault="00481453"/>
    <w:sectPr w:rsidR="00481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453"/>
    <w:rsid w:val="002B2DEE"/>
    <w:rsid w:val="003B56F1"/>
    <w:rsid w:val="00453495"/>
    <w:rsid w:val="0048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3EDCC"/>
  <w15:chartTrackingRefBased/>
  <w15:docId w15:val="{A64BC7AA-2F4F-482A-BAA1-B1F2D3BE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53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4814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814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814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14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14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8145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8145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8145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8145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81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81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81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145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8145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8145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8145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8145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8145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81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81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8145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81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8145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48145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81453"/>
    <w:pPr>
      <w:spacing w:line="278" w:lineRule="auto"/>
      <w:ind w:left="720"/>
      <w:contextualSpacing/>
    </w:pPr>
    <w:rPr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48145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81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48145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814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Nevin ŞANLIER</dc:creator>
  <cp:keywords/>
  <dc:description/>
  <cp:lastModifiedBy>Nevin ŞANLIER</cp:lastModifiedBy>
  <cp:revision>2</cp:revision>
  <dcterms:created xsi:type="dcterms:W3CDTF">2025-03-30T19:48:00Z</dcterms:created>
  <dcterms:modified xsi:type="dcterms:W3CDTF">2025-08-17T04:57:00Z</dcterms:modified>
</cp:coreProperties>
</file>