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8FC8" w14:textId="754F0403" w:rsidR="00115BD5" w:rsidRDefault="007C3C4C" w:rsidP="001175B9">
      <w:pPr>
        <w:jc w:val="center"/>
        <w:rPr>
          <w:rFonts w:cstheme="minorHAnsi"/>
          <w:b/>
          <w:sz w:val="36"/>
          <w:szCs w:val="32"/>
          <w:lang w:val="en-GB"/>
        </w:rPr>
      </w:pPr>
      <w:r w:rsidRPr="007C3C4C">
        <w:rPr>
          <w:rFonts w:cstheme="minorHAnsi"/>
          <w:b/>
          <w:sz w:val="36"/>
          <w:szCs w:val="32"/>
          <w:lang w:val="en-GB"/>
        </w:rPr>
        <w:t>Supplementary Material</w:t>
      </w:r>
    </w:p>
    <w:p w14:paraId="736D5DE6" w14:textId="4C5DC34F" w:rsidR="005D7807" w:rsidRPr="000220F2" w:rsidRDefault="000538EE" w:rsidP="001175B9">
      <w:pPr>
        <w:jc w:val="center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noProof/>
          <w:sz w:val="36"/>
          <w:szCs w:val="32"/>
          <w:lang w:val="en-GB"/>
        </w:rPr>
        <w:drawing>
          <wp:inline distT="0" distB="0" distL="0" distR="0" wp14:anchorId="472F0B8D" wp14:editId="441A9ADF">
            <wp:extent cx="5760720" cy="3561080"/>
            <wp:effectExtent l="0" t="0" r="0" b="1270"/>
            <wp:docPr id="1025539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5CE20" w14:textId="321E17DF" w:rsidR="005D7807" w:rsidRDefault="000220F2" w:rsidP="000220F2">
      <w:pPr>
        <w:spacing w:line="276" w:lineRule="auto"/>
        <w:jc w:val="both"/>
        <w:rPr>
          <w:rFonts w:cstheme="minorHAnsi"/>
          <w:bCs/>
          <w:sz w:val="24"/>
          <w:szCs w:val="24"/>
          <w:lang w:val="en-GB"/>
        </w:rPr>
      </w:pPr>
      <w:r w:rsidRPr="000220F2">
        <w:rPr>
          <w:rFonts w:cstheme="minorHAnsi"/>
          <w:b/>
          <w:sz w:val="24"/>
          <w:szCs w:val="24"/>
          <w:lang w:val="en-GB"/>
        </w:rPr>
        <w:t>Supplementary figure S1.</w:t>
      </w:r>
      <w:r>
        <w:rPr>
          <w:rFonts w:cstheme="minorHAnsi"/>
          <w:bCs/>
          <w:sz w:val="24"/>
          <w:szCs w:val="24"/>
          <w:lang w:val="en-GB"/>
        </w:rPr>
        <w:t xml:space="preserve"> </w:t>
      </w:r>
      <w:r w:rsidRPr="000220F2">
        <w:rPr>
          <w:rFonts w:cstheme="minorHAnsi"/>
          <w:bCs/>
          <w:sz w:val="24"/>
          <w:szCs w:val="24"/>
          <w:lang w:val="en-GB"/>
        </w:rPr>
        <w:t xml:space="preserve">Gating strategy. After </w:t>
      </w:r>
      <w:r>
        <w:rPr>
          <w:rFonts w:cstheme="minorHAnsi"/>
          <w:bCs/>
          <w:sz w:val="24"/>
          <w:szCs w:val="24"/>
          <w:lang w:val="en-GB"/>
        </w:rPr>
        <w:t>IR</w:t>
      </w:r>
      <w:r w:rsidRPr="000220F2">
        <w:rPr>
          <w:rFonts w:cstheme="minorHAnsi"/>
          <w:bCs/>
          <w:sz w:val="24"/>
          <w:szCs w:val="24"/>
          <w:lang w:val="en-GB"/>
        </w:rPr>
        <w:t xml:space="preserve"> experiments were performed, single cells were isolated from debris (SSC-A vs FSC-A) and doublets (FSC-H vs FSC-A). After gating of live and dead cells (</w:t>
      </w:r>
      <w:proofErr w:type="spellStart"/>
      <w:r w:rsidRPr="000220F2">
        <w:rPr>
          <w:rFonts w:cstheme="minorHAnsi"/>
          <w:bCs/>
          <w:sz w:val="24"/>
          <w:szCs w:val="24"/>
          <w:lang w:val="en-GB"/>
        </w:rPr>
        <w:t>e</w:t>
      </w:r>
      <w:r>
        <w:rPr>
          <w:rFonts w:cstheme="minorHAnsi"/>
          <w:bCs/>
          <w:sz w:val="24"/>
          <w:szCs w:val="24"/>
          <w:lang w:val="en-GB"/>
        </w:rPr>
        <w:t>F</w:t>
      </w:r>
      <w:r w:rsidRPr="000220F2">
        <w:rPr>
          <w:rFonts w:cstheme="minorHAnsi"/>
          <w:bCs/>
          <w:sz w:val="24"/>
          <w:szCs w:val="24"/>
          <w:lang w:val="en-GB"/>
        </w:rPr>
        <w:t>luor</w:t>
      </w:r>
      <w:proofErr w:type="spellEnd"/>
      <w:r w:rsidRPr="000220F2">
        <w:rPr>
          <w:rFonts w:cstheme="minorHAnsi"/>
          <w:bCs/>
          <w:sz w:val="24"/>
          <w:szCs w:val="24"/>
          <w:lang w:val="en-GB"/>
        </w:rPr>
        <w:t xml:space="preserve"> 780; APC-Cy7-A vs Annexin V), cells that express</w:t>
      </w:r>
      <w:r>
        <w:rPr>
          <w:rFonts w:cstheme="minorHAnsi"/>
          <w:bCs/>
          <w:sz w:val="24"/>
          <w:szCs w:val="24"/>
          <w:lang w:val="en-GB"/>
        </w:rPr>
        <w:t xml:space="preserve"> Calreticulin (CRT)</w:t>
      </w:r>
      <w:r w:rsidR="008F5C00">
        <w:rPr>
          <w:rFonts w:cstheme="minorHAnsi"/>
          <w:bCs/>
          <w:sz w:val="24"/>
          <w:szCs w:val="24"/>
          <w:lang w:val="en-GB"/>
        </w:rPr>
        <w:t>,</w:t>
      </w:r>
      <w:r w:rsidRPr="000220F2">
        <w:rPr>
          <w:rFonts w:cstheme="minorHAnsi"/>
          <w:bCs/>
          <w:sz w:val="24"/>
          <w:szCs w:val="24"/>
          <w:lang w:val="en-GB"/>
        </w:rPr>
        <w:t xml:space="preserve"> MHC I, MHC II, and PD-L1 were identified. Percentages shown are derived from the proportion of cells positive for each marker. A total of 100,000 events were collected. SSC-A, side-scatter area; FSC-A, forward-scatter area; FSC-H, forward-scatter height.</w:t>
      </w:r>
    </w:p>
    <w:p w14:paraId="369C6600" w14:textId="77777777" w:rsidR="00B91F22" w:rsidRPr="000220F2" w:rsidRDefault="00B91F22" w:rsidP="000220F2">
      <w:pPr>
        <w:spacing w:line="276" w:lineRule="auto"/>
        <w:jc w:val="both"/>
        <w:rPr>
          <w:rFonts w:cstheme="minorHAnsi"/>
          <w:bCs/>
          <w:sz w:val="24"/>
          <w:szCs w:val="24"/>
          <w:lang w:val="en-GB"/>
        </w:rPr>
      </w:pPr>
    </w:p>
    <w:p w14:paraId="0DCDE720" w14:textId="77777777" w:rsidR="005E656E" w:rsidRPr="00115BD5" w:rsidRDefault="005E656E" w:rsidP="005E656E">
      <w:pPr>
        <w:keepNext/>
        <w:jc w:val="center"/>
        <w:rPr>
          <w:rFonts w:cstheme="minorHAnsi"/>
        </w:rPr>
      </w:pPr>
      <w:r w:rsidRPr="00115BD5">
        <w:rPr>
          <w:rFonts w:cstheme="minorHAnsi"/>
          <w:noProof/>
        </w:rPr>
        <w:lastRenderedPageBreak/>
        <w:drawing>
          <wp:inline distT="0" distB="0" distL="0" distR="0" wp14:anchorId="3D69CE62" wp14:editId="3E13F828">
            <wp:extent cx="4391025" cy="4975860"/>
            <wp:effectExtent l="0" t="0" r="0" b="0"/>
            <wp:docPr id="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87052" w14:textId="46F62154" w:rsidR="005E656E" w:rsidRPr="00115BD5" w:rsidRDefault="001175B9" w:rsidP="005E656E">
      <w:pPr>
        <w:pStyle w:val="Caption"/>
        <w:rPr>
          <w:rFonts w:asciiTheme="minorHAnsi" w:hAnsiTheme="minorHAnsi" w:cstheme="minorHAnsi"/>
          <w:b w:val="0"/>
          <w:lang w:val="en-GB"/>
        </w:rPr>
      </w:pPr>
      <w:r w:rsidRPr="00115BD5">
        <w:rPr>
          <w:rFonts w:asciiTheme="minorHAnsi" w:hAnsiTheme="minorHAnsi" w:cstheme="minorHAnsi"/>
          <w:bCs/>
          <w:lang w:val="en-GB"/>
        </w:rPr>
        <w:t>Supplementary f</w:t>
      </w:r>
      <w:proofErr w:type="spellStart"/>
      <w:r w:rsidR="005E656E" w:rsidRPr="00115BD5">
        <w:rPr>
          <w:rFonts w:asciiTheme="minorHAnsi" w:hAnsiTheme="minorHAnsi" w:cstheme="minorHAnsi"/>
        </w:rPr>
        <w:t>igure</w:t>
      </w:r>
      <w:proofErr w:type="spellEnd"/>
      <w:r w:rsidR="005E656E" w:rsidRPr="00115BD5">
        <w:rPr>
          <w:rFonts w:asciiTheme="minorHAnsi" w:hAnsiTheme="minorHAnsi" w:cstheme="minorHAnsi"/>
        </w:rPr>
        <w:t xml:space="preserve"> S</w:t>
      </w:r>
      <w:r w:rsidR="002207AD">
        <w:rPr>
          <w:rFonts w:asciiTheme="minorHAnsi" w:hAnsiTheme="minorHAnsi" w:cstheme="minorHAnsi"/>
        </w:rPr>
        <w:t>2</w:t>
      </w:r>
      <w:r w:rsidR="005E656E" w:rsidRPr="00115BD5">
        <w:rPr>
          <w:rFonts w:asciiTheme="minorHAnsi" w:hAnsiTheme="minorHAnsi" w:cstheme="minorHAnsi"/>
        </w:rPr>
        <w:t xml:space="preserve">. </w:t>
      </w:r>
      <w:r w:rsidR="005E656E" w:rsidRPr="00115BD5">
        <w:rPr>
          <w:rFonts w:asciiTheme="minorHAnsi" w:hAnsiTheme="minorHAnsi" w:cstheme="minorHAnsi"/>
          <w:b w:val="0"/>
          <w:lang w:val="en-GB"/>
        </w:rPr>
        <w:t>Cell viability after IR with IC</w:t>
      </w:r>
      <w:r w:rsidR="005E656E" w:rsidRPr="00115BD5">
        <w:rPr>
          <w:rFonts w:asciiTheme="minorHAnsi" w:hAnsiTheme="minorHAnsi" w:cstheme="minorHAnsi"/>
          <w:b w:val="0"/>
          <w:vertAlign w:val="subscript"/>
          <w:lang w:val="en-GB"/>
        </w:rPr>
        <w:t>30</w:t>
      </w:r>
      <w:r w:rsidR="005E656E" w:rsidRPr="00115BD5">
        <w:rPr>
          <w:rFonts w:asciiTheme="minorHAnsi" w:hAnsiTheme="minorHAnsi" w:cstheme="minorHAnsi"/>
          <w:b w:val="0"/>
          <w:lang w:val="en-GB"/>
        </w:rPr>
        <w:t>, IC</w:t>
      </w:r>
      <w:r w:rsidR="005E656E" w:rsidRPr="00115BD5">
        <w:rPr>
          <w:rFonts w:asciiTheme="minorHAnsi" w:hAnsiTheme="minorHAnsi" w:cstheme="minorHAnsi"/>
          <w:b w:val="0"/>
          <w:vertAlign w:val="subscript"/>
          <w:lang w:val="en-GB"/>
        </w:rPr>
        <w:t>50</w:t>
      </w:r>
      <w:r w:rsidR="005E656E" w:rsidRPr="00115BD5">
        <w:rPr>
          <w:rFonts w:asciiTheme="minorHAnsi" w:hAnsiTheme="minorHAnsi" w:cstheme="minorHAnsi"/>
          <w:b w:val="0"/>
          <w:lang w:val="en-GB"/>
        </w:rPr>
        <w:t>, and IC</w:t>
      </w:r>
      <w:r w:rsidR="005E656E" w:rsidRPr="00115BD5">
        <w:rPr>
          <w:rFonts w:asciiTheme="minorHAnsi" w:hAnsiTheme="minorHAnsi" w:cstheme="minorHAnsi"/>
          <w:b w:val="0"/>
          <w:vertAlign w:val="subscript"/>
          <w:lang w:val="en-GB"/>
        </w:rPr>
        <w:t xml:space="preserve">70 </w:t>
      </w:r>
      <w:r w:rsidR="005E656E" w:rsidRPr="00115BD5">
        <w:rPr>
          <w:rFonts w:asciiTheme="minorHAnsi" w:hAnsiTheme="minorHAnsi" w:cstheme="minorHAnsi"/>
          <w:b w:val="0"/>
          <w:lang w:val="en-GB"/>
        </w:rPr>
        <w:t>doses. Cell viability in the B16-F10 cell line (</w:t>
      </w:r>
      <w:r w:rsidR="005E656E" w:rsidRPr="00115BD5">
        <w:rPr>
          <w:rFonts w:asciiTheme="minorHAnsi" w:hAnsiTheme="minorHAnsi" w:cstheme="minorHAnsi"/>
          <w:lang w:val="en-GB"/>
        </w:rPr>
        <w:t>A</w:t>
      </w:r>
      <w:r w:rsidR="005E656E" w:rsidRPr="00115BD5">
        <w:rPr>
          <w:rFonts w:asciiTheme="minorHAnsi" w:hAnsiTheme="minorHAnsi" w:cstheme="minorHAnsi"/>
          <w:b w:val="0"/>
          <w:lang w:val="en-GB"/>
        </w:rPr>
        <w:t>) 24 h and (</w:t>
      </w:r>
      <w:r w:rsidR="005E656E" w:rsidRPr="00115BD5">
        <w:rPr>
          <w:rFonts w:asciiTheme="minorHAnsi" w:hAnsiTheme="minorHAnsi" w:cstheme="minorHAnsi"/>
          <w:lang w:val="en-GB"/>
        </w:rPr>
        <w:t>B</w:t>
      </w:r>
      <w:r w:rsidR="005E656E" w:rsidRPr="00115BD5">
        <w:rPr>
          <w:rFonts w:asciiTheme="minorHAnsi" w:hAnsiTheme="minorHAnsi" w:cstheme="minorHAnsi"/>
          <w:b w:val="0"/>
          <w:lang w:val="en-GB"/>
        </w:rPr>
        <w:t>) 48 h after IR. Cell viability in the 4T1 cell line (</w:t>
      </w:r>
      <w:r w:rsidR="005E656E" w:rsidRPr="00115BD5">
        <w:rPr>
          <w:rFonts w:asciiTheme="minorHAnsi" w:hAnsiTheme="minorHAnsi" w:cstheme="minorHAnsi"/>
          <w:lang w:val="en-GB"/>
        </w:rPr>
        <w:t>C</w:t>
      </w:r>
      <w:r w:rsidR="005E656E" w:rsidRPr="00115BD5">
        <w:rPr>
          <w:rFonts w:asciiTheme="minorHAnsi" w:hAnsiTheme="minorHAnsi" w:cstheme="minorHAnsi"/>
          <w:b w:val="0"/>
          <w:lang w:val="en-GB"/>
        </w:rPr>
        <w:t>) 24 h and (</w:t>
      </w:r>
      <w:r w:rsidR="005E656E" w:rsidRPr="00115BD5">
        <w:rPr>
          <w:rFonts w:asciiTheme="minorHAnsi" w:hAnsiTheme="minorHAnsi" w:cstheme="minorHAnsi"/>
          <w:lang w:val="en-GB"/>
        </w:rPr>
        <w:t>D</w:t>
      </w:r>
      <w:r w:rsidR="005E656E" w:rsidRPr="00115BD5">
        <w:rPr>
          <w:rFonts w:asciiTheme="minorHAnsi" w:hAnsiTheme="minorHAnsi" w:cstheme="minorHAnsi"/>
          <w:b w:val="0"/>
          <w:lang w:val="en-GB"/>
        </w:rPr>
        <w:t>) 48 h after IR. Cell viability in the CT26 cell line (</w:t>
      </w:r>
      <w:r w:rsidR="005E656E" w:rsidRPr="00115BD5">
        <w:rPr>
          <w:rFonts w:asciiTheme="minorHAnsi" w:hAnsiTheme="minorHAnsi" w:cstheme="minorHAnsi"/>
          <w:lang w:val="en-GB"/>
        </w:rPr>
        <w:t>E</w:t>
      </w:r>
      <w:r w:rsidR="005E656E" w:rsidRPr="00115BD5">
        <w:rPr>
          <w:rFonts w:asciiTheme="minorHAnsi" w:hAnsiTheme="minorHAnsi" w:cstheme="minorHAnsi"/>
          <w:b w:val="0"/>
          <w:lang w:val="en-GB"/>
        </w:rPr>
        <w:t>) 24 h and (</w:t>
      </w:r>
      <w:r w:rsidR="005E656E" w:rsidRPr="00115BD5">
        <w:rPr>
          <w:rFonts w:asciiTheme="minorHAnsi" w:hAnsiTheme="minorHAnsi" w:cstheme="minorHAnsi"/>
          <w:lang w:val="en-GB"/>
        </w:rPr>
        <w:t>F</w:t>
      </w:r>
      <w:r w:rsidR="005E656E" w:rsidRPr="00115BD5">
        <w:rPr>
          <w:rFonts w:asciiTheme="minorHAnsi" w:hAnsiTheme="minorHAnsi" w:cstheme="minorHAnsi"/>
          <w:b w:val="0"/>
          <w:lang w:val="en-GB"/>
        </w:rPr>
        <w:t>) 48 h after IR. The values are presented as the AM ± SEM. *p &lt; 0.05, **p &lt; 0.01, ***p &lt; 0.001, ****p &lt; 0.0001, n = 4.</w:t>
      </w:r>
    </w:p>
    <w:p w14:paraId="5FF08AB7" w14:textId="77777777" w:rsidR="004E3C83" w:rsidRPr="00115BD5" w:rsidRDefault="004E3C83">
      <w:pPr>
        <w:rPr>
          <w:rFonts w:cstheme="minorHAnsi"/>
          <w:lang w:val="en-GB"/>
        </w:rPr>
      </w:pPr>
    </w:p>
    <w:p w14:paraId="2863E18E" w14:textId="77777777" w:rsidR="008932CA" w:rsidRPr="00115BD5" w:rsidRDefault="008932CA" w:rsidP="008932CA">
      <w:pPr>
        <w:keepNext/>
        <w:rPr>
          <w:rFonts w:cstheme="minorHAnsi"/>
        </w:rPr>
      </w:pPr>
      <w:r w:rsidRPr="00115BD5">
        <w:rPr>
          <w:rFonts w:cstheme="minorHAnsi"/>
          <w:noProof/>
        </w:rPr>
        <w:lastRenderedPageBreak/>
        <w:drawing>
          <wp:inline distT="0" distB="0" distL="0" distR="0" wp14:anchorId="56BBB241" wp14:editId="584B7FBE">
            <wp:extent cx="5760720" cy="4229355"/>
            <wp:effectExtent l="0" t="0" r="0" b="0"/>
            <wp:docPr id="337541321" name="Picture 337541321" descr="A group of square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541321" name="Picture 337541321" descr="A group of squares with different col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0C900" w14:textId="4901F1CC" w:rsidR="008932CA" w:rsidRPr="00115BD5" w:rsidRDefault="001175B9" w:rsidP="008932CA">
      <w:pPr>
        <w:pStyle w:val="Caption"/>
        <w:rPr>
          <w:rFonts w:asciiTheme="minorHAnsi" w:hAnsiTheme="minorHAnsi" w:cstheme="minorHAnsi"/>
          <w:b w:val="0"/>
        </w:rPr>
      </w:pPr>
      <w:r w:rsidRPr="00115BD5">
        <w:rPr>
          <w:rFonts w:asciiTheme="minorHAnsi" w:hAnsiTheme="minorHAnsi" w:cstheme="minorHAnsi"/>
          <w:bCs/>
          <w:lang w:val="en-GB"/>
        </w:rPr>
        <w:t>Supplementary f</w:t>
      </w:r>
      <w:proofErr w:type="spellStart"/>
      <w:r w:rsidRPr="00115BD5">
        <w:rPr>
          <w:rFonts w:asciiTheme="minorHAnsi" w:hAnsiTheme="minorHAnsi" w:cstheme="minorHAnsi"/>
        </w:rPr>
        <w:t>igure</w:t>
      </w:r>
      <w:proofErr w:type="spellEnd"/>
      <w:r w:rsidR="008932CA" w:rsidRPr="00115BD5">
        <w:rPr>
          <w:rFonts w:asciiTheme="minorHAnsi" w:hAnsiTheme="minorHAnsi" w:cstheme="minorHAnsi"/>
        </w:rPr>
        <w:t xml:space="preserve"> S</w:t>
      </w:r>
      <w:r w:rsidR="002207AD">
        <w:rPr>
          <w:rFonts w:asciiTheme="minorHAnsi" w:hAnsiTheme="minorHAnsi" w:cstheme="minorHAnsi"/>
        </w:rPr>
        <w:t>3</w:t>
      </w:r>
      <w:r w:rsidR="008932CA" w:rsidRPr="00115BD5">
        <w:rPr>
          <w:rFonts w:asciiTheme="minorHAnsi" w:hAnsiTheme="minorHAnsi" w:cstheme="minorHAnsi"/>
        </w:rPr>
        <w:t xml:space="preserve">. </w:t>
      </w:r>
      <w:r w:rsidR="00B37597" w:rsidRPr="00115BD5">
        <w:rPr>
          <w:rFonts w:asciiTheme="minorHAnsi" w:hAnsiTheme="minorHAnsi" w:cstheme="minorHAnsi"/>
          <w:b w:val="0"/>
          <w:lang w:val="en-GB"/>
        </w:rPr>
        <w:t>Extracellular</w:t>
      </w:r>
      <w:r w:rsidR="008932CA" w:rsidRPr="00115BD5">
        <w:rPr>
          <w:rFonts w:asciiTheme="minorHAnsi" w:hAnsiTheme="minorHAnsi" w:cstheme="minorHAnsi"/>
          <w:b w:val="0"/>
          <w:lang w:val="en-GB"/>
        </w:rPr>
        <w:t xml:space="preserve"> ATP concentration in B16-F10, 4T1 and CT26 cell lines after IR. </w:t>
      </w:r>
      <w:r w:rsidR="00B37597" w:rsidRPr="00115BD5">
        <w:rPr>
          <w:rFonts w:asciiTheme="minorHAnsi" w:hAnsiTheme="minorHAnsi" w:cstheme="minorHAnsi"/>
          <w:b w:val="0"/>
          <w:lang w:val="en-GB"/>
        </w:rPr>
        <w:t>Extracellular</w:t>
      </w:r>
      <w:r w:rsidR="008932CA" w:rsidRPr="00115BD5">
        <w:rPr>
          <w:rFonts w:asciiTheme="minorHAnsi" w:hAnsiTheme="minorHAnsi" w:cstheme="minorHAnsi"/>
          <w:b w:val="0"/>
          <w:lang w:val="en-GB"/>
        </w:rPr>
        <w:t xml:space="preserve"> ATP concentration in the B16-F10 cell line (</w:t>
      </w:r>
      <w:r w:rsidR="008932CA" w:rsidRPr="00115BD5">
        <w:rPr>
          <w:rFonts w:asciiTheme="minorHAnsi" w:hAnsiTheme="minorHAnsi" w:cstheme="minorHAnsi"/>
          <w:lang w:val="en-GB"/>
        </w:rPr>
        <w:t>A</w:t>
      </w:r>
      <w:r w:rsidR="008932CA" w:rsidRPr="00115BD5">
        <w:rPr>
          <w:rFonts w:asciiTheme="minorHAnsi" w:hAnsiTheme="minorHAnsi" w:cstheme="minorHAnsi"/>
          <w:b w:val="0"/>
          <w:lang w:val="en-GB"/>
        </w:rPr>
        <w:t>) 0 h, (</w:t>
      </w:r>
      <w:r w:rsidR="008932CA" w:rsidRPr="00115BD5">
        <w:rPr>
          <w:rFonts w:asciiTheme="minorHAnsi" w:hAnsiTheme="minorHAnsi" w:cstheme="minorHAnsi"/>
          <w:lang w:val="en-GB"/>
        </w:rPr>
        <w:t>B</w:t>
      </w:r>
      <w:r w:rsidR="008932CA" w:rsidRPr="00115BD5">
        <w:rPr>
          <w:rFonts w:asciiTheme="minorHAnsi" w:hAnsiTheme="minorHAnsi" w:cstheme="minorHAnsi"/>
          <w:b w:val="0"/>
          <w:lang w:val="en-GB"/>
        </w:rPr>
        <w:t>) 24 h and (</w:t>
      </w:r>
      <w:r w:rsidR="008932CA" w:rsidRPr="00115BD5">
        <w:rPr>
          <w:rFonts w:asciiTheme="minorHAnsi" w:hAnsiTheme="minorHAnsi" w:cstheme="minorHAnsi"/>
          <w:lang w:val="en-GB"/>
        </w:rPr>
        <w:t>C</w:t>
      </w:r>
      <w:r w:rsidR="008932CA" w:rsidRPr="00115BD5">
        <w:rPr>
          <w:rFonts w:asciiTheme="minorHAnsi" w:hAnsiTheme="minorHAnsi" w:cstheme="minorHAnsi"/>
          <w:b w:val="0"/>
          <w:lang w:val="en-GB"/>
        </w:rPr>
        <w:t xml:space="preserve">) 48 h after IR. </w:t>
      </w:r>
      <w:r w:rsidR="00B37597" w:rsidRPr="00115BD5">
        <w:rPr>
          <w:rFonts w:asciiTheme="minorHAnsi" w:hAnsiTheme="minorHAnsi" w:cstheme="minorHAnsi"/>
          <w:b w:val="0"/>
          <w:lang w:val="en-GB"/>
        </w:rPr>
        <w:t>Extracellular</w:t>
      </w:r>
      <w:r w:rsidR="008932CA" w:rsidRPr="00115BD5">
        <w:rPr>
          <w:rFonts w:asciiTheme="minorHAnsi" w:hAnsiTheme="minorHAnsi" w:cstheme="minorHAnsi"/>
          <w:b w:val="0"/>
          <w:lang w:val="en-GB"/>
        </w:rPr>
        <w:t xml:space="preserve"> ATP concentration in the 4T1 cell line (</w:t>
      </w:r>
      <w:r w:rsidR="008932CA" w:rsidRPr="00115BD5">
        <w:rPr>
          <w:rFonts w:asciiTheme="minorHAnsi" w:hAnsiTheme="minorHAnsi" w:cstheme="minorHAnsi"/>
          <w:lang w:val="en-GB"/>
        </w:rPr>
        <w:t>D</w:t>
      </w:r>
      <w:r w:rsidR="008932CA" w:rsidRPr="00115BD5">
        <w:rPr>
          <w:rFonts w:asciiTheme="minorHAnsi" w:hAnsiTheme="minorHAnsi" w:cstheme="minorHAnsi"/>
          <w:b w:val="0"/>
          <w:lang w:val="en-GB"/>
        </w:rPr>
        <w:t>) 0 h, (</w:t>
      </w:r>
      <w:r w:rsidR="008932CA" w:rsidRPr="00115BD5">
        <w:rPr>
          <w:rFonts w:asciiTheme="minorHAnsi" w:hAnsiTheme="minorHAnsi" w:cstheme="minorHAnsi"/>
          <w:lang w:val="en-GB"/>
        </w:rPr>
        <w:t>E</w:t>
      </w:r>
      <w:r w:rsidR="008932CA" w:rsidRPr="00115BD5">
        <w:rPr>
          <w:rFonts w:asciiTheme="minorHAnsi" w:hAnsiTheme="minorHAnsi" w:cstheme="minorHAnsi"/>
          <w:b w:val="0"/>
          <w:lang w:val="en-GB"/>
        </w:rPr>
        <w:t>) 24 h and (</w:t>
      </w:r>
      <w:r w:rsidR="008932CA" w:rsidRPr="00115BD5">
        <w:rPr>
          <w:rFonts w:asciiTheme="minorHAnsi" w:hAnsiTheme="minorHAnsi" w:cstheme="minorHAnsi"/>
          <w:lang w:val="en-GB"/>
        </w:rPr>
        <w:t>F</w:t>
      </w:r>
      <w:r w:rsidR="008932CA" w:rsidRPr="00115BD5">
        <w:rPr>
          <w:rFonts w:asciiTheme="minorHAnsi" w:hAnsiTheme="minorHAnsi" w:cstheme="minorHAnsi"/>
          <w:b w:val="0"/>
          <w:lang w:val="en-GB"/>
        </w:rPr>
        <w:t>) 48 h after IR. Released ATP concentration in the CT26 cell line (</w:t>
      </w:r>
      <w:r w:rsidR="008932CA" w:rsidRPr="00115BD5">
        <w:rPr>
          <w:rFonts w:asciiTheme="minorHAnsi" w:hAnsiTheme="minorHAnsi" w:cstheme="minorHAnsi"/>
          <w:lang w:val="en-GB"/>
        </w:rPr>
        <w:t>G</w:t>
      </w:r>
      <w:r w:rsidR="008932CA" w:rsidRPr="00115BD5">
        <w:rPr>
          <w:rFonts w:asciiTheme="minorHAnsi" w:hAnsiTheme="minorHAnsi" w:cstheme="minorHAnsi"/>
          <w:b w:val="0"/>
          <w:lang w:val="en-GB"/>
        </w:rPr>
        <w:t>) 0 h, (</w:t>
      </w:r>
      <w:r w:rsidR="008932CA" w:rsidRPr="00115BD5">
        <w:rPr>
          <w:rFonts w:asciiTheme="minorHAnsi" w:hAnsiTheme="minorHAnsi" w:cstheme="minorHAnsi"/>
          <w:lang w:val="en-GB"/>
        </w:rPr>
        <w:t>H</w:t>
      </w:r>
      <w:r w:rsidR="008932CA" w:rsidRPr="00115BD5">
        <w:rPr>
          <w:rFonts w:asciiTheme="minorHAnsi" w:hAnsiTheme="minorHAnsi" w:cstheme="minorHAnsi"/>
          <w:b w:val="0"/>
          <w:lang w:val="en-GB"/>
        </w:rPr>
        <w:t>) 24 h and (</w:t>
      </w:r>
      <w:r w:rsidR="008932CA" w:rsidRPr="00115BD5">
        <w:rPr>
          <w:rFonts w:asciiTheme="minorHAnsi" w:hAnsiTheme="minorHAnsi" w:cstheme="minorHAnsi"/>
          <w:lang w:val="en-GB"/>
        </w:rPr>
        <w:t>I</w:t>
      </w:r>
      <w:r w:rsidR="008932CA" w:rsidRPr="00115BD5">
        <w:rPr>
          <w:rFonts w:asciiTheme="minorHAnsi" w:hAnsiTheme="minorHAnsi" w:cstheme="minorHAnsi"/>
          <w:b w:val="0"/>
          <w:lang w:val="en-GB"/>
        </w:rPr>
        <w:t>) 48 h after IR. The values are presented as the AM ± SEM. *p &lt; 0.05, **p &lt; 0.01. n = 3.</w:t>
      </w:r>
    </w:p>
    <w:p w14:paraId="4FB47904" w14:textId="77777777" w:rsidR="001175B9" w:rsidRPr="00115BD5" w:rsidRDefault="001175B9" w:rsidP="001175B9">
      <w:pPr>
        <w:rPr>
          <w:rFonts w:cstheme="minorHAnsi"/>
          <w:b/>
          <w:sz w:val="24"/>
          <w:lang w:val="en-GB"/>
        </w:rPr>
      </w:pPr>
    </w:p>
    <w:p w14:paraId="59935EB3" w14:textId="77777777" w:rsidR="001175B9" w:rsidRPr="00115BD5" w:rsidRDefault="001175B9" w:rsidP="001175B9">
      <w:pPr>
        <w:rPr>
          <w:rFonts w:cstheme="minorHAnsi"/>
          <w:sz w:val="24"/>
          <w:lang w:val="en-GB"/>
        </w:rPr>
      </w:pPr>
      <w:r w:rsidRPr="00115BD5">
        <w:rPr>
          <w:rFonts w:cstheme="minorHAnsi"/>
          <w:b/>
          <w:sz w:val="24"/>
          <w:lang w:val="en-GB"/>
        </w:rPr>
        <w:t xml:space="preserve">Supplementary table S1. </w:t>
      </w:r>
      <w:r w:rsidRPr="00115BD5">
        <w:rPr>
          <w:rFonts w:cstheme="minorHAnsi"/>
          <w:sz w:val="24"/>
          <w:lang w:val="en-GB"/>
        </w:rPr>
        <w:t>Cells were seeded to 6-well plates at different densities for different doses used.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07"/>
        <w:gridCol w:w="907"/>
        <w:gridCol w:w="907"/>
        <w:gridCol w:w="907"/>
        <w:gridCol w:w="907"/>
        <w:gridCol w:w="907"/>
      </w:tblGrid>
      <w:tr w:rsidR="001175B9" w:rsidRPr="00115BD5" w14:paraId="28EB9141" w14:textId="77777777" w:rsidTr="00A40B52">
        <w:trPr>
          <w:trHeight w:val="789"/>
          <w:jc w:val="center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05A4E77A" w14:textId="77777777" w:rsidR="001175B9" w:rsidRPr="00115BD5" w:rsidRDefault="001175B9" w:rsidP="00A40B52">
            <w:pPr>
              <w:jc w:val="center"/>
              <w:rPr>
                <w:rFonts w:cstheme="minorHAnsi"/>
                <w:bCs/>
                <w:sz w:val="24"/>
                <w:lang w:val="en-GB"/>
              </w:rPr>
            </w:pPr>
            <w:r w:rsidRPr="00115BD5">
              <w:rPr>
                <w:rFonts w:cstheme="minorHAnsi"/>
                <w:bCs/>
                <w:sz w:val="24"/>
                <w:lang w:val="en-GB"/>
              </w:rPr>
              <w:t>Dose (Gy)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250DCC2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bCs/>
                <w:sz w:val="24"/>
                <w:lang w:val="en-GB"/>
              </w:rPr>
              <w:t>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1331C31D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2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7716F1B2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4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4643226A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6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188C13F4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8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50E62A24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10</w:t>
            </w:r>
          </w:p>
        </w:tc>
      </w:tr>
      <w:tr w:rsidR="001175B9" w:rsidRPr="00115BD5" w14:paraId="21A6414D" w14:textId="77777777" w:rsidTr="00A40B52">
        <w:trPr>
          <w:trHeight w:val="549"/>
          <w:jc w:val="center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0302CD9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No. of cells/well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335708E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50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342BA478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100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095161DF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300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12245D10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1000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1812F95E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3000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14:paraId="2AF55AB9" w14:textId="77777777" w:rsidR="001175B9" w:rsidRPr="00115BD5" w:rsidRDefault="001175B9" w:rsidP="00A40B52">
            <w:pPr>
              <w:jc w:val="center"/>
              <w:rPr>
                <w:rFonts w:cstheme="minorHAnsi"/>
                <w:sz w:val="24"/>
                <w:lang w:val="en-GB"/>
              </w:rPr>
            </w:pPr>
            <w:r w:rsidRPr="00115BD5">
              <w:rPr>
                <w:rFonts w:cstheme="minorHAnsi"/>
                <w:sz w:val="24"/>
                <w:lang w:val="en-GB"/>
              </w:rPr>
              <w:t>5000</w:t>
            </w:r>
          </w:p>
        </w:tc>
      </w:tr>
    </w:tbl>
    <w:p w14:paraId="0223F580" w14:textId="77777777" w:rsidR="001175B9" w:rsidRPr="00115BD5" w:rsidRDefault="001175B9" w:rsidP="001175B9">
      <w:pPr>
        <w:rPr>
          <w:rFonts w:cstheme="minorHAnsi"/>
          <w:lang w:val="en-GB"/>
        </w:rPr>
      </w:pPr>
    </w:p>
    <w:p w14:paraId="2FA7BA48" w14:textId="77777777" w:rsidR="0091339F" w:rsidRPr="00115BD5" w:rsidRDefault="0091339F" w:rsidP="0091339F">
      <w:pPr>
        <w:rPr>
          <w:rFonts w:cstheme="minorHAnsi"/>
          <w:lang w:val="en-GB"/>
        </w:rPr>
      </w:pPr>
    </w:p>
    <w:p w14:paraId="31CAC30C" w14:textId="77777777" w:rsidR="0091339F" w:rsidRPr="00115BD5" w:rsidRDefault="0091339F" w:rsidP="0091339F">
      <w:pPr>
        <w:rPr>
          <w:rFonts w:cstheme="minorHAnsi"/>
          <w:lang w:val="en-GB"/>
        </w:rPr>
      </w:pPr>
    </w:p>
    <w:p w14:paraId="5EFC0FD3" w14:textId="77777777" w:rsidR="0091339F" w:rsidRPr="00115BD5" w:rsidRDefault="0091339F" w:rsidP="0091339F">
      <w:pPr>
        <w:rPr>
          <w:rFonts w:cstheme="minorHAnsi"/>
          <w:lang w:val="en-GB"/>
        </w:rPr>
      </w:pPr>
    </w:p>
    <w:p w14:paraId="723FB95A" w14:textId="77777777" w:rsidR="0091339F" w:rsidRPr="00115BD5" w:rsidRDefault="0091339F" w:rsidP="0091339F">
      <w:pPr>
        <w:rPr>
          <w:rFonts w:cstheme="minorHAnsi"/>
          <w:lang w:val="en-GB"/>
        </w:rPr>
      </w:pPr>
    </w:p>
    <w:p w14:paraId="29AE0C79" w14:textId="77777777" w:rsidR="0091339F" w:rsidRPr="00115BD5" w:rsidRDefault="0091339F" w:rsidP="0091339F">
      <w:pPr>
        <w:rPr>
          <w:rFonts w:cstheme="minorHAnsi"/>
          <w:lang w:val="en-GB"/>
        </w:rPr>
      </w:pPr>
    </w:p>
    <w:p w14:paraId="50A21CAB" w14:textId="3B3A9E65" w:rsidR="0091339F" w:rsidRPr="00115BD5" w:rsidRDefault="0091339F" w:rsidP="0091339F">
      <w:pPr>
        <w:rPr>
          <w:rFonts w:cstheme="minorHAnsi"/>
          <w:sz w:val="24"/>
          <w:lang w:val="en-GB"/>
        </w:rPr>
      </w:pPr>
      <w:r w:rsidRPr="00115BD5">
        <w:rPr>
          <w:rFonts w:cstheme="minorHAnsi"/>
          <w:b/>
          <w:sz w:val="24"/>
          <w:lang w:val="en-GB"/>
        </w:rPr>
        <w:lastRenderedPageBreak/>
        <w:t xml:space="preserve">Supplementary table S2. </w:t>
      </w:r>
      <w:r w:rsidRPr="00115BD5">
        <w:rPr>
          <w:rFonts w:cstheme="minorHAnsi"/>
          <w:sz w:val="24"/>
          <w:lang w:val="en-GB"/>
        </w:rPr>
        <w:t>List of used antibodies.</w:t>
      </w:r>
    </w:p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0"/>
        <w:gridCol w:w="1640"/>
        <w:gridCol w:w="1760"/>
        <w:gridCol w:w="1900"/>
      </w:tblGrid>
      <w:tr w:rsidR="0091339F" w:rsidRPr="00115BD5" w14:paraId="6CC34997" w14:textId="77777777" w:rsidTr="00A40B52">
        <w:trPr>
          <w:trHeight w:val="485"/>
        </w:trPr>
        <w:tc>
          <w:tcPr>
            <w:tcW w:w="40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632B505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b/>
                <w:bCs/>
                <w:lang w:val="en-US"/>
              </w:rPr>
              <w:t>Antibodies</w:t>
            </w:r>
          </w:p>
        </w:tc>
        <w:tc>
          <w:tcPr>
            <w:tcW w:w="16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257660C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b/>
                <w:bCs/>
                <w:lang w:val="en-US"/>
              </w:rPr>
              <w:t>Sources</w:t>
            </w:r>
          </w:p>
        </w:tc>
        <w:tc>
          <w:tcPr>
            <w:tcW w:w="17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DF29D1F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b/>
                <w:bCs/>
                <w:lang w:val="en-US"/>
              </w:rPr>
              <w:t>Cat#</w:t>
            </w:r>
          </w:p>
        </w:tc>
        <w:tc>
          <w:tcPr>
            <w:tcW w:w="19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F828209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b/>
                <w:bCs/>
                <w:lang w:val="en-US"/>
              </w:rPr>
              <w:t>Volume per sample (µL)</w:t>
            </w:r>
          </w:p>
        </w:tc>
      </w:tr>
      <w:tr w:rsidR="0091339F" w:rsidRPr="00115BD5" w14:paraId="4A18A646" w14:textId="77777777" w:rsidTr="00A40B52">
        <w:trPr>
          <w:trHeight w:val="485"/>
        </w:trPr>
        <w:tc>
          <w:tcPr>
            <w:tcW w:w="402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AEB1A26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MHC class I (H-2Kb) Monoclonal Antibody (AF6-88.5.5.3), APC</w:t>
            </w:r>
          </w:p>
        </w:tc>
        <w:tc>
          <w:tcPr>
            <w:tcW w:w="16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856D3AF" w14:textId="77777777" w:rsidR="0091339F" w:rsidRPr="00115BD5" w:rsidRDefault="0091339F" w:rsidP="00A40B52">
            <w:pPr>
              <w:rPr>
                <w:rFonts w:cstheme="minorHAnsi"/>
              </w:rPr>
            </w:pPr>
            <w:proofErr w:type="spellStart"/>
            <w:r w:rsidRPr="00115BD5">
              <w:rPr>
                <w:rFonts w:cstheme="minorHAnsi"/>
                <w:lang w:val="en-US"/>
              </w:rPr>
              <w:t>Thermo</w:t>
            </w:r>
            <w:proofErr w:type="spellEnd"/>
            <w:r w:rsidRPr="00115BD5">
              <w:rPr>
                <w:rFonts w:cstheme="minorHAnsi"/>
                <w:lang w:val="en-US"/>
              </w:rPr>
              <w:t xml:space="preserve"> Fisher Scientific</w:t>
            </w:r>
          </w:p>
        </w:tc>
        <w:tc>
          <w:tcPr>
            <w:tcW w:w="176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603BD09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17-5958-82</w:t>
            </w:r>
          </w:p>
        </w:tc>
        <w:tc>
          <w:tcPr>
            <w:tcW w:w="190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877E1A8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0.5</w:t>
            </w:r>
          </w:p>
        </w:tc>
      </w:tr>
      <w:tr w:rsidR="0091339F" w:rsidRPr="00115BD5" w14:paraId="30E9D269" w14:textId="77777777" w:rsidTr="00A40B52">
        <w:trPr>
          <w:trHeight w:val="485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EAFA6C5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MHC class I (H-2Kd) Monoclonal Antibody (SF1-1.1.1), APC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39D9727" w14:textId="77777777" w:rsidR="0091339F" w:rsidRPr="00115BD5" w:rsidRDefault="0091339F" w:rsidP="00A40B52">
            <w:pPr>
              <w:rPr>
                <w:rFonts w:cstheme="minorHAnsi"/>
              </w:rPr>
            </w:pPr>
            <w:proofErr w:type="spellStart"/>
            <w:r w:rsidRPr="00115BD5">
              <w:rPr>
                <w:rFonts w:cstheme="minorHAnsi"/>
                <w:lang w:val="en-US"/>
              </w:rPr>
              <w:t>Thermo</w:t>
            </w:r>
            <w:proofErr w:type="spellEnd"/>
            <w:r w:rsidRPr="00115BD5">
              <w:rPr>
                <w:rFonts w:cstheme="minorHAnsi"/>
                <w:lang w:val="en-US"/>
              </w:rPr>
              <w:t xml:space="preserve"> Fisher Scientific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FBC86DC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17-5957-82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E8EA201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0.5</w:t>
            </w:r>
          </w:p>
        </w:tc>
      </w:tr>
      <w:tr w:rsidR="0091339F" w:rsidRPr="00115BD5" w14:paraId="7BE5F8F2" w14:textId="77777777" w:rsidTr="00A40B52">
        <w:trPr>
          <w:trHeight w:val="485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539DC04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MHC class II (I-A/I-E) Monoclonal Antibody (M5/114.15.2), Super Bright 780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7BA3F12" w14:textId="77777777" w:rsidR="0091339F" w:rsidRPr="00115BD5" w:rsidRDefault="0091339F" w:rsidP="00A40B52">
            <w:pPr>
              <w:rPr>
                <w:rFonts w:cstheme="minorHAnsi"/>
              </w:rPr>
            </w:pPr>
            <w:proofErr w:type="spellStart"/>
            <w:r w:rsidRPr="00115BD5">
              <w:rPr>
                <w:rFonts w:cstheme="minorHAnsi"/>
                <w:lang w:val="en-US"/>
              </w:rPr>
              <w:t>Thermo</w:t>
            </w:r>
            <w:proofErr w:type="spellEnd"/>
            <w:r w:rsidRPr="00115BD5">
              <w:rPr>
                <w:rFonts w:cstheme="minorHAnsi"/>
                <w:lang w:val="en-US"/>
              </w:rPr>
              <w:t xml:space="preserve"> Fisher Scientific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F128987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78-5321-82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532E0C7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0.5</w:t>
            </w:r>
          </w:p>
        </w:tc>
      </w:tr>
      <w:tr w:rsidR="0091339F" w:rsidRPr="00115BD5" w14:paraId="03AFE0D8" w14:textId="77777777" w:rsidTr="00A40B52">
        <w:trPr>
          <w:trHeight w:val="501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08C6722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 xml:space="preserve">Anti-Mouse CD274 (B7-H1), PE 100 </w:t>
            </w:r>
            <w:proofErr w:type="gramStart"/>
            <w:r w:rsidRPr="00115BD5">
              <w:rPr>
                <w:rFonts w:cstheme="minorHAnsi"/>
                <w:lang w:val="en-US"/>
              </w:rPr>
              <w:t>µg</w:t>
            </w:r>
            <w:proofErr w:type="gramEnd"/>
            <w:r w:rsidRPr="00115BD5">
              <w:rPr>
                <w:rFonts w:cstheme="minorHAnsi"/>
                <w:lang w:val="en-US"/>
              </w:rPr>
              <w:t xml:space="preserve"> (PD-L1)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55D49B5" w14:textId="77777777" w:rsidR="0091339F" w:rsidRPr="00115BD5" w:rsidRDefault="0091339F" w:rsidP="00A40B52">
            <w:pPr>
              <w:rPr>
                <w:rFonts w:cstheme="minorHAnsi"/>
              </w:rPr>
            </w:pPr>
            <w:proofErr w:type="spellStart"/>
            <w:r w:rsidRPr="00115BD5">
              <w:rPr>
                <w:rFonts w:cstheme="minorHAnsi"/>
                <w:lang w:val="en-US"/>
              </w:rPr>
              <w:t>Thermo</w:t>
            </w:r>
            <w:proofErr w:type="spellEnd"/>
            <w:r w:rsidRPr="00115BD5">
              <w:rPr>
                <w:rFonts w:cstheme="minorHAnsi"/>
                <w:lang w:val="en-US"/>
              </w:rPr>
              <w:t xml:space="preserve"> Fisher Scientific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46E19419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12-5982-82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56FB59C6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0.5</w:t>
            </w:r>
          </w:p>
        </w:tc>
      </w:tr>
      <w:tr w:rsidR="0091339F" w:rsidRPr="00115BD5" w14:paraId="0B1354CF" w14:textId="77777777" w:rsidTr="00A40B52">
        <w:trPr>
          <w:trHeight w:val="485"/>
        </w:trPr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D515EC4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Calreticulin Antibody (</w:t>
            </w:r>
            <w:proofErr w:type="spellStart"/>
            <w:r w:rsidRPr="00115BD5">
              <w:rPr>
                <w:rFonts w:cstheme="minorHAnsi"/>
                <w:lang w:val="en-US"/>
              </w:rPr>
              <w:t>DyLight</w:t>
            </w:r>
            <w:proofErr w:type="spellEnd"/>
            <w:r w:rsidRPr="00115BD5">
              <w:rPr>
                <w:rFonts w:cstheme="minorHAnsi"/>
                <w:lang w:val="en-US"/>
              </w:rPr>
              <w:t xml:space="preserve"> 405), 0.1 mL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05AD43B2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Novus Biologicals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630AC9DF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NV-NB600-101V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2FEF516B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1</w:t>
            </w:r>
          </w:p>
        </w:tc>
      </w:tr>
      <w:tr w:rsidR="0091339F" w:rsidRPr="00115BD5" w14:paraId="59EA9806" w14:textId="77777777" w:rsidTr="00A40B52">
        <w:trPr>
          <w:trHeight w:val="485"/>
        </w:trPr>
        <w:tc>
          <w:tcPr>
            <w:tcW w:w="402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7FA941FE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CD40 Monoclonal Antibody (1C10), Super Bright 600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B55A157" w14:textId="77777777" w:rsidR="0091339F" w:rsidRPr="00115BD5" w:rsidRDefault="0091339F" w:rsidP="00A40B52">
            <w:pPr>
              <w:rPr>
                <w:rFonts w:cstheme="minorHAnsi"/>
              </w:rPr>
            </w:pPr>
            <w:proofErr w:type="spellStart"/>
            <w:r w:rsidRPr="00115BD5">
              <w:rPr>
                <w:rFonts w:cstheme="minorHAnsi"/>
                <w:lang w:val="en-US"/>
              </w:rPr>
              <w:t>Thermo</w:t>
            </w:r>
            <w:proofErr w:type="spellEnd"/>
            <w:r w:rsidRPr="00115BD5">
              <w:rPr>
                <w:rFonts w:cstheme="minorHAnsi"/>
                <w:lang w:val="en-US"/>
              </w:rPr>
              <w:t xml:space="preserve"> Fisher Scientific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3F1B4805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63-0401-82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96" w:type="dxa"/>
              <w:bottom w:w="0" w:type="dxa"/>
              <w:right w:w="96" w:type="dxa"/>
            </w:tcMar>
            <w:vAlign w:val="center"/>
            <w:hideMark/>
          </w:tcPr>
          <w:p w14:paraId="14A6B140" w14:textId="77777777" w:rsidR="0091339F" w:rsidRPr="00115BD5" w:rsidRDefault="0091339F" w:rsidP="00A40B52">
            <w:pPr>
              <w:rPr>
                <w:rFonts w:cstheme="minorHAnsi"/>
              </w:rPr>
            </w:pPr>
            <w:r w:rsidRPr="00115BD5">
              <w:rPr>
                <w:rFonts w:cstheme="minorHAnsi"/>
                <w:lang w:val="en-US"/>
              </w:rPr>
              <w:t>1.5</w:t>
            </w:r>
          </w:p>
        </w:tc>
      </w:tr>
    </w:tbl>
    <w:p w14:paraId="17D70BBA" w14:textId="77777777" w:rsidR="0091339F" w:rsidRPr="00115BD5" w:rsidRDefault="0091339F" w:rsidP="0091339F">
      <w:pPr>
        <w:rPr>
          <w:rFonts w:cstheme="minorHAnsi"/>
        </w:rPr>
      </w:pPr>
    </w:p>
    <w:p w14:paraId="388DF0C3" w14:textId="41E19895" w:rsidR="001175B9" w:rsidRPr="00115BD5" w:rsidRDefault="001175B9" w:rsidP="001175B9">
      <w:pPr>
        <w:rPr>
          <w:rFonts w:cstheme="minorHAnsi"/>
          <w:sz w:val="24"/>
          <w:lang w:val="en-GB"/>
        </w:rPr>
      </w:pPr>
      <w:r w:rsidRPr="00115BD5">
        <w:rPr>
          <w:rFonts w:cstheme="minorHAnsi"/>
          <w:b/>
          <w:sz w:val="24"/>
          <w:lang w:val="en-GB"/>
        </w:rPr>
        <w:t>Supplementary table S</w:t>
      </w:r>
      <w:r w:rsidR="0091339F" w:rsidRPr="00115BD5">
        <w:rPr>
          <w:rFonts w:cstheme="minorHAnsi"/>
          <w:b/>
          <w:sz w:val="24"/>
          <w:lang w:val="en-GB"/>
        </w:rPr>
        <w:t>3</w:t>
      </w:r>
      <w:r w:rsidRPr="00115BD5">
        <w:rPr>
          <w:rFonts w:cstheme="minorHAnsi"/>
          <w:b/>
          <w:sz w:val="24"/>
          <w:lang w:val="en-GB"/>
        </w:rPr>
        <w:t xml:space="preserve">. </w:t>
      </w:r>
      <w:r w:rsidRPr="00115BD5">
        <w:rPr>
          <w:rFonts w:cstheme="minorHAnsi"/>
          <w:sz w:val="24"/>
          <w:lang w:val="en-GB"/>
        </w:rPr>
        <w:t>Determined IC values for all doses.</w:t>
      </w:r>
    </w:p>
    <w:tbl>
      <w:tblPr>
        <w:tblW w:w="732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6"/>
        <w:gridCol w:w="1544"/>
        <w:gridCol w:w="1825"/>
        <w:gridCol w:w="1825"/>
      </w:tblGrid>
      <w:tr w:rsidR="001175B9" w:rsidRPr="00115BD5" w14:paraId="2959D36F" w14:textId="77777777" w:rsidTr="00A40B52">
        <w:trPr>
          <w:trHeight w:val="476"/>
          <w:jc w:val="center"/>
        </w:trPr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A4AB3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  <w:lang w:val="en-GB"/>
              </w:rPr>
              <w:t>IC value (Gy)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0880B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</w:rPr>
              <w:t>IC</w:t>
            </w:r>
            <w:r w:rsidRPr="00115BD5">
              <w:rPr>
                <w:rFonts w:cstheme="minorHAnsi"/>
                <w:b/>
                <w:bCs/>
                <w:sz w:val="24"/>
                <w:vertAlign w:val="subscript"/>
              </w:rPr>
              <w:t>30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01816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</w:rPr>
              <w:t>IC</w:t>
            </w:r>
            <w:r w:rsidRPr="00115BD5">
              <w:rPr>
                <w:rFonts w:cstheme="minorHAnsi"/>
                <w:b/>
                <w:bCs/>
                <w:sz w:val="24"/>
                <w:vertAlign w:val="subscript"/>
              </w:rPr>
              <w:t>50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8FB34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</w:rPr>
              <w:t>IC</w:t>
            </w:r>
            <w:r w:rsidRPr="00115BD5">
              <w:rPr>
                <w:rFonts w:cstheme="minorHAnsi"/>
                <w:b/>
                <w:bCs/>
                <w:sz w:val="24"/>
                <w:vertAlign w:val="subscript"/>
              </w:rPr>
              <w:t>70</w:t>
            </w:r>
          </w:p>
        </w:tc>
      </w:tr>
      <w:tr w:rsidR="001175B9" w:rsidRPr="00115BD5" w14:paraId="4DC9AB64" w14:textId="77777777" w:rsidTr="00A40B52">
        <w:trPr>
          <w:trHeight w:val="338"/>
          <w:jc w:val="center"/>
        </w:trPr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0FF1F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</w:rPr>
              <w:t>B16</w:t>
            </w:r>
            <w:r w:rsidRPr="00115BD5">
              <w:rPr>
                <w:rFonts w:cstheme="minorHAnsi"/>
                <w:b/>
                <w:bCs/>
                <w:sz w:val="24"/>
                <w:lang w:val="en-GB"/>
              </w:rPr>
              <w:t>-</w:t>
            </w:r>
            <w:r w:rsidRPr="00115BD5">
              <w:rPr>
                <w:rFonts w:cstheme="minorHAnsi"/>
                <w:b/>
                <w:bCs/>
                <w:sz w:val="24"/>
              </w:rPr>
              <w:t>F10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83224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2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5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0.3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83585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3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0.3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E9C3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5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0.4</w:t>
            </w:r>
          </w:p>
        </w:tc>
      </w:tr>
      <w:tr w:rsidR="001175B9" w:rsidRPr="00115BD5" w14:paraId="28BFEC70" w14:textId="77777777" w:rsidTr="00A40B52">
        <w:trPr>
          <w:trHeight w:val="338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0F517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</w:rPr>
              <w:t>4T1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7646D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2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5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0.3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460BE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3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0.3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04D3D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5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0.3</w:t>
            </w:r>
          </w:p>
        </w:tc>
      </w:tr>
      <w:tr w:rsidR="001175B9" w:rsidRPr="00115BD5" w14:paraId="1224C633" w14:textId="77777777" w:rsidTr="00A40B52">
        <w:trPr>
          <w:trHeight w:val="338"/>
          <w:jc w:val="center"/>
        </w:trPr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E3EE8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b/>
                <w:bCs/>
                <w:sz w:val="24"/>
              </w:rPr>
              <w:t>CT26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0294B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3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1.2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CE202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4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1.2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756AB" w14:textId="77777777" w:rsidR="001175B9" w:rsidRPr="00115BD5" w:rsidRDefault="001175B9" w:rsidP="00A40B52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115BD5">
              <w:rPr>
                <w:rFonts w:cstheme="minorHAnsi"/>
                <w:sz w:val="24"/>
              </w:rPr>
              <w:t>5</w:t>
            </w:r>
            <w:r w:rsidRPr="00115BD5">
              <w:rPr>
                <w:rFonts w:cstheme="minorHAnsi"/>
                <w:sz w:val="24"/>
                <w:lang w:val="en-GB"/>
              </w:rPr>
              <w:t>.</w:t>
            </w:r>
            <w:r w:rsidRPr="00115BD5">
              <w:rPr>
                <w:rFonts w:cstheme="minorHAnsi"/>
                <w:sz w:val="24"/>
              </w:rPr>
              <w:t>5</w:t>
            </w:r>
            <w:r w:rsidRPr="00115BD5">
              <w:rPr>
                <w:rFonts w:cstheme="minorHAnsi"/>
                <w:sz w:val="24"/>
                <w:lang w:val="en-GB"/>
              </w:rPr>
              <w:t xml:space="preserve"> ± 1.3</w:t>
            </w:r>
          </w:p>
        </w:tc>
      </w:tr>
    </w:tbl>
    <w:p w14:paraId="40BADED5" w14:textId="77777777" w:rsidR="005E656E" w:rsidRPr="00115BD5" w:rsidRDefault="005E656E">
      <w:pPr>
        <w:rPr>
          <w:rFonts w:cstheme="minorHAnsi"/>
          <w:lang w:val="en-GB"/>
        </w:rPr>
      </w:pPr>
    </w:p>
    <w:p w14:paraId="559D23C6" w14:textId="77777777" w:rsidR="004E3C83" w:rsidRPr="00115BD5" w:rsidRDefault="004E3C83">
      <w:pPr>
        <w:rPr>
          <w:rFonts w:cstheme="minorHAnsi"/>
          <w:lang w:val="en-GB"/>
        </w:rPr>
      </w:pPr>
    </w:p>
    <w:sectPr w:rsidR="004E3C83" w:rsidRPr="00115BD5" w:rsidSect="003558C0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E6C2" w14:textId="77777777" w:rsidR="003C0BB2" w:rsidRDefault="003C0BB2" w:rsidP="00E36FA6">
      <w:pPr>
        <w:spacing w:after="0" w:line="240" w:lineRule="auto"/>
      </w:pPr>
      <w:r>
        <w:separator/>
      </w:r>
    </w:p>
  </w:endnote>
  <w:endnote w:type="continuationSeparator" w:id="0">
    <w:p w14:paraId="3AEDABC2" w14:textId="77777777" w:rsidR="003C0BB2" w:rsidRDefault="003C0BB2" w:rsidP="00E3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291341"/>
      <w:docPartObj>
        <w:docPartGallery w:val="Page Numbers (Bottom of Page)"/>
        <w:docPartUnique/>
      </w:docPartObj>
    </w:sdtPr>
    <w:sdtEndPr/>
    <w:sdtContent>
      <w:p w14:paraId="0075E715" w14:textId="77777777" w:rsidR="00E36FA6" w:rsidRDefault="00E36FA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2EB651" w14:textId="77777777" w:rsidR="00E36FA6" w:rsidRDefault="00E36F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E902" w14:textId="77777777" w:rsidR="003C0BB2" w:rsidRDefault="003C0BB2" w:rsidP="00E36FA6">
      <w:pPr>
        <w:spacing w:after="0" w:line="240" w:lineRule="auto"/>
      </w:pPr>
      <w:r>
        <w:separator/>
      </w:r>
    </w:p>
  </w:footnote>
  <w:footnote w:type="continuationSeparator" w:id="0">
    <w:p w14:paraId="07058567" w14:textId="77777777" w:rsidR="003C0BB2" w:rsidRDefault="003C0BB2" w:rsidP="00E36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A6"/>
    <w:rsid w:val="000017A4"/>
    <w:rsid w:val="000025F8"/>
    <w:rsid w:val="000220F2"/>
    <w:rsid w:val="000538EE"/>
    <w:rsid w:val="00062090"/>
    <w:rsid w:val="00074804"/>
    <w:rsid w:val="00097FC2"/>
    <w:rsid w:val="000B5799"/>
    <w:rsid w:val="000D25EF"/>
    <w:rsid w:val="000F5D1F"/>
    <w:rsid w:val="001151EB"/>
    <w:rsid w:val="00115BD5"/>
    <w:rsid w:val="001175B9"/>
    <w:rsid w:val="001806F2"/>
    <w:rsid w:val="001D0420"/>
    <w:rsid w:val="001E2C63"/>
    <w:rsid w:val="002207AD"/>
    <w:rsid w:val="002224E8"/>
    <w:rsid w:val="002A6AD1"/>
    <w:rsid w:val="00312A1C"/>
    <w:rsid w:val="0031682E"/>
    <w:rsid w:val="00323DB5"/>
    <w:rsid w:val="003558C0"/>
    <w:rsid w:val="00361106"/>
    <w:rsid w:val="003C0BB2"/>
    <w:rsid w:val="003D4A42"/>
    <w:rsid w:val="00460ECE"/>
    <w:rsid w:val="0048393F"/>
    <w:rsid w:val="00496971"/>
    <w:rsid w:val="004D22C0"/>
    <w:rsid w:val="004E3C83"/>
    <w:rsid w:val="004E769E"/>
    <w:rsid w:val="00555082"/>
    <w:rsid w:val="00564656"/>
    <w:rsid w:val="005D7807"/>
    <w:rsid w:val="005E656E"/>
    <w:rsid w:val="005F0261"/>
    <w:rsid w:val="006174BB"/>
    <w:rsid w:val="00656380"/>
    <w:rsid w:val="006C1D2A"/>
    <w:rsid w:val="006D05C2"/>
    <w:rsid w:val="00711A5E"/>
    <w:rsid w:val="00744C6B"/>
    <w:rsid w:val="007644A0"/>
    <w:rsid w:val="007C3C4C"/>
    <w:rsid w:val="007D05E5"/>
    <w:rsid w:val="00801F9A"/>
    <w:rsid w:val="00826057"/>
    <w:rsid w:val="00864733"/>
    <w:rsid w:val="008932CA"/>
    <w:rsid w:val="008A5828"/>
    <w:rsid w:val="008A6285"/>
    <w:rsid w:val="008C4EA9"/>
    <w:rsid w:val="008D20DC"/>
    <w:rsid w:val="008F44FA"/>
    <w:rsid w:val="008F5C00"/>
    <w:rsid w:val="0091339F"/>
    <w:rsid w:val="009400DE"/>
    <w:rsid w:val="0095684F"/>
    <w:rsid w:val="009C741B"/>
    <w:rsid w:val="009D01F9"/>
    <w:rsid w:val="009E371D"/>
    <w:rsid w:val="00A016E9"/>
    <w:rsid w:val="00AB7DD0"/>
    <w:rsid w:val="00B31334"/>
    <w:rsid w:val="00B37597"/>
    <w:rsid w:val="00B4316F"/>
    <w:rsid w:val="00B5124A"/>
    <w:rsid w:val="00B91F22"/>
    <w:rsid w:val="00C52D99"/>
    <w:rsid w:val="00C776E9"/>
    <w:rsid w:val="00D45A9C"/>
    <w:rsid w:val="00D57ED8"/>
    <w:rsid w:val="00DD7876"/>
    <w:rsid w:val="00E27F4D"/>
    <w:rsid w:val="00E33937"/>
    <w:rsid w:val="00E36FA6"/>
    <w:rsid w:val="00E60AED"/>
    <w:rsid w:val="00EE2407"/>
    <w:rsid w:val="00F6188A"/>
    <w:rsid w:val="00F822D1"/>
    <w:rsid w:val="00F921F8"/>
    <w:rsid w:val="00FB152C"/>
    <w:rsid w:val="00FB2E21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C3C31D"/>
  <w15:chartTrackingRefBased/>
  <w15:docId w15:val="{524CC5D9-07BF-4F43-9BFD-F616AC13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6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FA6"/>
  </w:style>
  <w:style w:type="paragraph" w:styleId="Footer">
    <w:name w:val="footer"/>
    <w:basedOn w:val="Normal"/>
    <w:link w:val="FooterChar"/>
    <w:uiPriority w:val="99"/>
    <w:unhideWhenUsed/>
    <w:rsid w:val="00E36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FA6"/>
  </w:style>
  <w:style w:type="paragraph" w:customStyle="1" w:styleId="MDPI12title">
    <w:name w:val="MDPI_1.2_title"/>
    <w:next w:val="Normal"/>
    <w:qFormat/>
    <w:rsid w:val="008D20D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8D20D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5E656E"/>
    <w:pPr>
      <w:spacing w:after="200" w:line="240" w:lineRule="auto"/>
      <w:jc w:val="both"/>
    </w:pPr>
    <w:rPr>
      <w:rFonts w:ascii="Times New Roman" w:hAnsi="Times New Roman"/>
      <w:b/>
      <w:iCs/>
      <w:color w:val="000000" w:themeColor="text1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43598-E9A7-4C25-A6C2-C2F19B53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2012</Characters>
  <Application>Microsoft Office Word</Application>
  <DocSecurity>0</DocSecurity>
  <Lines>105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Kešar Urša</dc:creator>
  <cp:keywords/>
  <dc:description/>
  <cp:lastModifiedBy>Markelc Boštjan</cp:lastModifiedBy>
  <cp:revision>4</cp:revision>
  <dcterms:created xsi:type="dcterms:W3CDTF">2025-12-25T04:11:00Z</dcterms:created>
  <dcterms:modified xsi:type="dcterms:W3CDTF">2025-12-25T06:34:00Z</dcterms:modified>
</cp:coreProperties>
</file>