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87E00">
      <w:pPr>
        <w:spacing w:line="360" w:lineRule="auto"/>
        <w:rPr>
          <w:rFonts w:hint="default" w:ascii="Times New Roman" w:hAnsi="Times New Roman" w:cs="Times New Roman"/>
          <w:sz w:val="21"/>
          <w:szCs w:val="21"/>
          <w:lang w:eastAsia="zh-CN"/>
        </w:rPr>
      </w:pPr>
      <w:r>
        <w:rPr>
          <w:rFonts w:hint="default" w:ascii="Times New Roman" w:hAnsi="Times New Roman" w:cs="Times New Roman"/>
          <w:sz w:val="21"/>
          <w:szCs w:val="21"/>
        </w:rPr>
        <w:t>Supplementary</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Figure</w:t>
      </w:r>
      <w:r>
        <w:rPr>
          <w:rFonts w:hint="eastAsia" w:ascii="Times New Roman" w:hAnsi="Times New Roman" w:cs="Times New Roman"/>
          <w:sz w:val="21"/>
          <w:szCs w:val="21"/>
          <w:lang w:val="en-US" w:eastAsia="zh-CN"/>
        </w:rPr>
        <w:t xml:space="preserve"> 1 A</w:t>
      </w:r>
      <w:r>
        <w:rPr>
          <w:rFonts w:hint="default" w:ascii="Times New Roman" w:hAnsi="Times New Roman" w:cs="Times New Roman"/>
          <w:sz w:val="21"/>
          <w:szCs w:val="21"/>
          <w:lang w:eastAsia="zh-CN"/>
        </w:rPr>
        <w:t>ssociation between SUMO</w:t>
      </w:r>
      <w:r>
        <w:rPr>
          <w:rFonts w:hint="eastAsia" w:ascii="Times New Roman" w:hAnsi="Times New Roman" w:cs="Times New Roman"/>
          <w:sz w:val="21"/>
          <w:szCs w:val="21"/>
          <w:lang w:val="en-US" w:eastAsia="zh-CN"/>
        </w:rPr>
        <w:t>ylation</w:t>
      </w:r>
      <w:r>
        <w:rPr>
          <w:rFonts w:hint="default" w:ascii="Times New Roman" w:hAnsi="Times New Roman" w:cs="Times New Roman"/>
          <w:sz w:val="21"/>
          <w:szCs w:val="21"/>
          <w:lang w:eastAsia="zh-CN"/>
        </w:rPr>
        <w:t>-related genes cluster subtypes and pathway regulation</w:t>
      </w:r>
    </w:p>
    <w:p w14:paraId="16FA90D4">
      <w:pPr>
        <w:numPr>
          <w:ilvl w:val="0"/>
          <w:numId w:val="0"/>
        </w:numPr>
        <w:spacing w:line="360" w:lineRule="auto"/>
        <w:rPr>
          <w:rFonts w:hint="default" w:ascii="Times New Roman" w:hAnsi="Times New Roman" w:cs="Times New Roman"/>
          <w:sz w:val="21"/>
          <w:szCs w:val="21"/>
          <w:lang w:eastAsia="zh-CN"/>
        </w:rPr>
      </w:pPr>
      <w:r>
        <w:rPr>
          <w:rFonts w:hint="eastAsia" w:ascii="Times New Roman" w:hAnsi="Times New Roman" w:cs="Times New Roman"/>
          <w:sz w:val="21"/>
          <w:szCs w:val="21"/>
          <w:lang w:val="en-US" w:eastAsia="zh-CN"/>
        </w:rPr>
        <w:t xml:space="preserve">A. Comparative pathway enrichment analysis between Cluster A and Cluster B. B. Comparative pathway enrichment analysis between Cluster A and Cluster C. C.Comparative pathway enrichment analysis between Cluster B and Cluster C. D Comparative pathway enrichment analysis between Cluster A, Cluster B and Cluster C. </w:t>
      </w:r>
      <w:r>
        <w:rPr>
          <w:rFonts w:hint="default" w:ascii="Times New Roman" w:hAnsi="Times New Roman" w:cs="Times New Roman"/>
          <w:sz w:val="21"/>
          <w:szCs w:val="21"/>
          <w:lang w:eastAsia="zh-CN"/>
        </w:rPr>
        <w:t>The color gradient indicates the relative level of pathway activity, with red representing upregulation and blue representing downregulation.</w:t>
      </w:r>
    </w:p>
    <w:p w14:paraId="0BAE891E">
      <w:pPr>
        <w:numPr>
          <w:ilvl w:val="0"/>
          <w:numId w:val="0"/>
        </w:numPr>
        <w:spacing w:line="360" w:lineRule="auto"/>
        <w:rPr>
          <w:rFonts w:hint="default" w:ascii="Times New Roman" w:hAnsi="Times New Roman" w:cs="Times New Roman"/>
          <w:sz w:val="21"/>
          <w:szCs w:val="21"/>
          <w:lang w:val="en-US" w:eastAsia="zh-CN"/>
        </w:rPr>
      </w:pPr>
    </w:p>
    <w:p w14:paraId="0229F42B">
      <w:pPr>
        <w:spacing w:line="360" w:lineRule="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Supplementary</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Figure</w:t>
      </w:r>
      <w:r>
        <w:rPr>
          <w:rFonts w:hint="eastAsia" w:ascii="Times New Roman" w:hAnsi="Times New Roman" w:cs="Times New Roman"/>
          <w:sz w:val="21"/>
          <w:szCs w:val="21"/>
          <w:lang w:val="en-US" w:eastAsia="zh-CN"/>
        </w:rPr>
        <w:t xml:space="preserve"> 2 </w:t>
      </w:r>
      <w:r>
        <w:rPr>
          <w:rFonts w:hint="default" w:ascii="Times New Roman" w:hAnsi="Times New Roman" w:cs="Times New Roman"/>
          <w:sz w:val="21"/>
          <w:szCs w:val="21"/>
          <w:lang w:eastAsia="zh-CN"/>
        </w:rPr>
        <w:t>Association between SUMOylation-related gene cluster subtypes and immune cell infiltration</w:t>
      </w:r>
      <w:r>
        <w:rPr>
          <w:rFonts w:hint="eastAsia" w:ascii="Times New Roman" w:hAnsi="Times New Roman" w:cs="Times New Roman"/>
          <w:sz w:val="21"/>
          <w:szCs w:val="21"/>
          <w:lang w:val="en-US" w:eastAsia="zh-CN"/>
        </w:rPr>
        <w:t>.</w:t>
      </w:r>
    </w:p>
    <w:p w14:paraId="4BEC43A2">
      <w:pPr>
        <w:numPr>
          <w:ilvl w:val="0"/>
          <w:numId w:val="0"/>
        </w:numPr>
        <w:spacing w:line="360" w:lineRule="auto"/>
        <w:rPr>
          <w:rFonts w:hint="default" w:ascii="Times New Roman" w:hAnsi="Times New Roman" w:cs="Times New Roman"/>
          <w:sz w:val="21"/>
          <w:szCs w:val="21"/>
          <w:lang w:eastAsia="zh-CN"/>
        </w:rPr>
      </w:pPr>
      <w:r>
        <w:rPr>
          <w:rFonts w:hint="default" w:ascii="Times New Roman" w:hAnsi="Times New Roman" w:cs="Times New Roman" w:eastAsiaTheme="minorEastAsia"/>
          <w:kern w:val="2"/>
          <w:sz w:val="21"/>
          <w:szCs w:val="21"/>
          <w:lang w:val="en-US" w:eastAsia="zh-CN" w:bidi="ar-SA"/>
        </w:rPr>
        <w:t>A.</w:t>
      </w:r>
      <w:r>
        <w:rPr>
          <w:rFonts w:hint="default" w:ascii="Times New Roman" w:hAnsi="Times New Roman" w:cs="Times New Roman"/>
          <w:sz w:val="21"/>
          <w:szCs w:val="21"/>
          <w:lang w:eastAsia="zh-CN"/>
        </w:rPr>
        <w:t>PCA plot show</w:t>
      </w:r>
      <w:r>
        <w:rPr>
          <w:rFonts w:hint="eastAsia" w:ascii="Times New Roman" w:hAnsi="Times New Roman" w:cs="Times New Roman"/>
          <w:sz w:val="21"/>
          <w:szCs w:val="21"/>
          <w:lang w:val="en-US" w:eastAsia="zh-CN"/>
        </w:rPr>
        <w:t>ed</w:t>
      </w:r>
      <w:r>
        <w:rPr>
          <w:rFonts w:hint="default" w:ascii="Times New Roman" w:hAnsi="Times New Roman" w:cs="Times New Roman"/>
          <w:sz w:val="21"/>
          <w:szCs w:val="21"/>
          <w:lang w:eastAsia="zh-CN"/>
        </w:rPr>
        <w:t xml:space="preserve"> the sample distribution of the three cluster </w:t>
      </w:r>
      <w:r>
        <w:rPr>
          <w:rFonts w:hint="eastAsia" w:ascii="Times New Roman" w:hAnsi="Times New Roman" w:cs="Times New Roman"/>
          <w:sz w:val="21"/>
          <w:szCs w:val="21"/>
          <w:lang w:val="en-US" w:eastAsia="zh-CN"/>
        </w:rPr>
        <w:t>sub</w:t>
      </w:r>
      <w:r>
        <w:rPr>
          <w:rFonts w:hint="default" w:ascii="Times New Roman" w:hAnsi="Times New Roman" w:cs="Times New Roman"/>
          <w:sz w:val="21"/>
          <w:szCs w:val="21"/>
          <w:lang w:eastAsia="zh-CN"/>
        </w:rPr>
        <w:t>type</w:t>
      </w:r>
      <w:r>
        <w:rPr>
          <w:rFonts w:hint="eastAsia" w:ascii="Times New Roman" w:hAnsi="Times New Roman" w:cs="Times New Roman"/>
          <w:sz w:val="21"/>
          <w:szCs w:val="21"/>
          <w:lang w:val="en-US" w:eastAsia="zh-CN"/>
        </w:rPr>
        <w:t xml:space="preserve">s. </w:t>
      </w:r>
      <w:r>
        <w:rPr>
          <w:rFonts w:hint="default" w:ascii="Times New Roman" w:hAnsi="Times New Roman" w:cs="Times New Roman"/>
          <w:sz w:val="21"/>
          <w:szCs w:val="21"/>
          <w:lang w:eastAsia="zh-CN"/>
        </w:rPr>
        <w:t>B</w:t>
      </w:r>
      <w:r>
        <w:rPr>
          <w:rFonts w:hint="eastAsia" w:ascii="Times New Roman" w:hAnsi="Times New Roman" w:cs="Times New Roman"/>
          <w:sz w:val="21"/>
          <w:szCs w:val="21"/>
          <w:lang w:val="en-US" w:eastAsia="zh-CN"/>
        </w:rPr>
        <w:t>.</w:t>
      </w:r>
      <w:r>
        <w:rPr>
          <w:rFonts w:hint="default" w:ascii="Times New Roman" w:hAnsi="Times New Roman" w:cs="Times New Roman"/>
          <w:sz w:val="21"/>
          <w:szCs w:val="21"/>
          <w:lang w:eastAsia="zh-CN"/>
        </w:rPr>
        <w:t xml:space="preserve"> The differences in immune cell infiltration among </w:t>
      </w:r>
      <w:r>
        <w:rPr>
          <w:rFonts w:hint="eastAsia" w:ascii="Times New Roman" w:hAnsi="Times New Roman" w:cs="Times New Roman"/>
          <w:sz w:val="21"/>
          <w:szCs w:val="21"/>
          <w:lang w:val="en-US" w:eastAsia="zh-CN"/>
        </w:rPr>
        <w:t xml:space="preserve">three </w:t>
      </w:r>
      <w:r>
        <w:rPr>
          <w:rFonts w:hint="default" w:ascii="Times New Roman" w:hAnsi="Times New Roman" w:cs="Times New Roman"/>
          <w:sz w:val="21"/>
          <w:szCs w:val="21"/>
          <w:lang w:eastAsia="zh-CN"/>
        </w:rPr>
        <w:t>cluster</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subtypes</w:t>
      </w:r>
      <w:r>
        <w:rPr>
          <w:rFonts w:hint="eastAsia" w:ascii="Times New Roman" w:hAnsi="Times New Roman" w:cs="Times New Roman"/>
          <w:sz w:val="21"/>
          <w:szCs w:val="21"/>
          <w:lang w:val="en-US" w:eastAsia="zh-CN"/>
        </w:rPr>
        <w:t xml:space="preserve">. C.Heatmap depicting the association between </w:t>
      </w:r>
      <w:r>
        <w:rPr>
          <w:rFonts w:hint="default" w:ascii="Times New Roman" w:hAnsi="Times New Roman" w:cs="Times New Roman"/>
          <w:sz w:val="21"/>
          <w:szCs w:val="21"/>
          <w:lang w:eastAsia="zh-CN"/>
        </w:rPr>
        <w:t>three cluster</w:t>
      </w:r>
      <w:r>
        <w:rPr>
          <w:rFonts w:hint="eastAsia" w:ascii="Times New Roman" w:hAnsi="Times New Roman" w:cs="Times New Roman"/>
          <w:sz w:val="21"/>
          <w:szCs w:val="21"/>
          <w:lang w:val="en-US" w:eastAsia="zh-CN"/>
        </w:rPr>
        <w:t xml:space="preserve"> subtypes and immune cell composition within the tumor immune microenvironment.</w:t>
      </w:r>
      <w:r>
        <w:rPr>
          <w:rFonts w:hint="default" w:ascii="Times New Roman" w:hAnsi="Times New Roman" w:cs="Times New Roman"/>
          <w:sz w:val="21"/>
          <w:szCs w:val="21"/>
          <w:lang w:eastAsia="zh-CN"/>
        </w:rPr>
        <w:t xml:space="preserve"> The color gradient reflects the normalized abundance of immune cells (red: high infiltration, blue: low infiltration)</w:t>
      </w:r>
      <w:r>
        <w:rPr>
          <w:rFonts w:hint="eastAsia" w:ascii="Times New Roman" w:hAnsi="Times New Roman" w:cs="Times New Roman"/>
          <w:sz w:val="21"/>
          <w:szCs w:val="21"/>
          <w:lang w:val="en-US" w:eastAsia="zh-CN"/>
        </w:rPr>
        <w:t>.</w:t>
      </w:r>
      <w:r>
        <w:rPr>
          <w:rFonts w:hint="default" w:ascii="Times New Roman" w:hAnsi="Times New Roman" w:cs="Times New Roman"/>
          <w:sz w:val="21"/>
          <w:szCs w:val="21"/>
          <w:lang w:eastAsia="zh-CN"/>
        </w:rPr>
        <w:t xml:space="preserve"> ns: not significant; *</w:t>
      </w:r>
      <w:r>
        <w:rPr>
          <w:rFonts w:hint="default" w:ascii="Times New Roman" w:hAnsi="Times New Roman" w:cs="Times New Roman"/>
          <w:i/>
          <w:iCs/>
          <w:sz w:val="21"/>
          <w:szCs w:val="21"/>
          <w:lang w:eastAsia="zh-CN"/>
        </w:rPr>
        <w:t>P</w:t>
      </w:r>
      <w:r>
        <w:rPr>
          <w:rFonts w:hint="default" w:ascii="Times New Roman" w:hAnsi="Times New Roman" w:cs="Times New Roman"/>
          <w:sz w:val="21"/>
          <w:szCs w:val="21"/>
          <w:lang w:eastAsia="zh-CN"/>
        </w:rPr>
        <w:t>&lt;0.05; **</w:t>
      </w:r>
      <w:r>
        <w:rPr>
          <w:rFonts w:hint="default" w:ascii="Times New Roman" w:hAnsi="Times New Roman" w:cs="Times New Roman"/>
          <w:i/>
          <w:iCs/>
          <w:sz w:val="21"/>
          <w:szCs w:val="21"/>
          <w:lang w:eastAsia="zh-CN"/>
        </w:rPr>
        <w:t>P</w:t>
      </w:r>
      <w:r>
        <w:rPr>
          <w:rFonts w:hint="default" w:ascii="Times New Roman" w:hAnsi="Times New Roman" w:cs="Times New Roman"/>
          <w:sz w:val="21"/>
          <w:szCs w:val="21"/>
          <w:lang w:eastAsia="zh-CN"/>
        </w:rPr>
        <w:t>&lt;0.01; ***</w:t>
      </w:r>
      <w:r>
        <w:rPr>
          <w:rFonts w:hint="default" w:ascii="Times New Roman" w:hAnsi="Times New Roman" w:cs="Times New Roman"/>
          <w:i/>
          <w:iCs/>
          <w:sz w:val="21"/>
          <w:szCs w:val="21"/>
          <w:lang w:eastAsia="zh-CN"/>
        </w:rPr>
        <w:t>P</w:t>
      </w:r>
      <w:r>
        <w:rPr>
          <w:rFonts w:hint="default" w:ascii="Times New Roman" w:hAnsi="Times New Roman" w:cs="Times New Roman"/>
          <w:sz w:val="21"/>
          <w:szCs w:val="21"/>
          <w:lang w:eastAsia="zh-CN"/>
        </w:rPr>
        <w:t>&lt;0.001; ****</w:t>
      </w:r>
      <w:r>
        <w:rPr>
          <w:rFonts w:hint="default" w:ascii="Times New Roman" w:hAnsi="Times New Roman" w:cs="Times New Roman"/>
          <w:i/>
          <w:iCs/>
          <w:sz w:val="21"/>
          <w:szCs w:val="21"/>
          <w:lang w:eastAsia="zh-CN"/>
        </w:rPr>
        <w:t>P</w:t>
      </w:r>
      <w:r>
        <w:rPr>
          <w:rFonts w:hint="default" w:ascii="Times New Roman" w:hAnsi="Times New Roman" w:cs="Times New Roman"/>
          <w:sz w:val="21"/>
          <w:szCs w:val="21"/>
          <w:lang w:eastAsia="zh-CN"/>
        </w:rPr>
        <w:t>&lt;0.0001.</w:t>
      </w:r>
    </w:p>
    <w:p w14:paraId="49C20B39">
      <w:pPr>
        <w:spacing w:line="360" w:lineRule="auto"/>
        <w:rPr>
          <w:rFonts w:hint="default" w:ascii="Times New Roman" w:hAnsi="Times New Roman" w:cs="Times New Roman"/>
          <w:sz w:val="21"/>
          <w:szCs w:val="21"/>
        </w:rPr>
      </w:pPr>
    </w:p>
    <w:p w14:paraId="1B91A4D0">
      <w:pPr>
        <w:numPr>
          <w:ilvl w:val="0"/>
          <w:numId w:val="0"/>
        </w:numPr>
        <w:spacing w:line="360" w:lineRule="auto"/>
        <w:rPr>
          <w:rFonts w:hint="default" w:ascii="Times New Roman" w:hAnsi="Times New Roman" w:cs="Times New Roman"/>
          <w:sz w:val="21"/>
          <w:szCs w:val="21"/>
          <w:lang w:eastAsia="zh-CN"/>
        </w:rPr>
      </w:pPr>
      <w:r>
        <w:rPr>
          <w:rFonts w:hint="default" w:ascii="Times New Roman" w:hAnsi="Times New Roman" w:cs="Times New Roman"/>
          <w:sz w:val="21"/>
          <w:szCs w:val="21"/>
        </w:rPr>
        <w:t>Supplementary</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Figure</w:t>
      </w:r>
      <w:r>
        <w:rPr>
          <w:rFonts w:hint="eastAsia" w:ascii="Times New Roman" w:hAnsi="Times New Roman" w:cs="Times New Roman"/>
          <w:sz w:val="21"/>
          <w:szCs w:val="21"/>
          <w:lang w:val="en-US" w:eastAsia="zh-CN"/>
        </w:rPr>
        <w:t xml:space="preserve"> </w:t>
      </w:r>
      <w:bookmarkStart w:id="0" w:name="_GoBack"/>
      <w:bookmarkEnd w:id="0"/>
      <w:r>
        <w:rPr>
          <w:rFonts w:hint="eastAsia" w:ascii="Times New Roman" w:hAnsi="Times New Roman" w:cs="Times New Roman"/>
          <w:sz w:val="21"/>
          <w:szCs w:val="21"/>
          <w:lang w:val="en-US" w:eastAsia="zh-CN"/>
        </w:rPr>
        <w:t>3</w:t>
      </w:r>
      <w:r>
        <w:rPr>
          <w:rFonts w:hint="default" w:ascii="Times New Roman" w:hAnsi="Times New Roman" w:cs="Times New Roman"/>
          <w:sz w:val="21"/>
          <w:szCs w:val="21"/>
          <w:lang w:eastAsia="zh-CN"/>
        </w:rPr>
        <w:t xml:space="preserve"> </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 xml:space="preserve">ROC curves for the training cohorts  </w:t>
      </w:r>
    </w:p>
    <w:p w14:paraId="3F6DBA9D">
      <w:p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t>A.ROC curves GSE17538 training cohor.</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rPr>
        <w:t>B.ROC curves TCGA training cohor</w:t>
      </w:r>
    </w:p>
    <w:p w14:paraId="440CBB3B">
      <w:pPr>
        <w:rPr>
          <w:sz w:val="21"/>
          <w:szCs w:val="21"/>
        </w:rPr>
      </w:pPr>
    </w:p>
    <w:p w14:paraId="0896F73C">
      <w:pPr>
        <w:numPr>
          <w:ilvl w:val="0"/>
          <w:numId w:val="0"/>
        </w:numPr>
        <w:spacing w:line="360" w:lineRule="auto"/>
        <w:rPr>
          <w:rFonts w:hint="default" w:ascii="Times New Roman" w:hAnsi="Times New Roman" w:cs="Times New Roman"/>
          <w:sz w:val="21"/>
          <w:szCs w:val="21"/>
          <w:lang w:eastAsia="zh-CN"/>
        </w:rPr>
      </w:pPr>
      <w:r>
        <w:rPr>
          <w:rFonts w:hint="default" w:ascii="Times New Roman" w:hAnsi="Times New Roman" w:cs="Times New Roman"/>
          <w:sz w:val="21"/>
          <w:szCs w:val="21"/>
        </w:rPr>
        <w:t>Supplementary</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Figure</w:t>
      </w:r>
      <w:r>
        <w:rPr>
          <w:rFonts w:hint="eastAsia" w:ascii="Times New Roman" w:hAnsi="Times New Roman" w:cs="Times New Roman"/>
          <w:sz w:val="21"/>
          <w:szCs w:val="21"/>
          <w:lang w:val="en-US" w:eastAsia="zh-CN"/>
        </w:rPr>
        <w:t xml:space="preserve"> 4</w:t>
      </w:r>
      <w:r>
        <w:rPr>
          <w:rFonts w:hint="default" w:ascii="Times New Roman" w:hAnsi="Times New Roman" w:cs="Times New Roman"/>
          <w:sz w:val="21"/>
          <w:szCs w:val="21"/>
          <w:lang w:eastAsia="zh-CN"/>
        </w:rPr>
        <w:t xml:space="preserve"> Association between the prognostic model and clinicopathological characteristics</w:t>
      </w:r>
    </w:p>
    <w:p w14:paraId="69E8A361">
      <w:pPr>
        <w:numPr>
          <w:ilvl w:val="0"/>
          <w:numId w:val="0"/>
        </w:numPr>
        <w:spacing w:line="360" w:lineRule="auto"/>
        <w:rPr>
          <w:rFonts w:hint="eastAsia" w:ascii="Times New Roman" w:hAnsi="Times New Roman" w:cs="Times New Roman"/>
          <w:kern w:val="2"/>
          <w:sz w:val="21"/>
          <w:szCs w:val="21"/>
          <w:lang w:val="en-US" w:eastAsia="zh-CN" w:bidi="ar-SA"/>
        </w:rPr>
      </w:pPr>
      <w:r>
        <w:rPr>
          <w:rFonts w:hint="eastAsia" w:ascii="Times New Roman" w:hAnsi="Times New Roman" w:cs="Times New Roman" w:eastAsiaTheme="minorEastAsia"/>
          <w:kern w:val="2"/>
          <w:sz w:val="21"/>
          <w:szCs w:val="21"/>
          <w:lang w:val="en-US" w:eastAsia="zh-CN" w:bidi="ar-SA"/>
        </w:rPr>
        <w:t>B.</w:t>
      </w:r>
      <w:r>
        <w:rPr>
          <w:rFonts w:hint="default" w:ascii="Times New Roman" w:hAnsi="Times New Roman" w:cs="Times New Roman" w:eastAsiaTheme="minorEastAsia"/>
          <w:kern w:val="2"/>
          <w:sz w:val="21"/>
          <w:szCs w:val="21"/>
          <w:lang w:val="en-US" w:eastAsia="zh-CN" w:bidi="ar-SA"/>
        </w:rPr>
        <w:t>Association between model score and overall survival</w:t>
      </w:r>
      <w:r>
        <w:rPr>
          <w:rFonts w:hint="eastAsia" w:ascii="Times New Roman" w:hAnsi="Times New Roman" w:cs="Times New Roman"/>
          <w:kern w:val="2"/>
          <w:sz w:val="21"/>
          <w:szCs w:val="21"/>
          <w:lang w:val="en-US" w:eastAsia="zh-CN" w:bidi="ar-SA"/>
        </w:rPr>
        <w:t xml:space="preserve">. </w:t>
      </w:r>
      <w:r>
        <w:rPr>
          <w:rFonts w:hint="default" w:ascii="Times New Roman" w:hAnsi="Times New Roman" w:cs="Times New Roman" w:eastAsiaTheme="minorEastAsia"/>
          <w:kern w:val="2"/>
          <w:sz w:val="21"/>
          <w:szCs w:val="21"/>
          <w:lang w:val="en-US" w:eastAsia="zh-CN" w:bidi="ar-SA"/>
        </w:rPr>
        <w:t>B. Association between model score and tumor metastasis or recurrence</w:t>
      </w:r>
      <w:r>
        <w:rPr>
          <w:rFonts w:hint="eastAsia" w:ascii="Times New Roman" w:hAnsi="Times New Roman" w:cs="Times New Roman"/>
          <w:kern w:val="2"/>
          <w:sz w:val="21"/>
          <w:szCs w:val="21"/>
          <w:lang w:val="en-US" w:eastAsia="zh-CN" w:bidi="ar-SA"/>
        </w:rPr>
        <w:t xml:space="preserve">. </w:t>
      </w:r>
      <w:r>
        <w:rPr>
          <w:rFonts w:hint="default" w:ascii="Times New Roman" w:hAnsi="Times New Roman" w:cs="Times New Roman" w:eastAsiaTheme="minorEastAsia"/>
          <w:kern w:val="2"/>
          <w:sz w:val="21"/>
          <w:szCs w:val="21"/>
          <w:lang w:val="en-US" w:eastAsia="zh-CN" w:bidi="ar-SA"/>
        </w:rPr>
        <w:t>C</w:t>
      </w:r>
      <w:r>
        <w:rPr>
          <w:rFonts w:hint="eastAsia" w:ascii="Times New Roman" w:hAnsi="Times New Roman" w:cs="Times New Roman"/>
          <w:kern w:val="2"/>
          <w:sz w:val="21"/>
          <w:szCs w:val="21"/>
          <w:lang w:val="en-US" w:eastAsia="zh-CN" w:bidi="ar-SA"/>
        </w:rPr>
        <w:t>.</w:t>
      </w:r>
      <w:r>
        <w:rPr>
          <w:rFonts w:hint="default" w:ascii="Times New Roman" w:hAnsi="Times New Roman" w:cs="Times New Roman" w:eastAsiaTheme="minorEastAsia"/>
          <w:kern w:val="2"/>
          <w:sz w:val="21"/>
          <w:szCs w:val="21"/>
          <w:lang w:val="en-US" w:eastAsia="zh-CN" w:bidi="ar-SA"/>
        </w:rPr>
        <w:t>Association between model score and tumor stage</w:t>
      </w:r>
      <w:r>
        <w:rPr>
          <w:rFonts w:hint="eastAsia" w:ascii="Times New Roman" w:hAnsi="Times New Roman" w:cs="Times New Roman"/>
          <w:kern w:val="2"/>
          <w:sz w:val="21"/>
          <w:szCs w:val="21"/>
          <w:lang w:val="en-US" w:eastAsia="zh-CN" w:bidi="ar-SA"/>
        </w:rPr>
        <w:t xml:space="preserve">. </w:t>
      </w:r>
      <w:r>
        <w:rPr>
          <w:rFonts w:hint="default" w:ascii="Times New Roman" w:hAnsi="Times New Roman" w:cs="Times New Roman" w:eastAsiaTheme="minorEastAsia"/>
          <w:kern w:val="2"/>
          <w:sz w:val="21"/>
          <w:szCs w:val="21"/>
          <w:lang w:val="en-US" w:eastAsia="zh-CN" w:bidi="ar-SA"/>
        </w:rPr>
        <w:t>D. Association between model score and tumor type</w:t>
      </w:r>
      <w:r>
        <w:rPr>
          <w:rFonts w:hint="eastAsia" w:ascii="Times New Roman" w:hAnsi="Times New Roman" w:cs="Times New Roman"/>
          <w:kern w:val="2"/>
          <w:sz w:val="21"/>
          <w:szCs w:val="21"/>
          <w:lang w:val="en-US" w:eastAsia="zh-CN" w:bidi="ar-SA"/>
        </w:rPr>
        <w:t xml:space="preserve">. </w:t>
      </w:r>
      <w:r>
        <w:rPr>
          <w:rFonts w:hint="default" w:ascii="Times New Roman" w:hAnsi="Times New Roman" w:cs="Times New Roman" w:eastAsiaTheme="minorEastAsia"/>
          <w:kern w:val="2"/>
          <w:sz w:val="21"/>
          <w:szCs w:val="21"/>
          <w:lang w:val="en-US" w:eastAsia="zh-CN" w:bidi="ar-SA"/>
        </w:rPr>
        <w:t>E. Univariate analysis of the prognostic model score</w:t>
      </w:r>
      <w:r>
        <w:rPr>
          <w:rFonts w:hint="eastAsia" w:ascii="Times New Roman" w:hAnsi="Times New Roman" w:cs="Times New Roman"/>
          <w:kern w:val="2"/>
          <w:sz w:val="21"/>
          <w:szCs w:val="21"/>
          <w:lang w:val="en-US" w:eastAsia="zh-CN" w:bidi="ar-SA"/>
        </w:rPr>
        <w:t xml:space="preserve">. </w:t>
      </w:r>
      <w:r>
        <w:rPr>
          <w:rFonts w:hint="default" w:ascii="Times New Roman" w:hAnsi="Times New Roman" w:cs="Times New Roman" w:eastAsiaTheme="minorEastAsia"/>
          <w:kern w:val="2"/>
          <w:sz w:val="21"/>
          <w:szCs w:val="21"/>
          <w:lang w:val="en-US" w:eastAsia="zh-CN" w:bidi="ar-SA"/>
        </w:rPr>
        <w:t>F. Multivariate analysis of the prognostic model score</w:t>
      </w:r>
      <w:r>
        <w:rPr>
          <w:rFonts w:hint="eastAsia" w:ascii="Times New Roman" w:hAnsi="Times New Roman" w:cs="Times New Roman"/>
          <w:kern w:val="2"/>
          <w:sz w:val="21"/>
          <w:szCs w:val="21"/>
          <w:lang w:val="en-US" w:eastAsia="zh-CN" w:bidi="ar-SA"/>
        </w:rPr>
        <w:t xml:space="preserve">. HR &lt; 1 indicates a negative correlation; HR &gt; 1 indicates a positive correlation; </w:t>
      </w:r>
      <w:r>
        <w:rPr>
          <w:rFonts w:hint="eastAsia" w:ascii="Times New Roman" w:hAnsi="Times New Roman" w:cs="Times New Roman"/>
          <w:i/>
          <w:iCs/>
          <w:kern w:val="2"/>
          <w:sz w:val="21"/>
          <w:szCs w:val="21"/>
          <w:lang w:val="en-US" w:eastAsia="zh-CN" w:bidi="ar-SA"/>
        </w:rPr>
        <w:t>P</w:t>
      </w:r>
      <w:r>
        <w:rPr>
          <w:rFonts w:hint="eastAsia" w:ascii="Times New Roman" w:hAnsi="Times New Roman" w:cs="Times New Roman"/>
          <w:kern w:val="2"/>
          <w:sz w:val="21"/>
          <w:szCs w:val="21"/>
          <w:lang w:val="en-US" w:eastAsia="zh-CN" w:bidi="ar-SA"/>
        </w:rPr>
        <w:t xml:space="preserve"> &lt; 0.05 indicates statistical significance.</w:t>
      </w:r>
    </w:p>
    <w:p w14:paraId="3DF8F2EE">
      <w:pPr>
        <w:numPr>
          <w:ilvl w:val="0"/>
          <w:numId w:val="0"/>
        </w:numPr>
        <w:spacing w:line="360" w:lineRule="auto"/>
        <w:rPr>
          <w:rFonts w:hint="default" w:ascii="Times New Roman" w:hAnsi="Times New Roman" w:cs="Times New Roman"/>
          <w:kern w:val="2"/>
          <w:sz w:val="21"/>
          <w:szCs w:val="21"/>
          <w:lang w:val="en-US" w:eastAsia="zh-CN" w:bidi="ar-SA"/>
        </w:rPr>
      </w:pPr>
    </w:p>
    <w:p w14:paraId="114554A8">
      <w:pPr>
        <w:numPr>
          <w:ilvl w:val="0"/>
          <w:numId w:val="0"/>
        </w:numPr>
        <w:spacing w:line="360" w:lineRule="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Supplementary</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Figure</w:t>
      </w:r>
      <w:r>
        <w:rPr>
          <w:rFonts w:hint="eastAsia" w:ascii="Times New Roman" w:hAnsi="Times New Roman" w:cs="Times New Roman"/>
          <w:sz w:val="21"/>
          <w:szCs w:val="21"/>
          <w:lang w:val="en-US" w:eastAsia="zh-CN"/>
        </w:rPr>
        <w:t xml:space="preserve"> 5 </w:t>
      </w:r>
      <w:r>
        <w:rPr>
          <w:rFonts w:hint="default" w:ascii="Times New Roman" w:hAnsi="Times New Roman" w:cs="Times New Roman"/>
          <w:sz w:val="21"/>
          <w:szCs w:val="21"/>
          <w:lang w:val="en-US" w:eastAsia="zh-CN"/>
        </w:rPr>
        <w:t>The prognostic model assigns scores to all genes and conducts pathway enrichment analysis</w:t>
      </w:r>
      <w:r>
        <w:rPr>
          <w:rFonts w:hint="eastAsia" w:ascii="Times New Roman" w:hAnsi="Times New Roman" w:cs="Times New Roman"/>
          <w:sz w:val="21"/>
          <w:szCs w:val="21"/>
          <w:lang w:val="en-US" w:eastAsia="zh-CN"/>
        </w:rPr>
        <w:t>.</w:t>
      </w:r>
    </w:p>
    <w:p w14:paraId="41303C8A">
      <w:pPr>
        <w:numPr>
          <w:ilvl w:val="0"/>
          <w:numId w:val="1"/>
        </w:numPr>
        <w:spacing w:line="360" w:lineRule="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B. Correlation analysis between prognostic model scores and all genes, with heatmaps displaying the expression profiles of the top 50 positively correlated genes (A) and the top 50 negatively correlated genes (B)</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C</w:t>
      </w:r>
      <w:r>
        <w:rPr>
          <w:rFonts w:hint="eastAsia" w:ascii="Times New Roman" w:hAnsi="Times New Roman" w:cs="Times New Roman"/>
          <w:sz w:val="21"/>
          <w:szCs w:val="21"/>
          <w:lang w:val="en-US" w:eastAsia="zh-CN"/>
        </w:rPr>
        <w:t>-</w:t>
      </w:r>
      <w:r>
        <w:rPr>
          <w:rFonts w:hint="default" w:ascii="Times New Roman" w:hAnsi="Times New Roman" w:cs="Times New Roman"/>
          <w:sz w:val="21"/>
          <w:szCs w:val="21"/>
          <w:lang w:val="en-US" w:eastAsia="zh-CN"/>
        </w:rPr>
        <w:t>E. Gene Set Enrichment Analysis (GSEA) results for GO (C), KEGG (D), and Reactome (E) pathways. Red: positive correlation; Blue: negative correlation.</w:t>
      </w:r>
    </w:p>
    <w:p w14:paraId="0BE08180">
      <w:pPr>
        <w:numPr>
          <w:ilvl w:val="0"/>
          <w:numId w:val="0"/>
        </w:numPr>
        <w:spacing w:line="360" w:lineRule="auto"/>
        <w:rPr>
          <w:rFonts w:hint="default" w:ascii="Times New Roman" w:hAnsi="Times New Roman" w:cs="Times New Roman"/>
          <w:kern w:val="2"/>
          <w:sz w:val="21"/>
          <w:szCs w:val="21"/>
          <w:lang w:val="en-US" w:eastAsia="zh-CN" w:bidi="ar-SA"/>
        </w:rPr>
      </w:pPr>
    </w:p>
    <w:p w14:paraId="3C0D6E1A">
      <w:pPr>
        <w:numPr>
          <w:ilvl w:val="0"/>
          <w:numId w:val="0"/>
        </w:num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t>Supplementary</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Figure</w:t>
      </w:r>
      <w:r>
        <w:rPr>
          <w:rFonts w:hint="eastAsia" w:ascii="Times New Roman" w:hAnsi="Times New Roman" w:cs="Times New Roman"/>
          <w:sz w:val="21"/>
          <w:szCs w:val="21"/>
          <w:lang w:val="en-US" w:eastAsia="zh-CN"/>
        </w:rPr>
        <w:t xml:space="preserve"> 6 </w:t>
      </w:r>
      <w:r>
        <w:rPr>
          <w:rFonts w:hint="default" w:ascii="Times New Roman" w:hAnsi="Times New Roman" w:cs="Times New Roman"/>
          <w:sz w:val="21"/>
          <w:szCs w:val="21"/>
        </w:rPr>
        <w:t>Association between prognostic model scores and tumor mutation burden</w:t>
      </w:r>
    </w:p>
    <w:p w14:paraId="5EEFAC1B">
      <w:pPr>
        <w:numPr>
          <w:ilvl w:val="0"/>
          <w:numId w:val="0"/>
        </w:numPr>
        <w:spacing w:line="360" w:lineRule="auto"/>
        <w:ind w:left="40" w:leftChars="0"/>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kern w:val="2"/>
          <w:sz w:val="21"/>
          <w:szCs w:val="21"/>
          <w:lang w:val="en-US" w:eastAsia="zh-CN" w:bidi="ar-SA"/>
        </w:rPr>
        <w:t>A.Differences in gene mutations between high-risk and low-risk groups</w:t>
      </w:r>
      <w:r>
        <w:rPr>
          <w:rFonts w:hint="eastAsia" w:ascii="Times New Roman" w:hAnsi="Times New Roman" w:cs="Times New Roman"/>
          <w:kern w:val="2"/>
          <w:sz w:val="21"/>
          <w:szCs w:val="21"/>
          <w:lang w:val="en-US" w:eastAsia="zh-CN" w:bidi="ar-SA"/>
        </w:rPr>
        <w:t>.</w:t>
      </w:r>
      <w:r>
        <w:rPr>
          <w:rFonts w:hint="eastAsia" w:ascii="Times New Roman" w:hAnsi="Times New Roman" w:cs="Times New Roman" w:eastAsiaTheme="minorEastAsia"/>
          <w:kern w:val="2"/>
          <w:sz w:val="21"/>
          <w:szCs w:val="21"/>
          <w:lang w:val="en-US" w:eastAsia="zh-CN" w:bidi="ar-SA"/>
        </w:rPr>
        <w:t xml:space="preserve"> B. Gene mutation profile in the high-risk group</w:t>
      </w:r>
      <w:r>
        <w:rPr>
          <w:rFonts w:hint="eastAsia" w:ascii="Times New Roman" w:hAnsi="Times New Roman" w:cs="Times New Roman"/>
          <w:kern w:val="2"/>
          <w:sz w:val="21"/>
          <w:szCs w:val="21"/>
          <w:lang w:val="en-US" w:eastAsia="zh-CN" w:bidi="ar-SA"/>
        </w:rPr>
        <w:t>.</w:t>
      </w:r>
      <w:r>
        <w:rPr>
          <w:rFonts w:hint="eastAsia" w:ascii="Times New Roman" w:hAnsi="Times New Roman" w:cs="Times New Roman" w:eastAsiaTheme="minorEastAsia"/>
          <w:kern w:val="2"/>
          <w:sz w:val="21"/>
          <w:szCs w:val="21"/>
          <w:lang w:val="en-US" w:eastAsia="zh-CN" w:bidi="ar-SA"/>
        </w:rPr>
        <w:t xml:space="preserve"> C. Gene mutation profile in the low-risk group. **P &lt; 0.01.</w:t>
      </w:r>
    </w:p>
    <w:p w14:paraId="32FC9728">
      <w:pPr>
        <w:numPr>
          <w:ilvl w:val="0"/>
          <w:numId w:val="0"/>
        </w:numPr>
        <w:spacing w:line="360" w:lineRule="auto"/>
        <w:rPr>
          <w:rFonts w:hint="default" w:ascii="Times New Roman" w:hAnsi="Times New Roman" w:cs="Times New Roman" w:eastAsiaTheme="minorEastAsia"/>
          <w:kern w:val="2"/>
          <w:sz w:val="21"/>
          <w:szCs w:val="21"/>
          <w:lang w:val="en-US" w:eastAsia="zh-CN" w:bidi="ar-SA"/>
        </w:rPr>
      </w:pPr>
    </w:p>
    <w:p w14:paraId="65F2EFE3">
      <w:pPr>
        <w:numPr>
          <w:ilvl w:val="0"/>
          <w:numId w:val="0"/>
        </w:numPr>
        <w:spacing w:line="360" w:lineRule="auto"/>
        <w:ind w:left="40" w:leftChars="0"/>
        <w:rPr>
          <w:rFonts w:hint="eastAsia" w:ascii="Times New Roman" w:hAnsi="Times New Roman" w:cs="Times New Roman"/>
          <w:sz w:val="21"/>
          <w:szCs w:val="21"/>
          <w:lang w:val="en-US" w:eastAsia="zh-CN"/>
        </w:rPr>
      </w:pPr>
      <w:r>
        <w:rPr>
          <w:rFonts w:hint="default" w:ascii="Times New Roman" w:hAnsi="Times New Roman" w:cs="Times New Roman"/>
          <w:sz w:val="21"/>
          <w:szCs w:val="21"/>
        </w:rPr>
        <w:t>Supplementary</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Figure</w:t>
      </w:r>
      <w:r>
        <w:rPr>
          <w:rFonts w:hint="eastAsia" w:ascii="Times New Roman" w:hAnsi="Times New Roman" w:cs="Times New Roman"/>
          <w:sz w:val="21"/>
          <w:szCs w:val="21"/>
          <w:lang w:val="en-US" w:eastAsia="zh-CN"/>
        </w:rPr>
        <w:t xml:space="preserve"> 7 Prognostic model scores predict sensitivity to anti-cancer drugs.</w:t>
      </w:r>
    </w:p>
    <w:p w14:paraId="1C20E2CD">
      <w:pPr>
        <w:numPr>
          <w:ilvl w:val="0"/>
          <w:numId w:val="0"/>
        </w:numPr>
        <w:spacing w:line="360" w:lineRule="auto"/>
        <w:ind w:left="40" w:leftChars="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A-F. The IC50 values of six drugs in the high-risk group were significantly higher than those in the low-risk group: Acetalax_1084 (A), Afatinib_1032 (B), AGI-5198_1913 (C), AGI-6780_1634 (D), AT13148_2170 (E), and AID1228_1449 (F); G-L. The IC50 values of another six drugs in the high-risk group were significantly lower than those in the low-risk group: AZD5582_1617 (G), AZD6482_2169 (H), AZD8055_1059 (I), AZD8186_1918 (J), BMS-754807_2171 (K), and Doramapimod_1042 (L). *</w:t>
      </w:r>
      <w:r>
        <w:rPr>
          <w:rFonts w:hint="eastAsia" w:ascii="Times New Roman" w:hAnsi="Times New Roman" w:cs="Times New Roman"/>
          <w:i/>
          <w:iCs/>
          <w:sz w:val="21"/>
          <w:szCs w:val="21"/>
          <w:lang w:val="en-US" w:eastAsia="zh-CN"/>
        </w:rPr>
        <w:t xml:space="preserve">P </w:t>
      </w:r>
      <w:r>
        <w:rPr>
          <w:rFonts w:hint="eastAsia" w:ascii="Times New Roman" w:hAnsi="Times New Roman" w:cs="Times New Roman"/>
          <w:sz w:val="21"/>
          <w:szCs w:val="21"/>
          <w:lang w:val="en-US" w:eastAsia="zh-CN"/>
        </w:rPr>
        <w:t>&lt; 0.05; **</w:t>
      </w:r>
      <w:r>
        <w:rPr>
          <w:rFonts w:hint="eastAsia" w:ascii="Times New Roman" w:hAnsi="Times New Roman" w:cs="Times New Roman"/>
          <w:i/>
          <w:iCs/>
          <w:sz w:val="21"/>
          <w:szCs w:val="21"/>
          <w:lang w:val="en-US" w:eastAsia="zh-CN"/>
        </w:rPr>
        <w:t>P</w:t>
      </w:r>
      <w:r>
        <w:rPr>
          <w:rFonts w:hint="eastAsia" w:ascii="Times New Roman" w:hAnsi="Times New Roman" w:cs="Times New Roman"/>
          <w:sz w:val="21"/>
          <w:szCs w:val="21"/>
          <w:lang w:val="en-US" w:eastAsia="zh-CN"/>
        </w:rPr>
        <w:t xml:space="preserve"> &lt; 0.01; ***</w:t>
      </w:r>
      <w:r>
        <w:rPr>
          <w:rFonts w:hint="eastAsia" w:ascii="Times New Roman" w:hAnsi="Times New Roman" w:cs="Times New Roman"/>
          <w:i/>
          <w:iCs/>
          <w:sz w:val="21"/>
          <w:szCs w:val="21"/>
          <w:lang w:val="en-US" w:eastAsia="zh-CN"/>
        </w:rPr>
        <w:t>P</w:t>
      </w:r>
      <w:r>
        <w:rPr>
          <w:rFonts w:hint="eastAsia" w:ascii="Times New Roman" w:hAnsi="Times New Roman" w:cs="Times New Roman"/>
          <w:sz w:val="21"/>
          <w:szCs w:val="21"/>
          <w:lang w:val="en-US" w:eastAsia="zh-CN"/>
        </w:rPr>
        <w:t xml:space="preserve"> &lt; 0.001; ****</w:t>
      </w:r>
      <w:r>
        <w:rPr>
          <w:rFonts w:hint="eastAsia" w:ascii="Times New Roman" w:hAnsi="Times New Roman" w:cs="Times New Roman"/>
          <w:i/>
          <w:iCs/>
          <w:sz w:val="21"/>
          <w:szCs w:val="21"/>
          <w:lang w:val="en-US" w:eastAsia="zh-CN"/>
        </w:rPr>
        <w:t>P</w:t>
      </w:r>
      <w:r>
        <w:rPr>
          <w:rFonts w:hint="eastAsia" w:ascii="Times New Roman" w:hAnsi="Times New Roman" w:cs="Times New Roman"/>
          <w:sz w:val="21"/>
          <w:szCs w:val="21"/>
          <w:lang w:val="en-US" w:eastAsia="zh-CN"/>
        </w:rPr>
        <w:t xml:space="preserve"> &lt; 0.0001.</w:t>
      </w:r>
    </w:p>
    <w:p w14:paraId="54A46EA3">
      <w:pPr>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7513F7"/>
    <w:multiLevelType w:val="singleLevel"/>
    <w:tmpl w:val="167513F7"/>
    <w:lvl w:ilvl="0" w:tentative="0">
      <w:start w:val="1"/>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45447F"/>
    <w:rsid w:val="07BC0504"/>
    <w:rsid w:val="1945447F"/>
    <w:rsid w:val="203B04ED"/>
    <w:rsid w:val="42537038"/>
    <w:rsid w:val="447D401F"/>
    <w:rsid w:val="4E1A4E4D"/>
    <w:rsid w:val="660F5975"/>
    <w:rsid w:val="69283FA8"/>
    <w:rsid w:val="78C30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447</Words>
  <Characters>2775</Characters>
  <Lines>0</Lines>
  <Paragraphs>0</Paragraphs>
  <TotalTime>0</TotalTime>
  <ScaleCrop>false</ScaleCrop>
  <LinksUpToDate>false</LinksUpToDate>
  <CharactersWithSpaces>3211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2025-10-22T07:24:00Z</dcterms:created>
  <dc:creator>七彩妹</dc:creator>
  <cp:lastModifiedBy>七彩妹</cp:lastModifiedBy>
  <dcterms:modified xsi:type="dcterms:W3CDTF">2026-01-31T02:54:10Z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A8385502B190467A869CCFF719578393_13</vt:lpwstr>
  </property>
  <property fmtid="{D5CDD505-2E9C-101B-9397-08002B2CF9AE}" pid="4" name="KSOTemplateDocerSaveRecord">
    <vt:lpwstr>eyJoZGlkIjoiYThiZjYyMjc4N2RiYmVjZWZkYWRkMzg2YWNkMzk3NTQiLCJ1c2VySWQiOiIzNDQ2OTk3MTQifQ==</vt:lpwstr>
  </property>
</Properties>
</file>