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84448" w14:textId="77777777" w:rsidR="00BF35EF" w:rsidRDefault="00BF35EF" w:rsidP="00BF35EF">
      <w:pPr>
        <w:spacing w:line="360" w:lineRule="auto"/>
        <w:jc w:val="center"/>
        <w:rPr>
          <w:rFonts w:ascii="Aptos" w:hAnsi="Aptos"/>
          <w:b/>
          <w:bCs/>
        </w:rPr>
      </w:pPr>
      <w:bookmarkStart w:id="0" w:name="_Hlk220355175"/>
      <w:r w:rsidRPr="00E90E38">
        <w:rPr>
          <w:rFonts w:ascii="Aptos" w:hAnsi="Aptos"/>
          <w:b/>
          <w:bCs/>
        </w:rPr>
        <w:t>End</w:t>
      </w:r>
      <w:r w:rsidRPr="00690FB7">
        <w:rPr>
          <w:rFonts w:ascii="Cambria Math" w:hAnsi="Cambria Math" w:cs="Cambria Math"/>
          <w:b/>
          <w:bCs/>
        </w:rPr>
        <w:t>‑</w:t>
      </w:r>
      <w:r w:rsidRPr="00E90E38">
        <w:rPr>
          <w:rFonts w:ascii="Aptos" w:hAnsi="Aptos"/>
          <w:b/>
          <w:bCs/>
        </w:rPr>
        <w:t>of</w:t>
      </w:r>
      <w:r w:rsidRPr="00690FB7">
        <w:rPr>
          <w:rFonts w:ascii="Cambria Math" w:hAnsi="Cambria Math" w:cs="Cambria Math"/>
          <w:b/>
          <w:bCs/>
        </w:rPr>
        <w:t>‑</w:t>
      </w:r>
      <w:r w:rsidRPr="00E90E38">
        <w:rPr>
          <w:rFonts w:ascii="Aptos" w:hAnsi="Aptos"/>
          <w:b/>
          <w:bCs/>
        </w:rPr>
        <w:t xml:space="preserve">Life Care in Advanced Melanoma: A Retrospective Cohort Study </w:t>
      </w:r>
      <w:r w:rsidRPr="00690FB7">
        <w:rPr>
          <w:rFonts w:ascii="Aptos" w:hAnsi="Aptos"/>
          <w:b/>
          <w:bCs/>
        </w:rPr>
        <w:t>from an Italian Comprehensive Cancer Center</w:t>
      </w:r>
      <w:bookmarkEnd w:id="0"/>
    </w:p>
    <w:p w14:paraId="59F2C3F5" w14:textId="77777777" w:rsidR="00BF35EF" w:rsidRDefault="00BF35EF" w:rsidP="00EF7AB9">
      <w:pPr>
        <w:spacing w:line="276" w:lineRule="auto"/>
        <w:jc w:val="both"/>
        <w:rPr>
          <w:b/>
          <w:bCs/>
          <w:sz w:val="22"/>
          <w:szCs w:val="22"/>
        </w:rPr>
      </w:pPr>
    </w:p>
    <w:p w14:paraId="2556F1DE" w14:textId="37B5F131" w:rsidR="00EF7AB9" w:rsidRDefault="00EF7AB9" w:rsidP="00EF7AB9">
      <w:pPr>
        <w:spacing w:line="276" w:lineRule="auto"/>
        <w:jc w:val="both"/>
        <w:rPr>
          <w:b/>
          <w:bCs/>
          <w:sz w:val="22"/>
          <w:szCs w:val="22"/>
          <w:lang w:val="it-IT"/>
        </w:rPr>
      </w:pPr>
      <w:r w:rsidRPr="00EF7AB9">
        <w:rPr>
          <w:b/>
          <w:bCs/>
          <w:sz w:val="22"/>
          <w:szCs w:val="22"/>
          <w:lang w:val="it-IT"/>
        </w:rPr>
        <w:t>Supplementary material</w:t>
      </w:r>
    </w:p>
    <w:p w14:paraId="5C462162" w14:textId="77777777" w:rsidR="00EF7AB9" w:rsidRDefault="00EF7AB9" w:rsidP="00EF7AB9">
      <w:pPr>
        <w:spacing w:line="276" w:lineRule="auto"/>
        <w:jc w:val="both"/>
        <w:rPr>
          <w:b/>
          <w:bCs/>
          <w:sz w:val="22"/>
          <w:szCs w:val="22"/>
          <w:lang w:val="it-IT"/>
        </w:rPr>
      </w:pPr>
    </w:p>
    <w:tbl>
      <w:tblPr>
        <w:tblStyle w:val="Tabellasemplice4"/>
        <w:tblW w:w="0" w:type="auto"/>
        <w:tblBorders>
          <w:top w:val="dotted" w:sz="4" w:space="0" w:color="auto"/>
          <w:left w:val="dotted" w:sz="4" w:space="0" w:color="auto"/>
          <w:bottom w:val="dotted" w:sz="4" w:space="0" w:color="auto"/>
          <w:right w:val="dotted" w:sz="4" w:space="0" w:color="auto"/>
        </w:tblBorders>
        <w:shd w:val="clear" w:color="auto" w:fill="FFFFFF" w:themeFill="background1"/>
        <w:tblLook w:val="04A0" w:firstRow="1" w:lastRow="0" w:firstColumn="1" w:lastColumn="0" w:noHBand="0" w:noVBand="1"/>
      </w:tblPr>
      <w:tblGrid>
        <w:gridCol w:w="1739"/>
        <w:gridCol w:w="2048"/>
        <w:gridCol w:w="1996"/>
        <w:gridCol w:w="1611"/>
        <w:gridCol w:w="1622"/>
      </w:tblGrid>
      <w:tr w:rsidR="00EF7AB9" w:rsidRPr="00A42B8D" w14:paraId="7ADB275E" w14:textId="77777777" w:rsidTr="00884E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8" w:type="dxa"/>
            <w:shd w:val="clear" w:color="auto" w:fill="FFFFFF" w:themeFill="background1"/>
          </w:tcPr>
          <w:p w14:paraId="6963B71A" w14:textId="77777777" w:rsidR="00EF7AB9" w:rsidRPr="0041487E" w:rsidRDefault="00EF7AB9" w:rsidP="00F00DD4">
            <w:pPr>
              <w:spacing w:line="360" w:lineRule="auto"/>
              <w:jc w:val="both"/>
            </w:pPr>
          </w:p>
        </w:tc>
        <w:tc>
          <w:tcPr>
            <w:tcW w:w="2090" w:type="dxa"/>
            <w:shd w:val="clear" w:color="auto" w:fill="FFFFFF" w:themeFill="background1"/>
          </w:tcPr>
          <w:p w14:paraId="31744440" w14:textId="77777777" w:rsidR="00EF7AB9" w:rsidRPr="0041487E" w:rsidRDefault="00EF7AB9" w:rsidP="00F00DD4">
            <w:pPr>
              <w:spacing w:line="360" w:lineRule="auto"/>
              <w:jc w:val="both"/>
              <w:cnfStyle w:val="100000000000" w:firstRow="1" w:lastRow="0" w:firstColumn="0" w:lastColumn="0" w:oddVBand="0" w:evenVBand="0" w:oddHBand="0" w:evenHBand="0" w:firstRowFirstColumn="0" w:firstRowLastColumn="0" w:lastRowFirstColumn="0" w:lastRowLastColumn="0"/>
            </w:pPr>
            <w:r w:rsidRPr="0041487E">
              <w:t>Covariate</w:t>
            </w:r>
          </w:p>
        </w:tc>
        <w:tc>
          <w:tcPr>
            <w:tcW w:w="2126" w:type="dxa"/>
            <w:shd w:val="clear" w:color="auto" w:fill="FFFFFF" w:themeFill="background1"/>
          </w:tcPr>
          <w:p w14:paraId="546B22FD" w14:textId="77777777" w:rsidR="00EF7AB9" w:rsidRPr="0041487E" w:rsidRDefault="00EF7AB9" w:rsidP="00F00DD4">
            <w:pPr>
              <w:spacing w:line="360" w:lineRule="auto"/>
              <w:jc w:val="both"/>
              <w:cnfStyle w:val="100000000000" w:firstRow="1" w:lastRow="0" w:firstColumn="0" w:lastColumn="0" w:oddVBand="0" w:evenVBand="0" w:oddHBand="0" w:evenHBand="0" w:firstRowFirstColumn="0" w:firstRowLastColumn="0" w:lastRowFirstColumn="0" w:lastRowLastColumn="0"/>
            </w:pPr>
            <w:r w:rsidRPr="0041487E">
              <w:t>Odds Ratio</w:t>
            </w:r>
          </w:p>
        </w:tc>
        <w:tc>
          <w:tcPr>
            <w:tcW w:w="1701" w:type="dxa"/>
            <w:shd w:val="clear" w:color="auto" w:fill="FFFFFF" w:themeFill="background1"/>
          </w:tcPr>
          <w:p w14:paraId="2D2A38A6" w14:textId="77777777" w:rsidR="00EF7AB9" w:rsidRPr="0041487E" w:rsidRDefault="00EF7AB9" w:rsidP="00F00DD4">
            <w:pPr>
              <w:spacing w:line="360" w:lineRule="auto"/>
              <w:jc w:val="both"/>
              <w:cnfStyle w:val="100000000000" w:firstRow="1" w:lastRow="0" w:firstColumn="0" w:lastColumn="0" w:oddVBand="0" w:evenVBand="0" w:oddHBand="0" w:evenHBand="0" w:firstRowFirstColumn="0" w:firstRowLastColumn="0" w:lastRowFirstColumn="0" w:lastRowLastColumn="0"/>
            </w:pPr>
            <w:r w:rsidRPr="0041487E">
              <w:t>95% CI</w:t>
            </w:r>
          </w:p>
        </w:tc>
        <w:tc>
          <w:tcPr>
            <w:tcW w:w="1701" w:type="dxa"/>
            <w:shd w:val="clear" w:color="auto" w:fill="FFFFFF" w:themeFill="background1"/>
          </w:tcPr>
          <w:p w14:paraId="47CC11FE" w14:textId="77777777" w:rsidR="00EF7AB9" w:rsidRPr="0041487E" w:rsidRDefault="00EF7AB9" w:rsidP="00F00DD4">
            <w:pPr>
              <w:spacing w:line="360" w:lineRule="auto"/>
              <w:jc w:val="both"/>
              <w:cnfStyle w:val="100000000000" w:firstRow="1" w:lastRow="0" w:firstColumn="0" w:lastColumn="0" w:oddVBand="0" w:evenVBand="0" w:oddHBand="0" w:evenHBand="0" w:firstRowFirstColumn="0" w:firstRowLastColumn="0" w:lastRowFirstColumn="0" w:lastRowLastColumn="0"/>
            </w:pPr>
            <w:r w:rsidRPr="0041487E">
              <w:t>p-value</w:t>
            </w:r>
          </w:p>
        </w:tc>
      </w:tr>
      <w:tr w:rsidR="00EF7AB9" w:rsidRPr="00A42B8D" w14:paraId="274892F7" w14:textId="77777777" w:rsidTr="00884E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8" w:type="dxa"/>
            <w:shd w:val="clear" w:color="auto" w:fill="FFFFFF" w:themeFill="background1"/>
          </w:tcPr>
          <w:p w14:paraId="44824925" w14:textId="77777777" w:rsidR="00EF7AB9" w:rsidRPr="00A42B8D" w:rsidRDefault="00EF7AB9" w:rsidP="00F00DD4">
            <w:pPr>
              <w:spacing w:line="360" w:lineRule="auto"/>
              <w:jc w:val="both"/>
            </w:pPr>
            <w:r w:rsidRPr="00A42B8D">
              <w:t>≥1 ED visit (last 3 months)</w:t>
            </w:r>
          </w:p>
        </w:tc>
        <w:tc>
          <w:tcPr>
            <w:tcW w:w="2090" w:type="dxa"/>
            <w:shd w:val="clear" w:color="auto" w:fill="FFFFFF" w:themeFill="background1"/>
          </w:tcPr>
          <w:p w14:paraId="553CDDFE"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Home-based palliative care</w:t>
            </w:r>
          </w:p>
        </w:tc>
        <w:tc>
          <w:tcPr>
            <w:tcW w:w="2126" w:type="dxa"/>
            <w:shd w:val="clear" w:color="auto" w:fill="FFFFFF" w:themeFill="background1"/>
          </w:tcPr>
          <w:p w14:paraId="1B1D330A"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0.43</w:t>
            </w:r>
          </w:p>
        </w:tc>
        <w:tc>
          <w:tcPr>
            <w:tcW w:w="1701" w:type="dxa"/>
            <w:shd w:val="clear" w:color="auto" w:fill="FFFFFF" w:themeFill="background1"/>
          </w:tcPr>
          <w:p w14:paraId="4A3BD156"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0.13–1.30</w:t>
            </w:r>
          </w:p>
        </w:tc>
        <w:tc>
          <w:tcPr>
            <w:tcW w:w="1701" w:type="dxa"/>
            <w:shd w:val="clear" w:color="auto" w:fill="FFFFFF" w:themeFill="background1"/>
          </w:tcPr>
          <w:p w14:paraId="73DAADC0"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0.10</w:t>
            </w:r>
          </w:p>
        </w:tc>
      </w:tr>
      <w:tr w:rsidR="00EF7AB9" w:rsidRPr="00A42B8D" w14:paraId="6342F844" w14:textId="77777777" w:rsidTr="00884E63">
        <w:tc>
          <w:tcPr>
            <w:cnfStyle w:val="001000000000" w:firstRow="0" w:lastRow="0" w:firstColumn="1" w:lastColumn="0" w:oddVBand="0" w:evenVBand="0" w:oddHBand="0" w:evenHBand="0" w:firstRowFirstColumn="0" w:firstRowLastColumn="0" w:lastRowFirstColumn="0" w:lastRowLastColumn="0"/>
            <w:tcW w:w="1738" w:type="dxa"/>
            <w:shd w:val="clear" w:color="auto" w:fill="FFFFFF" w:themeFill="background1"/>
          </w:tcPr>
          <w:p w14:paraId="263ADD15" w14:textId="77777777" w:rsidR="00EF7AB9" w:rsidRPr="00A42B8D" w:rsidRDefault="00EF7AB9" w:rsidP="00F00DD4">
            <w:pPr>
              <w:spacing w:line="360" w:lineRule="auto"/>
              <w:jc w:val="both"/>
            </w:pPr>
            <w:r w:rsidRPr="00A42B8D">
              <w:t>≥1 ED visit (last 3 months)</w:t>
            </w:r>
          </w:p>
        </w:tc>
        <w:tc>
          <w:tcPr>
            <w:tcW w:w="2090" w:type="dxa"/>
            <w:shd w:val="clear" w:color="auto" w:fill="FFFFFF" w:themeFill="background1"/>
          </w:tcPr>
          <w:p w14:paraId="3B402FD1"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Age ≥70 vs ≤55</w:t>
            </w:r>
          </w:p>
        </w:tc>
        <w:tc>
          <w:tcPr>
            <w:tcW w:w="2126" w:type="dxa"/>
            <w:shd w:val="clear" w:color="auto" w:fill="FFFFFF" w:themeFill="background1"/>
          </w:tcPr>
          <w:p w14:paraId="28773FD1"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3.9</w:t>
            </w:r>
          </w:p>
        </w:tc>
        <w:tc>
          <w:tcPr>
            <w:tcW w:w="1701" w:type="dxa"/>
            <w:shd w:val="clear" w:color="auto" w:fill="FFFFFF" w:themeFill="background1"/>
          </w:tcPr>
          <w:p w14:paraId="01D7F512"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0.9–17.5</w:t>
            </w:r>
          </w:p>
        </w:tc>
        <w:tc>
          <w:tcPr>
            <w:tcW w:w="1701" w:type="dxa"/>
            <w:shd w:val="clear" w:color="auto" w:fill="FFFFFF" w:themeFill="background1"/>
          </w:tcPr>
          <w:p w14:paraId="54E1533C"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0.13</w:t>
            </w:r>
          </w:p>
        </w:tc>
      </w:tr>
      <w:tr w:rsidR="00EF7AB9" w:rsidRPr="00A42B8D" w14:paraId="6FAFC54F" w14:textId="77777777" w:rsidTr="00884E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8" w:type="dxa"/>
            <w:shd w:val="clear" w:color="auto" w:fill="FFFFFF" w:themeFill="background1"/>
          </w:tcPr>
          <w:p w14:paraId="1B3B46E3" w14:textId="77777777" w:rsidR="00EF7AB9" w:rsidRPr="00A42B8D" w:rsidRDefault="00EF7AB9" w:rsidP="00F00DD4">
            <w:pPr>
              <w:spacing w:line="360" w:lineRule="auto"/>
              <w:jc w:val="both"/>
            </w:pPr>
            <w:r w:rsidRPr="00A42B8D">
              <w:t>Hospitalization (last 6 months)</w:t>
            </w:r>
          </w:p>
        </w:tc>
        <w:tc>
          <w:tcPr>
            <w:tcW w:w="2090" w:type="dxa"/>
            <w:shd w:val="clear" w:color="auto" w:fill="FFFFFF" w:themeFill="background1"/>
          </w:tcPr>
          <w:p w14:paraId="4C1B2172"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ED visit</w:t>
            </w:r>
          </w:p>
        </w:tc>
        <w:tc>
          <w:tcPr>
            <w:tcW w:w="2126" w:type="dxa"/>
            <w:shd w:val="clear" w:color="auto" w:fill="FFFFFF" w:themeFill="background1"/>
          </w:tcPr>
          <w:p w14:paraId="47DEE7FB"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19.1</w:t>
            </w:r>
          </w:p>
        </w:tc>
        <w:tc>
          <w:tcPr>
            <w:tcW w:w="1701" w:type="dxa"/>
            <w:shd w:val="clear" w:color="auto" w:fill="FFFFFF" w:themeFill="background1"/>
          </w:tcPr>
          <w:p w14:paraId="4D7672A8"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5.5–65.8</w:t>
            </w:r>
          </w:p>
        </w:tc>
        <w:tc>
          <w:tcPr>
            <w:tcW w:w="1701" w:type="dxa"/>
            <w:shd w:val="clear" w:color="auto" w:fill="FFFFFF" w:themeFill="background1"/>
          </w:tcPr>
          <w:p w14:paraId="54197524"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&lt;0.001</w:t>
            </w:r>
          </w:p>
        </w:tc>
      </w:tr>
      <w:tr w:rsidR="00EF7AB9" w:rsidRPr="00A42B8D" w14:paraId="041D4FEE" w14:textId="77777777" w:rsidTr="00884E63">
        <w:tc>
          <w:tcPr>
            <w:cnfStyle w:val="001000000000" w:firstRow="0" w:lastRow="0" w:firstColumn="1" w:lastColumn="0" w:oddVBand="0" w:evenVBand="0" w:oddHBand="0" w:evenHBand="0" w:firstRowFirstColumn="0" w:firstRowLastColumn="0" w:lastRowFirstColumn="0" w:lastRowLastColumn="0"/>
            <w:tcW w:w="1738" w:type="dxa"/>
            <w:shd w:val="clear" w:color="auto" w:fill="FFFFFF" w:themeFill="background1"/>
          </w:tcPr>
          <w:p w14:paraId="453162BB" w14:textId="77777777" w:rsidR="00EF7AB9" w:rsidRPr="00A42B8D" w:rsidRDefault="00EF7AB9" w:rsidP="00F00DD4">
            <w:pPr>
              <w:spacing w:line="360" w:lineRule="auto"/>
              <w:jc w:val="both"/>
            </w:pPr>
            <w:r w:rsidRPr="00A42B8D">
              <w:t>Hospitalization (last 6 months)</w:t>
            </w:r>
          </w:p>
        </w:tc>
        <w:tc>
          <w:tcPr>
            <w:tcW w:w="2090" w:type="dxa"/>
            <w:shd w:val="clear" w:color="auto" w:fill="FFFFFF" w:themeFill="background1"/>
          </w:tcPr>
          <w:p w14:paraId="12A583AB"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Specialist consult</w:t>
            </w:r>
          </w:p>
        </w:tc>
        <w:tc>
          <w:tcPr>
            <w:tcW w:w="2126" w:type="dxa"/>
            <w:shd w:val="clear" w:color="auto" w:fill="FFFFFF" w:themeFill="background1"/>
          </w:tcPr>
          <w:p w14:paraId="72B8E187"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4.6</w:t>
            </w:r>
          </w:p>
        </w:tc>
        <w:tc>
          <w:tcPr>
            <w:tcW w:w="1701" w:type="dxa"/>
            <w:shd w:val="clear" w:color="auto" w:fill="FFFFFF" w:themeFill="background1"/>
          </w:tcPr>
          <w:p w14:paraId="39B0F0E7"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1.4–15.3</w:t>
            </w:r>
          </w:p>
        </w:tc>
        <w:tc>
          <w:tcPr>
            <w:tcW w:w="1701" w:type="dxa"/>
            <w:shd w:val="clear" w:color="auto" w:fill="FFFFFF" w:themeFill="background1"/>
          </w:tcPr>
          <w:p w14:paraId="5416A74E"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0.014</w:t>
            </w:r>
          </w:p>
        </w:tc>
      </w:tr>
      <w:tr w:rsidR="00EF7AB9" w:rsidRPr="00A42B8D" w14:paraId="6311CB3A" w14:textId="77777777" w:rsidTr="00884E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8" w:type="dxa"/>
            <w:shd w:val="clear" w:color="auto" w:fill="FFFFFF" w:themeFill="background1"/>
          </w:tcPr>
          <w:p w14:paraId="739002D9" w14:textId="77777777" w:rsidR="00EF7AB9" w:rsidRPr="00A42B8D" w:rsidRDefault="00EF7AB9" w:rsidP="00F00DD4">
            <w:pPr>
              <w:spacing w:line="360" w:lineRule="auto"/>
              <w:jc w:val="both"/>
            </w:pPr>
            <w:r w:rsidRPr="00A42B8D">
              <w:t>&gt;1 CT scan (last 6 months)</w:t>
            </w:r>
          </w:p>
        </w:tc>
        <w:tc>
          <w:tcPr>
            <w:tcW w:w="2090" w:type="dxa"/>
            <w:shd w:val="clear" w:color="auto" w:fill="FFFFFF" w:themeFill="background1"/>
          </w:tcPr>
          <w:p w14:paraId="76CA312B"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Hospitalization</w:t>
            </w:r>
          </w:p>
        </w:tc>
        <w:tc>
          <w:tcPr>
            <w:tcW w:w="2126" w:type="dxa"/>
            <w:shd w:val="clear" w:color="auto" w:fill="FFFFFF" w:themeFill="background1"/>
          </w:tcPr>
          <w:p w14:paraId="45CD4604"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2.6</w:t>
            </w:r>
          </w:p>
        </w:tc>
        <w:tc>
          <w:tcPr>
            <w:tcW w:w="1701" w:type="dxa"/>
            <w:shd w:val="clear" w:color="auto" w:fill="FFFFFF" w:themeFill="background1"/>
          </w:tcPr>
          <w:p w14:paraId="6F03E9FB"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1.1–6.2</w:t>
            </w:r>
          </w:p>
        </w:tc>
        <w:tc>
          <w:tcPr>
            <w:tcW w:w="1701" w:type="dxa"/>
            <w:shd w:val="clear" w:color="auto" w:fill="FFFFFF" w:themeFill="background1"/>
          </w:tcPr>
          <w:p w14:paraId="04343CEC" w14:textId="77777777" w:rsidR="00EF7AB9" w:rsidRPr="00A42B8D" w:rsidRDefault="00EF7AB9" w:rsidP="00F00DD4">
            <w:pPr>
              <w:spacing w:line="360" w:lineRule="auto"/>
              <w:jc w:val="both"/>
              <w:cnfStyle w:val="000000100000" w:firstRow="0" w:lastRow="0" w:firstColumn="0" w:lastColumn="0" w:oddVBand="0" w:evenVBand="0" w:oddHBand="1" w:evenHBand="0" w:firstRowFirstColumn="0" w:firstRowLastColumn="0" w:lastRowFirstColumn="0" w:lastRowLastColumn="0"/>
            </w:pPr>
            <w:r w:rsidRPr="00A42B8D">
              <w:t>0.036</w:t>
            </w:r>
          </w:p>
        </w:tc>
      </w:tr>
      <w:tr w:rsidR="00EF7AB9" w:rsidRPr="00A42B8D" w14:paraId="6DEA3D51" w14:textId="77777777" w:rsidTr="00884E63">
        <w:tc>
          <w:tcPr>
            <w:cnfStyle w:val="001000000000" w:firstRow="0" w:lastRow="0" w:firstColumn="1" w:lastColumn="0" w:oddVBand="0" w:evenVBand="0" w:oddHBand="0" w:evenHBand="0" w:firstRowFirstColumn="0" w:firstRowLastColumn="0" w:lastRowFirstColumn="0" w:lastRowLastColumn="0"/>
            <w:tcW w:w="1738" w:type="dxa"/>
            <w:shd w:val="clear" w:color="auto" w:fill="FFFFFF" w:themeFill="background1"/>
          </w:tcPr>
          <w:p w14:paraId="3CAE5154" w14:textId="77777777" w:rsidR="00EF7AB9" w:rsidRPr="00A42B8D" w:rsidRDefault="00EF7AB9" w:rsidP="00F00DD4">
            <w:pPr>
              <w:spacing w:line="360" w:lineRule="auto"/>
              <w:jc w:val="both"/>
            </w:pPr>
            <w:r w:rsidRPr="00A42B8D">
              <w:t>&gt;1 CT scan (last 6 months)</w:t>
            </w:r>
          </w:p>
        </w:tc>
        <w:tc>
          <w:tcPr>
            <w:tcW w:w="2090" w:type="dxa"/>
            <w:shd w:val="clear" w:color="auto" w:fill="FFFFFF" w:themeFill="background1"/>
          </w:tcPr>
          <w:p w14:paraId="0672D484"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Oncology consult</w:t>
            </w:r>
          </w:p>
        </w:tc>
        <w:tc>
          <w:tcPr>
            <w:tcW w:w="2126" w:type="dxa"/>
            <w:shd w:val="clear" w:color="auto" w:fill="FFFFFF" w:themeFill="background1"/>
          </w:tcPr>
          <w:p w14:paraId="7E4F8CFD"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12.3</w:t>
            </w:r>
          </w:p>
        </w:tc>
        <w:tc>
          <w:tcPr>
            <w:tcW w:w="1701" w:type="dxa"/>
            <w:shd w:val="clear" w:color="auto" w:fill="FFFFFF" w:themeFill="background1"/>
          </w:tcPr>
          <w:p w14:paraId="4CE0B939"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1.4–103.9</w:t>
            </w:r>
          </w:p>
        </w:tc>
        <w:tc>
          <w:tcPr>
            <w:tcW w:w="1701" w:type="dxa"/>
            <w:shd w:val="clear" w:color="auto" w:fill="FFFFFF" w:themeFill="background1"/>
          </w:tcPr>
          <w:p w14:paraId="642EAE86" w14:textId="77777777" w:rsidR="00EF7AB9" w:rsidRPr="00A42B8D" w:rsidRDefault="00EF7AB9" w:rsidP="00F00DD4">
            <w:pPr>
              <w:spacing w:line="360" w:lineRule="auto"/>
              <w:jc w:val="both"/>
              <w:cnfStyle w:val="000000000000" w:firstRow="0" w:lastRow="0" w:firstColumn="0" w:lastColumn="0" w:oddVBand="0" w:evenVBand="0" w:oddHBand="0" w:evenHBand="0" w:firstRowFirstColumn="0" w:firstRowLastColumn="0" w:lastRowFirstColumn="0" w:lastRowLastColumn="0"/>
            </w:pPr>
            <w:r w:rsidRPr="00A42B8D">
              <w:t>0.022</w:t>
            </w:r>
          </w:p>
        </w:tc>
      </w:tr>
    </w:tbl>
    <w:p w14:paraId="64AD5A07" w14:textId="77777777" w:rsidR="00EF7AB9" w:rsidRDefault="00EF7AB9" w:rsidP="00EF7AB9">
      <w:pPr>
        <w:spacing w:line="276" w:lineRule="auto"/>
        <w:jc w:val="both"/>
        <w:rPr>
          <w:b/>
          <w:bCs/>
          <w:sz w:val="22"/>
          <w:szCs w:val="22"/>
          <w:lang w:val="it-IT"/>
        </w:rPr>
      </w:pPr>
    </w:p>
    <w:p w14:paraId="2E5F7D23" w14:textId="6F3D2A2E" w:rsidR="00D70598" w:rsidRPr="00D70598" w:rsidRDefault="00EF7AB9" w:rsidP="00D70598">
      <w:pPr>
        <w:spacing w:line="276" w:lineRule="auto"/>
        <w:jc w:val="both"/>
        <w:rPr>
          <w:sz w:val="22"/>
          <w:szCs w:val="22"/>
          <w:lang w:val="en-US"/>
        </w:rPr>
      </w:pPr>
      <w:r w:rsidRPr="00D07DCE">
        <w:rPr>
          <w:b/>
          <w:bCs/>
          <w:sz w:val="22"/>
          <w:szCs w:val="22"/>
          <w:lang w:val="en-US"/>
        </w:rPr>
        <w:t xml:space="preserve">Supplementary </w:t>
      </w:r>
      <w:r w:rsidR="00D70598">
        <w:rPr>
          <w:b/>
          <w:bCs/>
          <w:sz w:val="22"/>
          <w:szCs w:val="22"/>
          <w:lang w:val="en-US"/>
        </w:rPr>
        <w:t>T</w:t>
      </w:r>
      <w:r w:rsidRPr="00D07DCE">
        <w:rPr>
          <w:b/>
          <w:bCs/>
          <w:sz w:val="22"/>
          <w:szCs w:val="22"/>
          <w:lang w:val="en-US"/>
        </w:rPr>
        <w:t xml:space="preserve">able 1. </w:t>
      </w:r>
      <w:r w:rsidR="00D70598" w:rsidRPr="00D70598">
        <w:rPr>
          <w:sz w:val="22"/>
          <w:szCs w:val="22"/>
          <w:lang w:val="en-US"/>
        </w:rPr>
        <w:t>Multivariable logistic regression analyses exploring predictors of healthcare utilization during the end-of-life period.</w:t>
      </w:r>
    </w:p>
    <w:p w14:paraId="48483BA2" w14:textId="10B18AE4" w:rsidR="00D70598" w:rsidRPr="00D70598" w:rsidRDefault="00D70598" w:rsidP="00D70598">
      <w:pPr>
        <w:spacing w:line="276" w:lineRule="auto"/>
        <w:jc w:val="both"/>
        <w:rPr>
          <w:sz w:val="22"/>
          <w:szCs w:val="22"/>
          <w:lang w:val="en-US"/>
        </w:rPr>
      </w:pPr>
      <w:r w:rsidRPr="00D70598">
        <w:rPr>
          <w:sz w:val="22"/>
          <w:szCs w:val="22"/>
          <w:lang w:val="en-US"/>
        </w:rPr>
        <w:t>Home-based palliative care showed a consistent, although not statistically significant, association with a reduced likelihood of emergency department visits in the last three months of life (OR 0.43, 95% CI 0.13–1.30). Older age at melanoma diagnosis (≥70 years) showed a non-significant trend toward increased emergency department use compared with younger patients.</w:t>
      </w:r>
    </w:p>
    <w:p w14:paraId="13DA28C7" w14:textId="062A10F1" w:rsidR="00D70598" w:rsidRPr="00D70598" w:rsidRDefault="00D70598" w:rsidP="00D70598">
      <w:pPr>
        <w:spacing w:line="276" w:lineRule="auto"/>
        <w:jc w:val="both"/>
        <w:rPr>
          <w:sz w:val="22"/>
          <w:szCs w:val="22"/>
          <w:lang w:val="en-US"/>
        </w:rPr>
      </w:pPr>
      <w:r w:rsidRPr="00D70598">
        <w:rPr>
          <w:sz w:val="22"/>
          <w:szCs w:val="22"/>
          <w:lang w:val="en-US"/>
        </w:rPr>
        <w:t>Emergency department admission and specialist palliative care consultation emerged as the strongest predictors of hospitalization, both in the last six months and in the final three months of life, with large effect sizes and wide confidence intervals. Hospitalization and medical oncology consultation were also independently associated with a higher likelihood of undergoing more than one CT scan in the last six months of life.</w:t>
      </w:r>
    </w:p>
    <w:p w14:paraId="586BD400" w14:textId="0E123ABD" w:rsidR="00EF7AB9" w:rsidRPr="00D70598" w:rsidRDefault="00D70598" w:rsidP="00EF7AB9">
      <w:pPr>
        <w:spacing w:line="276" w:lineRule="auto"/>
        <w:jc w:val="both"/>
        <w:rPr>
          <w:sz w:val="22"/>
          <w:szCs w:val="22"/>
          <w:lang w:val="en-US"/>
        </w:rPr>
      </w:pPr>
      <w:r w:rsidRPr="00D70598">
        <w:rPr>
          <w:sz w:val="22"/>
          <w:szCs w:val="22"/>
          <w:lang w:val="en-US"/>
        </w:rPr>
        <w:t>Overall, several associations were characterized by wide confidence intervals, reflecting the limited sample size and exploratory nature of the analyses, and should therefore be interpreted as hypothesis-generating rather than confirmatory.</w:t>
      </w:r>
    </w:p>
    <w:p w14:paraId="0CBC8173" w14:textId="77777777" w:rsidR="00EF7AB9" w:rsidRDefault="00EF7AB9" w:rsidP="00EF7AB9">
      <w:pPr>
        <w:spacing w:line="276" w:lineRule="auto"/>
        <w:jc w:val="both"/>
        <w:rPr>
          <w:sz w:val="22"/>
          <w:szCs w:val="22"/>
          <w:lang w:val="en-US"/>
        </w:rPr>
      </w:pPr>
    </w:p>
    <w:tbl>
      <w:tblPr>
        <w:tblW w:w="0" w:type="auto"/>
        <w:tblCellSpacing w:w="15" w:type="dxa"/>
        <w:tblBorders>
          <w:top w:val="dotted" w:sz="4" w:space="0" w:color="auto"/>
          <w:left w:val="dotted" w:sz="4" w:space="0" w:color="auto"/>
          <w:bottom w:val="dotted" w:sz="4" w:space="0" w:color="auto"/>
          <w:right w:val="dotted" w:sz="4" w:space="0" w:color="auto"/>
        </w:tblBorders>
        <w:tblCellMar>
          <w:top w:w="15" w:type="dxa"/>
          <w:left w:w="15" w:type="dxa"/>
          <w:bottom w:w="15" w:type="dxa"/>
          <w:right w:w="15" w:type="dxa"/>
        </w:tblCellMar>
        <w:tblLook w:val="04A0" w:firstRow="1" w:lastRow="0" w:firstColumn="1" w:lastColumn="0" w:noHBand="0" w:noVBand="1"/>
      </w:tblPr>
      <w:tblGrid>
        <w:gridCol w:w="3938"/>
        <w:gridCol w:w="2294"/>
        <w:gridCol w:w="2436"/>
      </w:tblGrid>
      <w:tr w:rsidR="00884E63" w:rsidRPr="00884E63" w14:paraId="4D661D90" w14:textId="77777777" w:rsidTr="00884E63">
        <w:trPr>
          <w:tblHeader/>
          <w:tblCellSpacing w:w="15" w:type="dxa"/>
        </w:trPr>
        <w:tc>
          <w:tcPr>
            <w:tcW w:w="3893" w:type="dxa"/>
            <w:vAlign w:val="center"/>
            <w:hideMark/>
          </w:tcPr>
          <w:p w14:paraId="7B0007D6"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lastRenderedPageBreak/>
              <w:t>Radiotherapy characteristics</w:t>
            </w:r>
          </w:p>
        </w:tc>
        <w:tc>
          <w:tcPr>
            <w:tcW w:w="2264" w:type="dxa"/>
            <w:vAlign w:val="center"/>
            <w:hideMark/>
          </w:tcPr>
          <w:p w14:paraId="4B3999A6"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t>Last 6 months</w:t>
            </w:r>
          </w:p>
        </w:tc>
        <w:tc>
          <w:tcPr>
            <w:tcW w:w="2391" w:type="dxa"/>
            <w:vAlign w:val="center"/>
            <w:hideMark/>
          </w:tcPr>
          <w:p w14:paraId="7BC84759"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t>Last 3 months</w:t>
            </w:r>
          </w:p>
        </w:tc>
      </w:tr>
      <w:tr w:rsidR="00884E63" w:rsidRPr="00884E63" w14:paraId="5D1FD865" w14:textId="77777777" w:rsidTr="00884E63">
        <w:trPr>
          <w:tblCellSpacing w:w="15" w:type="dxa"/>
        </w:trPr>
        <w:tc>
          <w:tcPr>
            <w:tcW w:w="3893" w:type="dxa"/>
            <w:vAlign w:val="center"/>
            <w:hideMark/>
          </w:tcPr>
          <w:p w14:paraId="6188FD72"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t>Patients receiving Radiotherapy</w:t>
            </w:r>
          </w:p>
        </w:tc>
        <w:tc>
          <w:tcPr>
            <w:tcW w:w="2264" w:type="dxa"/>
            <w:vAlign w:val="center"/>
            <w:hideMark/>
          </w:tcPr>
          <w:p w14:paraId="5F6FD9FA"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t>N = 33</w:t>
            </w:r>
            <w:r w:rsidRPr="00884E63">
              <w:rPr>
                <w:rFonts w:ascii="Aptos" w:hAnsi="Aptos"/>
                <w:sz w:val="22"/>
                <w:szCs w:val="22"/>
              </w:rPr>
              <w:t> (%)</w:t>
            </w:r>
          </w:p>
        </w:tc>
        <w:tc>
          <w:tcPr>
            <w:tcW w:w="2391" w:type="dxa"/>
            <w:vAlign w:val="center"/>
            <w:hideMark/>
          </w:tcPr>
          <w:p w14:paraId="610A244F"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t>N = 19</w:t>
            </w:r>
            <w:r w:rsidRPr="00884E63">
              <w:rPr>
                <w:rFonts w:ascii="Aptos" w:hAnsi="Aptos"/>
                <w:sz w:val="22"/>
                <w:szCs w:val="22"/>
              </w:rPr>
              <w:t> (%)</w:t>
            </w:r>
          </w:p>
        </w:tc>
      </w:tr>
      <w:tr w:rsidR="00884E63" w:rsidRPr="00884E63" w14:paraId="12163A26" w14:textId="77777777" w:rsidTr="00884E63">
        <w:trPr>
          <w:tblCellSpacing w:w="15" w:type="dxa"/>
        </w:trPr>
        <w:tc>
          <w:tcPr>
            <w:tcW w:w="3893" w:type="dxa"/>
            <w:vAlign w:val="center"/>
            <w:hideMark/>
          </w:tcPr>
          <w:p w14:paraId="29BD7189"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t>Radiotherapy Site</w:t>
            </w:r>
          </w:p>
        </w:tc>
        <w:tc>
          <w:tcPr>
            <w:tcW w:w="2264" w:type="dxa"/>
            <w:vAlign w:val="center"/>
            <w:hideMark/>
          </w:tcPr>
          <w:p w14:paraId="63B95C40" w14:textId="77777777" w:rsidR="00884E63" w:rsidRPr="00884E63" w:rsidRDefault="00884E63" w:rsidP="00884E63">
            <w:pPr>
              <w:spacing w:line="276" w:lineRule="auto"/>
              <w:jc w:val="both"/>
              <w:rPr>
                <w:rFonts w:ascii="Aptos" w:hAnsi="Aptos"/>
                <w:sz w:val="22"/>
                <w:szCs w:val="22"/>
              </w:rPr>
            </w:pPr>
          </w:p>
        </w:tc>
        <w:tc>
          <w:tcPr>
            <w:tcW w:w="2391" w:type="dxa"/>
            <w:vAlign w:val="center"/>
            <w:hideMark/>
          </w:tcPr>
          <w:p w14:paraId="5914E807" w14:textId="77777777" w:rsidR="00884E63" w:rsidRPr="00884E63" w:rsidRDefault="00884E63" w:rsidP="00884E63">
            <w:pPr>
              <w:spacing w:line="276" w:lineRule="auto"/>
              <w:jc w:val="both"/>
              <w:rPr>
                <w:rFonts w:ascii="Aptos" w:hAnsi="Aptos"/>
                <w:sz w:val="22"/>
                <w:szCs w:val="22"/>
              </w:rPr>
            </w:pPr>
          </w:p>
        </w:tc>
      </w:tr>
      <w:tr w:rsidR="00884E63" w:rsidRPr="00884E63" w14:paraId="0F036F62" w14:textId="77777777" w:rsidTr="00884E63">
        <w:trPr>
          <w:tblCellSpacing w:w="15" w:type="dxa"/>
        </w:trPr>
        <w:tc>
          <w:tcPr>
            <w:tcW w:w="3893" w:type="dxa"/>
            <w:vAlign w:val="center"/>
            <w:hideMark/>
          </w:tcPr>
          <w:p w14:paraId="79C182F7"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Brain</w:t>
            </w:r>
          </w:p>
        </w:tc>
        <w:tc>
          <w:tcPr>
            <w:tcW w:w="2264" w:type="dxa"/>
            <w:vAlign w:val="center"/>
            <w:hideMark/>
          </w:tcPr>
          <w:p w14:paraId="0FCA42A8"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15 (45.5%) </w:t>
            </w:r>
          </w:p>
        </w:tc>
        <w:tc>
          <w:tcPr>
            <w:tcW w:w="2391" w:type="dxa"/>
            <w:vAlign w:val="center"/>
            <w:hideMark/>
          </w:tcPr>
          <w:p w14:paraId="5D6BE37F"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8 (42.1%) </w:t>
            </w:r>
          </w:p>
        </w:tc>
      </w:tr>
      <w:tr w:rsidR="00884E63" w:rsidRPr="00884E63" w14:paraId="04F81422" w14:textId="77777777" w:rsidTr="00884E63">
        <w:trPr>
          <w:tblCellSpacing w:w="15" w:type="dxa"/>
        </w:trPr>
        <w:tc>
          <w:tcPr>
            <w:tcW w:w="3893" w:type="dxa"/>
            <w:vAlign w:val="center"/>
            <w:hideMark/>
          </w:tcPr>
          <w:p w14:paraId="11D4B9D4"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Liver</w:t>
            </w:r>
          </w:p>
        </w:tc>
        <w:tc>
          <w:tcPr>
            <w:tcW w:w="2264" w:type="dxa"/>
            <w:vAlign w:val="center"/>
            <w:hideMark/>
          </w:tcPr>
          <w:p w14:paraId="28E9A879"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2 (6.1%) </w:t>
            </w:r>
          </w:p>
        </w:tc>
        <w:tc>
          <w:tcPr>
            <w:tcW w:w="2391" w:type="dxa"/>
            <w:vAlign w:val="center"/>
            <w:hideMark/>
          </w:tcPr>
          <w:p w14:paraId="26F0F51D"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0 (0.0%) </w:t>
            </w:r>
          </w:p>
        </w:tc>
      </w:tr>
      <w:tr w:rsidR="00884E63" w:rsidRPr="00884E63" w14:paraId="5BA30F33" w14:textId="77777777" w:rsidTr="00884E63">
        <w:trPr>
          <w:tblCellSpacing w:w="15" w:type="dxa"/>
        </w:trPr>
        <w:tc>
          <w:tcPr>
            <w:tcW w:w="3893" w:type="dxa"/>
            <w:vAlign w:val="center"/>
            <w:hideMark/>
          </w:tcPr>
          <w:p w14:paraId="3C29117A"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Bones</w:t>
            </w:r>
          </w:p>
        </w:tc>
        <w:tc>
          <w:tcPr>
            <w:tcW w:w="2264" w:type="dxa"/>
            <w:vAlign w:val="center"/>
            <w:hideMark/>
          </w:tcPr>
          <w:p w14:paraId="0E9046D8"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6 (18.2%) </w:t>
            </w:r>
          </w:p>
        </w:tc>
        <w:tc>
          <w:tcPr>
            <w:tcW w:w="2391" w:type="dxa"/>
            <w:vAlign w:val="center"/>
            <w:hideMark/>
          </w:tcPr>
          <w:p w14:paraId="4FFA97EC"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3 (15.8%) </w:t>
            </w:r>
          </w:p>
        </w:tc>
      </w:tr>
      <w:tr w:rsidR="00884E63" w:rsidRPr="00884E63" w14:paraId="4689C21B" w14:textId="77777777" w:rsidTr="00884E63">
        <w:trPr>
          <w:tblCellSpacing w:w="15" w:type="dxa"/>
        </w:trPr>
        <w:tc>
          <w:tcPr>
            <w:tcW w:w="3893" w:type="dxa"/>
            <w:vAlign w:val="center"/>
            <w:hideMark/>
          </w:tcPr>
          <w:p w14:paraId="198B08E6"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Brain and Bones</w:t>
            </w:r>
          </w:p>
        </w:tc>
        <w:tc>
          <w:tcPr>
            <w:tcW w:w="2264" w:type="dxa"/>
            <w:vAlign w:val="center"/>
            <w:hideMark/>
          </w:tcPr>
          <w:p w14:paraId="05E10C37"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3 (9.1%) </w:t>
            </w:r>
          </w:p>
        </w:tc>
        <w:tc>
          <w:tcPr>
            <w:tcW w:w="2391" w:type="dxa"/>
            <w:vAlign w:val="center"/>
            <w:hideMark/>
          </w:tcPr>
          <w:p w14:paraId="259E5759"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3 (15.8%) </w:t>
            </w:r>
          </w:p>
        </w:tc>
      </w:tr>
      <w:tr w:rsidR="00884E63" w:rsidRPr="00884E63" w14:paraId="210C15F9" w14:textId="77777777" w:rsidTr="00884E63">
        <w:trPr>
          <w:tblCellSpacing w:w="15" w:type="dxa"/>
        </w:trPr>
        <w:tc>
          <w:tcPr>
            <w:tcW w:w="3893" w:type="dxa"/>
            <w:vAlign w:val="center"/>
            <w:hideMark/>
          </w:tcPr>
          <w:p w14:paraId="2DE8584E"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Lungs and Bones</w:t>
            </w:r>
          </w:p>
        </w:tc>
        <w:tc>
          <w:tcPr>
            <w:tcW w:w="2264" w:type="dxa"/>
            <w:vAlign w:val="center"/>
            <w:hideMark/>
          </w:tcPr>
          <w:p w14:paraId="459081A7"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3 (9.1%) </w:t>
            </w:r>
          </w:p>
        </w:tc>
        <w:tc>
          <w:tcPr>
            <w:tcW w:w="2391" w:type="dxa"/>
            <w:vAlign w:val="center"/>
            <w:hideMark/>
          </w:tcPr>
          <w:p w14:paraId="53CAAAED"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2 (10.5%) </w:t>
            </w:r>
          </w:p>
        </w:tc>
      </w:tr>
      <w:tr w:rsidR="00884E63" w:rsidRPr="00884E63" w14:paraId="00840DA3" w14:textId="77777777" w:rsidTr="00884E63">
        <w:trPr>
          <w:tblCellSpacing w:w="15" w:type="dxa"/>
        </w:trPr>
        <w:tc>
          <w:tcPr>
            <w:tcW w:w="3893" w:type="dxa"/>
            <w:vAlign w:val="center"/>
            <w:hideMark/>
          </w:tcPr>
          <w:p w14:paraId="67B3BD0F"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Other</w:t>
            </w:r>
          </w:p>
        </w:tc>
        <w:tc>
          <w:tcPr>
            <w:tcW w:w="2264" w:type="dxa"/>
            <w:vAlign w:val="center"/>
            <w:hideMark/>
          </w:tcPr>
          <w:p w14:paraId="7568CCDA"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2 (6.1%) </w:t>
            </w:r>
          </w:p>
        </w:tc>
        <w:tc>
          <w:tcPr>
            <w:tcW w:w="2391" w:type="dxa"/>
            <w:vAlign w:val="center"/>
            <w:hideMark/>
          </w:tcPr>
          <w:p w14:paraId="5087B052"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2 (10.5%) </w:t>
            </w:r>
          </w:p>
        </w:tc>
      </w:tr>
      <w:tr w:rsidR="00884E63" w:rsidRPr="00884E63" w14:paraId="7C229AD4" w14:textId="77777777" w:rsidTr="00884E63">
        <w:trPr>
          <w:tblCellSpacing w:w="15" w:type="dxa"/>
        </w:trPr>
        <w:tc>
          <w:tcPr>
            <w:tcW w:w="3893" w:type="dxa"/>
            <w:vAlign w:val="center"/>
            <w:hideMark/>
          </w:tcPr>
          <w:p w14:paraId="650BE381" w14:textId="77777777" w:rsidR="00884E63" w:rsidRPr="00884E63" w:rsidRDefault="00884E63" w:rsidP="00884E63">
            <w:pPr>
              <w:spacing w:line="276" w:lineRule="auto"/>
              <w:jc w:val="both"/>
              <w:rPr>
                <w:rFonts w:ascii="Aptos" w:hAnsi="Aptos"/>
                <w:sz w:val="22"/>
                <w:szCs w:val="22"/>
              </w:rPr>
            </w:pPr>
            <w:r w:rsidRPr="00884E63">
              <w:rPr>
                <w:rFonts w:ascii="Aptos" w:hAnsi="Aptos"/>
                <w:b/>
                <w:bCs/>
                <w:sz w:val="22"/>
                <w:szCs w:val="22"/>
              </w:rPr>
              <w:t>Radiotherapy Modality</w:t>
            </w:r>
          </w:p>
        </w:tc>
        <w:tc>
          <w:tcPr>
            <w:tcW w:w="2264" w:type="dxa"/>
            <w:vAlign w:val="center"/>
            <w:hideMark/>
          </w:tcPr>
          <w:p w14:paraId="1423BC09" w14:textId="77777777" w:rsidR="00884E63" w:rsidRPr="00884E63" w:rsidRDefault="00884E63" w:rsidP="00884E63">
            <w:pPr>
              <w:spacing w:line="276" w:lineRule="auto"/>
              <w:jc w:val="both"/>
              <w:rPr>
                <w:rFonts w:ascii="Aptos" w:hAnsi="Aptos"/>
                <w:sz w:val="22"/>
                <w:szCs w:val="22"/>
              </w:rPr>
            </w:pPr>
          </w:p>
        </w:tc>
        <w:tc>
          <w:tcPr>
            <w:tcW w:w="2391" w:type="dxa"/>
            <w:vAlign w:val="center"/>
            <w:hideMark/>
          </w:tcPr>
          <w:p w14:paraId="39F160FD" w14:textId="77777777" w:rsidR="00884E63" w:rsidRPr="00884E63" w:rsidRDefault="00884E63" w:rsidP="00884E63">
            <w:pPr>
              <w:spacing w:line="276" w:lineRule="auto"/>
              <w:jc w:val="both"/>
              <w:rPr>
                <w:rFonts w:ascii="Aptos" w:hAnsi="Aptos"/>
                <w:sz w:val="22"/>
                <w:szCs w:val="22"/>
              </w:rPr>
            </w:pPr>
          </w:p>
        </w:tc>
      </w:tr>
      <w:tr w:rsidR="00884E63" w:rsidRPr="00884E63" w14:paraId="1A008B6E" w14:textId="77777777" w:rsidTr="00884E63">
        <w:trPr>
          <w:tblCellSpacing w:w="15" w:type="dxa"/>
        </w:trPr>
        <w:tc>
          <w:tcPr>
            <w:tcW w:w="3893" w:type="dxa"/>
            <w:vAlign w:val="center"/>
            <w:hideMark/>
          </w:tcPr>
          <w:p w14:paraId="569ABDD0"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Whole Brain Radiotherapy (WBRT)</w:t>
            </w:r>
          </w:p>
        </w:tc>
        <w:tc>
          <w:tcPr>
            <w:tcW w:w="2264" w:type="dxa"/>
            <w:vAlign w:val="center"/>
            <w:hideMark/>
          </w:tcPr>
          <w:p w14:paraId="0970A5B7"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9 (27.3%) </w:t>
            </w:r>
          </w:p>
        </w:tc>
        <w:tc>
          <w:tcPr>
            <w:tcW w:w="2391" w:type="dxa"/>
            <w:vAlign w:val="center"/>
            <w:hideMark/>
          </w:tcPr>
          <w:p w14:paraId="41920618"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5 (26.3%) </w:t>
            </w:r>
          </w:p>
        </w:tc>
      </w:tr>
      <w:tr w:rsidR="00884E63" w:rsidRPr="00884E63" w14:paraId="0FA3AE64" w14:textId="77777777" w:rsidTr="00884E63">
        <w:trPr>
          <w:tblCellSpacing w:w="15" w:type="dxa"/>
        </w:trPr>
        <w:tc>
          <w:tcPr>
            <w:tcW w:w="3893" w:type="dxa"/>
            <w:vAlign w:val="center"/>
            <w:hideMark/>
          </w:tcPr>
          <w:p w14:paraId="21F1C418"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Brain Stereotactic</w:t>
            </w:r>
          </w:p>
        </w:tc>
        <w:tc>
          <w:tcPr>
            <w:tcW w:w="2264" w:type="dxa"/>
            <w:vAlign w:val="center"/>
            <w:hideMark/>
          </w:tcPr>
          <w:p w14:paraId="52FC8AFC"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6 (18.2%) </w:t>
            </w:r>
          </w:p>
        </w:tc>
        <w:tc>
          <w:tcPr>
            <w:tcW w:w="2391" w:type="dxa"/>
            <w:vAlign w:val="center"/>
            <w:hideMark/>
          </w:tcPr>
          <w:p w14:paraId="3D6CBD37"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3 (15.8%) </w:t>
            </w:r>
          </w:p>
        </w:tc>
      </w:tr>
      <w:tr w:rsidR="00884E63" w:rsidRPr="00884E63" w14:paraId="1C4A4360" w14:textId="77777777" w:rsidTr="00884E63">
        <w:trPr>
          <w:tblCellSpacing w:w="15" w:type="dxa"/>
        </w:trPr>
        <w:tc>
          <w:tcPr>
            <w:tcW w:w="3893" w:type="dxa"/>
            <w:vAlign w:val="center"/>
            <w:hideMark/>
          </w:tcPr>
          <w:p w14:paraId="1565E9C7"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Visceral Stereotactic</w:t>
            </w:r>
          </w:p>
        </w:tc>
        <w:tc>
          <w:tcPr>
            <w:tcW w:w="2264" w:type="dxa"/>
            <w:vAlign w:val="center"/>
            <w:hideMark/>
          </w:tcPr>
          <w:p w14:paraId="01C63AA8"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3 (9.1%) </w:t>
            </w:r>
          </w:p>
        </w:tc>
        <w:tc>
          <w:tcPr>
            <w:tcW w:w="2391" w:type="dxa"/>
            <w:vAlign w:val="center"/>
            <w:hideMark/>
          </w:tcPr>
          <w:p w14:paraId="2CC4FDD3"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1 (5.3%) </w:t>
            </w:r>
          </w:p>
        </w:tc>
      </w:tr>
      <w:tr w:rsidR="00884E63" w:rsidRPr="00884E63" w14:paraId="70F9947A" w14:textId="77777777" w:rsidTr="00884E63">
        <w:trPr>
          <w:tblCellSpacing w:w="15" w:type="dxa"/>
        </w:trPr>
        <w:tc>
          <w:tcPr>
            <w:tcW w:w="3893" w:type="dxa"/>
            <w:vAlign w:val="center"/>
            <w:hideMark/>
          </w:tcPr>
          <w:p w14:paraId="68077B6F" w14:textId="3CBC10A6" w:rsidR="00884E63" w:rsidRPr="00884E63" w:rsidRDefault="00884E63" w:rsidP="00884E63">
            <w:pPr>
              <w:spacing w:line="276" w:lineRule="auto"/>
              <w:jc w:val="both"/>
              <w:rPr>
                <w:rFonts w:ascii="Aptos" w:hAnsi="Aptos"/>
                <w:sz w:val="22"/>
                <w:szCs w:val="22"/>
              </w:rPr>
            </w:pPr>
            <w:r w:rsidRPr="00884E63">
              <w:rPr>
                <w:rFonts w:ascii="Aptos" w:hAnsi="Aptos"/>
                <w:sz w:val="22"/>
                <w:szCs w:val="22"/>
              </w:rPr>
              <w:t>Palliative (Antalgic)</w:t>
            </w:r>
          </w:p>
        </w:tc>
        <w:tc>
          <w:tcPr>
            <w:tcW w:w="2264" w:type="dxa"/>
            <w:vAlign w:val="center"/>
            <w:hideMark/>
          </w:tcPr>
          <w:p w14:paraId="02174F0F"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10 (30.3%) </w:t>
            </w:r>
          </w:p>
        </w:tc>
        <w:tc>
          <w:tcPr>
            <w:tcW w:w="2391" w:type="dxa"/>
            <w:vAlign w:val="center"/>
            <w:hideMark/>
          </w:tcPr>
          <w:p w14:paraId="53409DFB" w14:textId="77777777" w:rsidR="00884E63" w:rsidRPr="00884E63" w:rsidRDefault="00884E63" w:rsidP="00884E63">
            <w:pPr>
              <w:spacing w:line="276" w:lineRule="auto"/>
              <w:jc w:val="both"/>
              <w:rPr>
                <w:rFonts w:ascii="Aptos" w:hAnsi="Aptos"/>
                <w:sz w:val="22"/>
                <w:szCs w:val="22"/>
              </w:rPr>
            </w:pPr>
            <w:r w:rsidRPr="00884E63">
              <w:rPr>
                <w:rFonts w:ascii="Aptos" w:hAnsi="Aptos"/>
                <w:sz w:val="22"/>
                <w:szCs w:val="22"/>
              </w:rPr>
              <w:t>7 (36.8%) </w:t>
            </w:r>
          </w:p>
        </w:tc>
      </w:tr>
    </w:tbl>
    <w:p w14:paraId="36B57844" w14:textId="77777777" w:rsidR="00884E63" w:rsidRDefault="00884E63" w:rsidP="00EF7AB9">
      <w:pPr>
        <w:spacing w:line="276" w:lineRule="auto"/>
        <w:jc w:val="both"/>
        <w:rPr>
          <w:sz w:val="22"/>
          <w:szCs w:val="22"/>
          <w:lang w:val="en-US"/>
        </w:rPr>
      </w:pPr>
    </w:p>
    <w:p w14:paraId="084605D8" w14:textId="37277872" w:rsidR="00884E63" w:rsidRDefault="00884E63" w:rsidP="00EF7AB9">
      <w:pPr>
        <w:spacing w:line="276" w:lineRule="auto"/>
        <w:jc w:val="both"/>
        <w:rPr>
          <w:sz w:val="22"/>
          <w:szCs w:val="22"/>
          <w:lang w:val="en-US"/>
        </w:rPr>
      </w:pPr>
      <w:r w:rsidRPr="00884E63">
        <w:rPr>
          <w:b/>
          <w:bCs/>
          <w:sz w:val="22"/>
          <w:szCs w:val="22"/>
          <w:lang w:val="en-US"/>
        </w:rPr>
        <w:t>Supplementary Table 2.</w:t>
      </w:r>
      <w:r>
        <w:rPr>
          <w:sz w:val="22"/>
          <w:szCs w:val="22"/>
          <w:lang w:val="en-US"/>
        </w:rPr>
        <w:t xml:space="preserve"> </w:t>
      </w:r>
      <w:r w:rsidRPr="00884E63">
        <w:rPr>
          <w:sz w:val="22"/>
          <w:szCs w:val="22"/>
        </w:rPr>
        <w:t>Radiotherapy characteristics in patients receiving it during the last six and three months of life. </w:t>
      </w:r>
      <w:r w:rsidRPr="00884E63">
        <w:rPr>
          <w:i/>
          <w:iCs/>
          <w:sz w:val="22"/>
          <w:szCs w:val="22"/>
        </w:rPr>
        <w:t>Abbreviations: WBRT = Whole Brain Radiotherapy.</w:t>
      </w:r>
      <w:r w:rsidRPr="00884E63">
        <w:rPr>
          <w:sz w:val="22"/>
          <w:szCs w:val="22"/>
        </w:rPr>
        <w:t> </w:t>
      </w:r>
      <w:r w:rsidRPr="00884E63">
        <w:rPr>
          <w:i/>
          <w:iCs/>
          <w:sz w:val="22"/>
          <w:szCs w:val="22"/>
        </w:rPr>
        <w:t>Note: Percentages may not total 100% because some patients received combined treatments (e.g., WBRT plus palliative radiotherapy) which are counted separately.</w:t>
      </w:r>
    </w:p>
    <w:p w14:paraId="72A3D2B4" w14:textId="77777777" w:rsidR="005018BF" w:rsidRDefault="005018BF" w:rsidP="00EF7AB9">
      <w:pPr>
        <w:spacing w:line="276" w:lineRule="auto"/>
        <w:jc w:val="both"/>
        <w:rPr>
          <w:sz w:val="22"/>
          <w:szCs w:val="22"/>
          <w:lang w:val="en-US"/>
        </w:rPr>
      </w:pPr>
    </w:p>
    <w:p w14:paraId="08ED1FB1" w14:textId="77777777" w:rsidR="005018BF" w:rsidRPr="00D70598" w:rsidRDefault="005018BF" w:rsidP="00EF7AB9">
      <w:pPr>
        <w:spacing w:line="276" w:lineRule="auto"/>
        <w:jc w:val="both"/>
        <w:rPr>
          <w:sz w:val="22"/>
          <w:szCs w:val="22"/>
          <w:lang w:val="en-US"/>
        </w:rPr>
      </w:pPr>
    </w:p>
    <w:sectPr w:rsidR="005018BF" w:rsidRPr="00D705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AA1E13"/>
    <w:multiLevelType w:val="hybridMultilevel"/>
    <w:tmpl w:val="F32C91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B2267F4"/>
    <w:multiLevelType w:val="hybridMultilevel"/>
    <w:tmpl w:val="AD24EA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7A71D86"/>
    <w:multiLevelType w:val="hybridMultilevel"/>
    <w:tmpl w:val="0CCEA238"/>
    <w:lvl w:ilvl="0" w:tplc="0A4EC1A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0699741">
    <w:abstractNumId w:val="2"/>
  </w:num>
  <w:num w:numId="2" w16cid:durableId="288897108">
    <w:abstractNumId w:val="1"/>
  </w:num>
  <w:num w:numId="3" w16cid:durableId="162214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B9"/>
    <w:rsid w:val="002972B0"/>
    <w:rsid w:val="005018BF"/>
    <w:rsid w:val="00884E63"/>
    <w:rsid w:val="00B314D8"/>
    <w:rsid w:val="00BF35EF"/>
    <w:rsid w:val="00CF78DB"/>
    <w:rsid w:val="00D07DCE"/>
    <w:rsid w:val="00D70598"/>
    <w:rsid w:val="00EF7AB9"/>
  </w:rsids>
  <m:mathPr>
    <m:mathFont m:val="Cambria Math"/>
    <m:brkBin m:val="before"/>
    <m:brkBinSub m:val="--"/>
    <m:smallFrac m:val="0"/>
    <m:dispDef/>
    <m:lMargin m:val="0"/>
    <m:rMargin m:val="0"/>
    <m:defJc m:val="centerGroup"/>
    <m:wrapIndent m:val="1440"/>
    <m:intLim m:val="subSup"/>
    <m:naryLim m:val="undOvr"/>
  </m:mathPr>
  <w:themeFontLang w:val="it-AU"/>
  <w:clrSchemeMapping w:bg1="light1" w:t1="dark1" w:bg2="light2" w:t2="dark2" w:accent1="accent1" w:accent2="accent2" w:accent3="accent3" w:accent4="accent4" w:accent5="accent5" w:accent6="accent6" w:hyperlink="hyperlink" w:followedHyperlink="followedHyperlink"/>
  <w:decimalSymbol w:val="."/>
  <w:listSeparator w:val=";"/>
  <w14:docId w14:val="7F77846F"/>
  <w15:chartTrackingRefBased/>
  <w15:docId w15:val="{509E4DA1-0AA5-D042-A880-69AED52E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F7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F7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F7AB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F7AB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F7AB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F7AB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F7AB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F7AB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F7AB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F7AB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F7AB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F7AB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F7AB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F7AB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F7AB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F7AB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F7AB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F7AB9"/>
    <w:rPr>
      <w:rFonts w:eastAsiaTheme="majorEastAsia" w:cstheme="majorBidi"/>
      <w:color w:val="272727" w:themeColor="text1" w:themeTint="D8"/>
    </w:rPr>
  </w:style>
  <w:style w:type="paragraph" w:styleId="Titolo">
    <w:name w:val="Title"/>
    <w:basedOn w:val="Normale"/>
    <w:next w:val="Normale"/>
    <w:link w:val="TitoloCarattere"/>
    <w:uiPriority w:val="10"/>
    <w:qFormat/>
    <w:rsid w:val="00EF7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F7AB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F7AB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F7AB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F7AB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F7AB9"/>
    <w:rPr>
      <w:i/>
      <w:iCs/>
      <w:color w:val="404040" w:themeColor="text1" w:themeTint="BF"/>
    </w:rPr>
  </w:style>
  <w:style w:type="paragraph" w:styleId="Paragrafoelenco">
    <w:name w:val="List Paragraph"/>
    <w:basedOn w:val="Normale"/>
    <w:uiPriority w:val="34"/>
    <w:qFormat/>
    <w:rsid w:val="00EF7AB9"/>
    <w:pPr>
      <w:ind w:left="720"/>
      <w:contextualSpacing/>
    </w:pPr>
  </w:style>
  <w:style w:type="character" w:styleId="Enfasiintensa">
    <w:name w:val="Intense Emphasis"/>
    <w:basedOn w:val="Carpredefinitoparagrafo"/>
    <w:uiPriority w:val="21"/>
    <w:qFormat/>
    <w:rsid w:val="00EF7AB9"/>
    <w:rPr>
      <w:i/>
      <w:iCs/>
      <w:color w:val="0F4761" w:themeColor="accent1" w:themeShade="BF"/>
    </w:rPr>
  </w:style>
  <w:style w:type="paragraph" w:styleId="Citazioneintensa">
    <w:name w:val="Intense Quote"/>
    <w:basedOn w:val="Normale"/>
    <w:next w:val="Normale"/>
    <w:link w:val="CitazioneintensaCarattere"/>
    <w:uiPriority w:val="30"/>
    <w:qFormat/>
    <w:rsid w:val="00EF7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F7AB9"/>
    <w:rPr>
      <w:i/>
      <w:iCs/>
      <w:color w:val="0F4761" w:themeColor="accent1" w:themeShade="BF"/>
    </w:rPr>
  </w:style>
  <w:style w:type="character" w:styleId="Riferimentointenso">
    <w:name w:val="Intense Reference"/>
    <w:basedOn w:val="Carpredefinitoparagrafo"/>
    <w:uiPriority w:val="32"/>
    <w:qFormat/>
    <w:rsid w:val="00EF7AB9"/>
    <w:rPr>
      <w:b/>
      <w:bCs/>
      <w:smallCaps/>
      <w:color w:val="0F4761" w:themeColor="accent1" w:themeShade="BF"/>
      <w:spacing w:val="5"/>
    </w:rPr>
  </w:style>
  <w:style w:type="table" w:styleId="Tabellasemplice4">
    <w:name w:val="Plain Table 4"/>
    <w:basedOn w:val="Tabellanormale"/>
    <w:uiPriority w:val="44"/>
    <w:rsid w:val="00EF7AB9"/>
    <w:pPr>
      <w:spacing w:after="0" w:line="240" w:lineRule="auto"/>
    </w:pPr>
    <w:rPr>
      <w:sz w:val="22"/>
      <w:szCs w:val="22"/>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griglia2-colore1">
    <w:name w:val="Grid Table 2 Accent 1"/>
    <w:basedOn w:val="Tabellanormale"/>
    <w:uiPriority w:val="47"/>
    <w:rsid w:val="005018BF"/>
    <w:pPr>
      <w:spacing w:after="0" w:line="240" w:lineRule="auto"/>
    </w:pPr>
    <w:rPr>
      <w:sz w:val="22"/>
      <w:szCs w:val="22"/>
      <w:lang w:val="en-US"/>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663822">
      <w:bodyDiv w:val="1"/>
      <w:marLeft w:val="0"/>
      <w:marRight w:val="0"/>
      <w:marTop w:val="0"/>
      <w:marBottom w:val="0"/>
      <w:divBdr>
        <w:top w:val="none" w:sz="0" w:space="0" w:color="auto"/>
        <w:left w:val="none" w:sz="0" w:space="0" w:color="auto"/>
        <w:bottom w:val="none" w:sz="0" w:space="0" w:color="auto"/>
        <w:right w:val="none" w:sz="0" w:space="0" w:color="auto"/>
      </w:divBdr>
    </w:div>
    <w:div w:id="844588543">
      <w:bodyDiv w:val="1"/>
      <w:marLeft w:val="0"/>
      <w:marRight w:val="0"/>
      <w:marTop w:val="0"/>
      <w:marBottom w:val="0"/>
      <w:divBdr>
        <w:top w:val="none" w:sz="0" w:space="0" w:color="auto"/>
        <w:left w:val="none" w:sz="0" w:space="0" w:color="auto"/>
        <w:bottom w:val="none" w:sz="0" w:space="0" w:color="auto"/>
        <w:right w:val="none" w:sz="0" w:space="0" w:color="auto"/>
      </w:divBdr>
    </w:div>
    <w:div w:id="168821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392</Words>
  <Characters>2238</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Boutros</dc:creator>
  <cp:keywords/>
  <dc:description/>
  <cp:lastModifiedBy>Andrea Boutros</cp:lastModifiedBy>
  <cp:revision>6</cp:revision>
  <dcterms:created xsi:type="dcterms:W3CDTF">2026-01-30T11:46:00Z</dcterms:created>
  <dcterms:modified xsi:type="dcterms:W3CDTF">2026-01-30T21:10:00Z</dcterms:modified>
</cp:coreProperties>
</file>