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80C" w:rsidRPr="003023AE" w:rsidRDefault="005417F3">
      <w:pPr>
        <w:spacing w:line="360" w:lineRule="auto"/>
        <w:jc w:val="center"/>
        <w:rPr>
          <w:rFonts w:ascii="Times New Roman" w:hAnsi="Times New Roman" w:cs="Times New Roman"/>
          <w:b/>
          <w:bCs/>
          <w:color w:val="000000" w:themeColor="text1"/>
          <w:sz w:val="28"/>
          <w:szCs w:val="28"/>
        </w:rPr>
      </w:pPr>
      <w:r w:rsidRPr="003023AE">
        <w:rPr>
          <w:rFonts w:ascii="Times New Roman" w:hAnsi="Times New Roman" w:cs="Times New Roman"/>
          <w:b/>
          <w:bCs/>
          <w:color w:val="000000" w:themeColor="text1"/>
          <w:sz w:val="28"/>
          <w:szCs w:val="28"/>
        </w:rPr>
        <w:t>Supplementary Materials</w:t>
      </w:r>
    </w:p>
    <w:p w:rsidR="00F5580C" w:rsidRPr="003023AE" w:rsidRDefault="005417F3">
      <w:pPr>
        <w:spacing w:line="360" w:lineRule="auto"/>
        <w:rPr>
          <w:rFonts w:ascii="Times New Roman" w:hAnsi="Times New Roman" w:cs="Times New Roman"/>
          <w:b/>
          <w:color w:val="000000" w:themeColor="text1"/>
          <w:sz w:val="28"/>
          <w:szCs w:val="28"/>
        </w:rPr>
      </w:pPr>
      <w:r w:rsidRPr="003023AE">
        <w:rPr>
          <w:rFonts w:ascii="Times New Roman" w:hAnsi="Times New Roman" w:cs="Times New Roman"/>
          <w:b/>
          <w:color w:val="000000" w:themeColor="text1"/>
          <w:sz w:val="28"/>
          <w:szCs w:val="28"/>
        </w:rPr>
        <w:t xml:space="preserve">CS2164 combined with radiation impaired tumor growth by interfering with DNA damage repair </w:t>
      </w:r>
      <w:r w:rsidR="00ED4EDD" w:rsidRPr="003023AE">
        <w:rPr>
          <w:rFonts w:ascii="Times New Roman" w:hAnsi="Times New Roman" w:cs="Times New Roman"/>
          <w:b/>
          <w:color w:val="000000" w:themeColor="text1"/>
          <w:sz w:val="28"/>
          <w:szCs w:val="28"/>
        </w:rPr>
        <w:t>process</w:t>
      </w:r>
    </w:p>
    <w:p w:rsidR="00F5580C" w:rsidRPr="003023AE" w:rsidRDefault="005417F3">
      <w:pP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Shun-li Peng</w:t>
      </w:r>
      <w:r w:rsidRPr="003023AE">
        <w:rPr>
          <w:rFonts w:ascii="Times New Roman" w:hAnsi="Times New Roman" w:cs="Times New Roman"/>
          <w:color w:val="000000" w:themeColor="text1"/>
          <w:sz w:val="24"/>
          <w:vertAlign w:val="superscript"/>
        </w:rPr>
        <w:t>1,</w:t>
      </w:r>
      <w:r w:rsidRPr="003023AE">
        <w:rPr>
          <w:rFonts w:ascii="Times New Roman" w:hAnsi="Times New Roman" w:cs="Times New Roman"/>
          <w:color w:val="000000" w:themeColor="text1"/>
          <w:sz w:val="24"/>
        </w:rPr>
        <w:t>*, Yu-ling Zhou</w:t>
      </w:r>
      <w:r w:rsidRPr="003023AE">
        <w:rPr>
          <w:rFonts w:ascii="Times New Roman" w:hAnsi="Times New Roman" w:cs="Times New Roman"/>
          <w:color w:val="000000" w:themeColor="text1"/>
          <w:sz w:val="24"/>
          <w:vertAlign w:val="superscript"/>
        </w:rPr>
        <w:t>2,</w:t>
      </w:r>
      <w:r w:rsidRPr="003023AE">
        <w:rPr>
          <w:rFonts w:ascii="Times New Roman" w:hAnsi="Times New Roman" w:cs="Times New Roman"/>
          <w:color w:val="000000" w:themeColor="text1"/>
          <w:sz w:val="24"/>
        </w:rPr>
        <w:t>*, Xuexia Liang</w:t>
      </w:r>
      <w:r w:rsidRPr="003023AE">
        <w:rPr>
          <w:rFonts w:ascii="Times New Roman" w:hAnsi="Times New Roman" w:cs="Times New Roman"/>
          <w:color w:val="000000" w:themeColor="text1"/>
          <w:sz w:val="24"/>
          <w:vertAlign w:val="superscript"/>
        </w:rPr>
        <w:t>1,</w:t>
      </w:r>
      <w:r w:rsidRPr="003023AE">
        <w:rPr>
          <w:rFonts w:ascii="Times New Roman" w:hAnsi="Times New Roman" w:cs="Times New Roman"/>
          <w:color w:val="000000" w:themeColor="text1"/>
          <w:sz w:val="24"/>
        </w:rPr>
        <w:t>*, Ren-wei Jiang</w:t>
      </w:r>
      <w:r w:rsidRPr="003023AE">
        <w:rPr>
          <w:rFonts w:ascii="Times New Roman" w:hAnsi="Times New Roman" w:cs="Times New Roman"/>
          <w:color w:val="000000" w:themeColor="text1"/>
          <w:sz w:val="24"/>
          <w:vertAlign w:val="superscript"/>
        </w:rPr>
        <w:t>1</w:t>
      </w:r>
      <w:r w:rsidRPr="003023AE">
        <w:rPr>
          <w:rFonts w:ascii="Times New Roman" w:hAnsi="Times New Roman" w:cs="Times New Roman"/>
          <w:color w:val="000000" w:themeColor="text1"/>
          <w:sz w:val="24"/>
        </w:rPr>
        <w:t>, Shuai Yang</w:t>
      </w:r>
      <w:r w:rsidRPr="003023AE">
        <w:rPr>
          <w:rFonts w:ascii="Times New Roman" w:hAnsi="Times New Roman" w:cs="Times New Roman"/>
          <w:color w:val="000000" w:themeColor="text1"/>
          <w:sz w:val="24"/>
          <w:vertAlign w:val="superscript"/>
        </w:rPr>
        <w:t>1</w:t>
      </w:r>
      <w:r w:rsidRPr="003023AE">
        <w:rPr>
          <w:rFonts w:ascii="Times New Roman" w:hAnsi="Times New Roman" w:cs="Times New Roman"/>
          <w:color w:val="000000" w:themeColor="text1"/>
          <w:sz w:val="24"/>
        </w:rPr>
        <w:t xml:space="preserve">, </w:t>
      </w:r>
      <w:r w:rsidRPr="003023AE">
        <w:rPr>
          <w:rFonts w:ascii="Times New Roman" w:hAnsi="Times New Roman" w:cs="Times New Roman"/>
          <w:color w:val="000000" w:themeColor="text1"/>
          <w:kern w:val="0"/>
          <w:sz w:val="24"/>
        </w:rPr>
        <w:t>Qiao-dan Liu</w:t>
      </w:r>
      <w:r w:rsidRPr="003023AE">
        <w:rPr>
          <w:rFonts w:ascii="Times New Roman" w:hAnsi="Times New Roman" w:cs="Times New Roman"/>
          <w:color w:val="000000" w:themeColor="text1"/>
          <w:sz w:val="24"/>
          <w:vertAlign w:val="superscript"/>
        </w:rPr>
        <w:t>1,3,</w:t>
      </w:r>
      <w:r w:rsidRPr="003023AE">
        <w:rPr>
          <w:rFonts w:ascii="Times New Roman" w:hAnsi="Times New Roman" w:cs="Times New Roman"/>
          <w:color w:val="000000" w:themeColor="text1"/>
          <w:kern w:val="0"/>
          <w:sz w:val="24"/>
          <w:vertAlign w:val="superscript"/>
        </w:rPr>
        <w:t>#</w:t>
      </w:r>
      <w:r w:rsidRPr="003023AE">
        <w:rPr>
          <w:rFonts w:ascii="Times New Roman" w:hAnsi="Times New Roman" w:cs="Times New Roman"/>
          <w:color w:val="000000" w:themeColor="text1"/>
          <w:kern w:val="0"/>
          <w:sz w:val="24"/>
        </w:rPr>
        <w:t>, Xiao-mou Peng</w:t>
      </w:r>
      <w:r w:rsidRPr="003023AE">
        <w:rPr>
          <w:rFonts w:ascii="Times New Roman" w:hAnsi="Times New Roman" w:cs="Times New Roman"/>
          <w:color w:val="000000" w:themeColor="text1"/>
          <w:sz w:val="24"/>
          <w:vertAlign w:val="superscript"/>
        </w:rPr>
        <w:t>3,</w:t>
      </w:r>
      <w:r w:rsidRPr="003023AE">
        <w:rPr>
          <w:rFonts w:ascii="Times New Roman" w:hAnsi="Times New Roman" w:cs="Times New Roman"/>
          <w:color w:val="000000" w:themeColor="text1"/>
          <w:kern w:val="0"/>
          <w:sz w:val="24"/>
          <w:vertAlign w:val="superscript"/>
        </w:rPr>
        <w:t>#</w:t>
      </w:r>
    </w:p>
    <w:p w:rsidR="00F5580C" w:rsidRPr="003023AE" w:rsidRDefault="005417F3">
      <w:pPr>
        <w:spacing w:line="360" w:lineRule="auto"/>
        <w:rPr>
          <w:rFonts w:ascii="Times New Roman" w:hAnsi="Times New Roman" w:cs="Times New Roman"/>
          <w:color w:val="000000" w:themeColor="text1"/>
          <w:sz w:val="22"/>
        </w:rPr>
      </w:pPr>
      <w:r w:rsidRPr="003023AE">
        <w:rPr>
          <w:rFonts w:ascii="Times New Roman" w:hAnsi="Times New Roman" w:cs="Times New Roman"/>
          <w:bCs/>
          <w:color w:val="000000" w:themeColor="text1"/>
          <w:sz w:val="22"/>
        </w:rPr>
        <w:t xml:space="preserve">* Equal contribution    </w:t>
      </w:r>
      <w:r w:rsidRPr="003023AE">
        <w:rPr>
          <w:rFonts w:ascii="Times New Roman" w:hAnsi="Times New Roman" w:cs="Times New Roman"/>
          <w:bCs/>
          <w:color w:val="000000" w:themeColor="text1"/>
          <w:sz w:val="22"/>
          <w:vertAlign w:val="superscript"/>
        </w:rPr>
        <w:t xml:space="preserve"># </w:t>
      </w:r>
      <w:r w:rsidRPr="003023AE">
        <w:rPr>
          <w:rFonts w:ascii="Times New Roman" w:hAnsi="Times New Roman" w:cs="Times New Roman"/>
          <w:bCs/>
          <w:color w:val="000000" w:themeColor="text1"/>
          <w:sz w:val="22"/>
        </w:rPr>
        <w:t>Correspondence</w:t>
      </w:r>
      <w:r w:rsidRPr="003023AE">
        <w:rPr>
          <w:rFonts w:ascii="Times New Roman" w:hAnsi="Times New Roman" w:cs="Times New Roman"/>
          <w:color w:val="000000" w:themeColor="text1"/>
          <w:sz w:val="22"/>
        </w:rPr>
        <w:t xml:space="preserve">: </w:t>
      </w:r>
    </w:p>
    <w:p w:rsidR="00F5580C" w:rsidRPr="003023AE" w:rsidRDefault="00F5580C">
      <w:pPr>
        <w:spacing w:line="360" w:lineRule="auto"/>
        <w:jc w:val="left"/>
        <w:rPr>
          <w:rFonts w:ascii="Times New Roman" w:hAnsi="Times New Roman" w:cs="Times New Roman"/>
          <w:b/>
          <w:color w:val="000000" w:themeColor="text1"/>
          <w:sz w:val="24"/>
        </w:rPr>
      </w:pPr>
    </w:p>
    <w:p w:rsidR="00F5580C" w:rsidRPr="003023AE" w:rsidRDefault="005417F3">
      <w:pPr>
        <w:rPr>
          <w:rFonts w:ascii="Times New Roman" w:hAnsi="Times New Roman" w:cs="Times New Roman"/>
          <w:color w:val="000000" w:themeColor="text1"/>
          <w:sz w:val="24"/>
        </w:rPr>
      </w:pPr>
      <w:r w:rsidRPr="003023AE">
        <w:rPr>
          <w:rFonts w:ascii="Times New Roman" w:eastAsia="等线" w:hAnsi="Times New Roman" w:cs="Times New Roman"/>
          <w:color w:val="000000" w:themeColor="text1"/>
          <w:sz w:val="22"/>
          <w:vertAlign w:val="superscript"/>
          <w:lang w:bidi="ar"/>
        </w:rPr>
        <w:t>1</w:t>
      </w:r>
      <w:r w:rsidRPr="003023AE">
        <w:rPr>
          <w:rFonts w:ascii="Times New Roman" w:hAnsi="Times New Roman" w:cs="Times New Roman"/>
          <w:color w:val="000000" w:themeColor="text1"/>
          <w:sz w:val="24"/>
        </w:rPr>
        <w:t xml:space="preserve">Cancer Center, the Fifth Affiliated Hospital of Sun Yat-sen University, Zhuhai, Guangdong, 519000, China; </w:t>
      </w:r>
    </w:p>
    <w:p w:rsidR="00F5580C" w:rsidRPr="003023AE" w:rsidRDefault="005417F3">
      <w:pPr>
        <w:rPr>
          <w:rFonts w:ascii="Times New Roman" w:hAnsi="Times New Roman" w:cs="Times New Roman"/>
          <w:color w:val="000000" w:themeColor="text1"/>
          <w:sz w:val="24"/>
        </w:rPr>
      </w:pPr>
      <w:r w:rsidRPr="003023AE">
        <w:rPr>
          <w:rFonts w:ascii="Times New Roman" w:eastAsia="等线" w:hAnsi="Times New Roman" w:cs="Times New Roman"/>
          <w:color w:val="000000" w:themeColor="text1"/>
          <w:sz w:val="22"/>
          <w:vertAlign w:val="superscript"/>
          <w:lang w:bidi="ar"/>
        </w:rPr>
        <w:t>2</w:t>
      </w:r>
      <w:r w:rsidRPr="003023AE">
        <w:rPr>
          <w:rFonts w:ascii="Times New Roman" w:hAnsi="Times New Roman" w:cs="Times New Roman"/>
          <w:color w:val="000000" w:themeColor="text1"/>
          <w:sz w:val="24"/>
        </w:rPr>
        <w:t xml:space="preserve">Cancer Center, the Central Hospital of Yueyang, Yueyang, Hunan, 414000, China; </w:t>
      </w:r>
    </w:p>
    <w:p w:rsidR="00F5580C" w:rsidRPr="003023AE" w:rsidRDefault="005417F3">
      <w:pPr>
        <w:rPr>
          <w:rFonts w:ascii="Times New Roman" w:hAnsi="Times New Roman" w:cs="Times New Roman"/>
          <w:color w:val="000000" w:themeColor="text1"/>
          <w:sz w:val="24"/>
        </w:rPr>
      </w:pPr>
      <w:r w:rsidRPr="003023AE">
        <w:rPr>
          <w:rFonts w:ascii="Times New Roman" w:eastAsia="等线" w:hAnsi="Times New Roman" w:cs="Times New Roman"/>
          <w:color w:val="000000" w:themeColor="text1"/>
          <w:sz w:val="22"/>
          <w:vertAlign w:val="superscript"/>
          <w:lang w:bidi="ar"/>
        </w:rPr>
        <w:t>3</w:t>
      </w:r>
      <w:r w:rsidRPr="003023AE">
        <w:rPr>
          <w:rFonts w:ascii="Times New Roman" w:hAnsi="Times New Roman" w:cs="Times New Roman"/>
          <w:color w:val="000000" w:themeColor="text1"/>
          <w:sz w:val="24"/>
        </w:rPr>
        <w:t xml:space="preserve">Center of Infectious Diseases, the Fifth Affiliated Hospital of Sun Yat-sen University, Zhuhai, Guangdong, 519000, China. </w:t>
      </w:r>
    </w:p>
    <w:p w:rsidR="00F5580C" w:rsidRPr="003023AE" w:rsidRDefault="00F5580C">
      <w:pPr>
        <w:spacing w:line="360" w:lineRule="auto"/>
        <w:rPr>
          <w:rFonts w:ascii="Times New Roman" w:hAnsi="Times New Roman" w:cs="Times New Roman"/>
          <w:b/>
          <w:color w:val="000000" w:themeColor="text1"/>
          <w:sz w:val="28"/>
          <w:szCs w:val="28"/>
        </w:rPr>
      </w:pPr>
    </w:p>
    <w:p w:rsidR="008946D7" w:rsidRDefault="002614BC" w:rsidP="008946D7">
      <w:pPr>
        <w:spacing w:line="360" w:lineRule="auto"/>
        <w:jc w:val="center"/>
        <w:rPr>
          <w:rFonts w:ascii="Times New Roman" w:hAnsi="Times New Roman" w:cs="Times New Roman"/>
          <w:b/>
          <w:bCs/>
          <w:sz w:val="28"/>
          <w:szCs w:val="28"/>
        </w:rPr>
      </w:pPr>
      <w:r w:rsidRPr="003023AE">
        <w:rPr>
          <w:rFonts w:ascii="Times New Roman" w:hAnsi="Times New Roman" w:cs="Times New Roman"/>
          <w:b/>
          <w:bCs/>
          <w:color w:val="000000" w:themeColor="text1"/>
          <w:sz w:val="28"/>
          <w:szCs w:val="28"/>
        </w:rPr>
        <w:br w:type="page"/>
      </w:r>
      <w:r w:rsidR="008946D7">
        <w:rPr>
          <w:rFonts w:ascii="Times New Roman" w:hAnsi="Times New Roman" w:cs="Times New Roman"/>
          <w:b/>
          <w:bCs/>
          <w:sz w:val="28"/>
          <w:szCs w:val="28"/>
        </w:rPr>
        <w:lastRenderedPageBreak/>
        <w:t>Transcriptome</w:t>
      </w:r>
      <w:r w:rsidR="008946D7">
        <w:rPr>
          <w:rFonts w:ascii="Times New Roman" w:hAnsi="Times New Roman" w:cs="Times New Roman" w:hint="eastAsia"/>
          <w:b/>
          <w:bCs/>
          <w:sz w:val="28"/>
          <w:szCs w:val="28"/>
        </w:rPr>
        <w:t xml:space="preserve"> S</w:t>
      </w:r>
      <w:r w:rsidR="008946D7">
        <w:rPr>
          <w:rFonts w:ascii="Times New Roman" w:hAnsi="Times New Roman" w:cs="Times New Roman"/>
          <w:b/>
          <w:bCs/>
          <w:sz w:val="28"/>
          <w:szCs w:val="28"/>
        </w:rPr>
        <w:t xml:space="preserve">equencing </w:t>
      </w:r>
      <w:r w:rsidR="008946D7">
        <w:rPr>
          <w:rFonts w:ascii="Times New Roman" w:hAnsi="Times New Roman" w:cs="Times New Roman" w:hint="eastAsia"/>
          <w:b/>
          <w:bCs/>
          <w:sz w:val="28"/>
          <w:szCs w:val="28"/>
        </w:rPr>
        <w:t>P</w:t>
      </w:r>
      <w:r w:rsidR="008946D7">
        <w:rPr>
          <w:rFonts w:ascii="Times New Roman" w:hAnsi="Times New Roman" w:cs="Times New Roman"/>
          <w:b/>
          <w:bCs/>
          <w:sz w:val="28"/>
          <w:szCs w:val="28"/>
        </w:rPr>
        <w:t>rocedure</w:t>
      </w:r>
    </w:p>
    <w:p w:rsidR="008946D7" w:rsidRDefault="008946D7" w:rsidP="008946D7">
      <w:pPr>
        <w:numPr>
          <w:ilvl w:val="0"/>
          <w:numId w:val="1"/>
        </w:numPr>
        <w:spacing w:line="360" w:lineRule="auto"/>
        <w:rPr>
          <w:rFonts w:ascii="Times New Roman" w:hAnsi="Times New Roman" w:cs="Times New Roman"/>
          <w:b/>
          <w:bCs/>
          <w:sz w:val="24"/>
        </w:rPr>
      </w:pPr>
      <w:r>
        <w:rPr>
          <w:rFonts w:ascii="Times New Roman" w:hAnsi="Times New Roman" w:cs="Times New Roman"/>
          <w:b/>
          <w:bCs/>
          <w:sz w:val="24"/>
        </w:rPr>
        <w:t xml:space="preserve">Transcriptome </w:t>
      </w:r>
      <w:r>
        <w:rPr>
          <w:rFonts w:ascii="Times New Roman" w:hAnsi="Times New Roman" w:cs="Times New Roman" w:hint="eastAsia"/>
          <w:b/>
          <w:bCs/>
          <w:sz w:val="24"/>
        </w:rPr>
        <w:t>experimental method</w:t>
      </w:r>
      <w:r>
        <w:rPr>
          <w:rFonts w:ascii="Times New Roman" w:hAnsi="Times New Roman" w:cs="Times New Roman"/>
          <w:b/>
          <w:bCs/>
          <w:sz w:val="24"/>
        </w:rPr>
        <w:t xml:space="preserve"> </w:t>
      </w:r>
    </w:p>
    <w:p w:rsidR="008946D7" w:rsidRDefault="008946D7" w:rsidP="008946D7">
      <w:pPr>
        <w:spacing w:line="360" w:lineRule="auto"/>
        <w:rPr>
          <w:rFonts w:ascii="Times New Roman" w:hAnsi="Times New Roman" w:cs="Times New Roman"/>
          <w:sz w:val="24"/>
        </w:rPr>
      </w:pPr>
      <w:r>
        <w:rPr>
          <w:rFonts w:ascii="Times New Roman" w:hAnsi="Times New Roman" w:cs="Times New Roman"/>
          <w:sz w:val="24"/>
        </w:rPr>
        <w:t xml:space="preserve">Total RNA was isolated using the Trizol Reagent (Invitrogen Life Technologies), after which the concentration, quality and integrity were determined using a NanoDrop spectrophotometer (Thermo Scientific). Three micrograms of RNA were used as input material for the RNA sample preparations. Sequencing libraries were generated according to the following steps. Firstly, mRNA was purified from total RNA using poly-T oligo-attached magnetic beads. Fragmentation was carried out using divalent cations under elevated temperature in an Illumina proprietary fragmentation buffer. First strand cDNA was synthesized using random oligonucleotides and Super Script II. Second strand cDNA synthesis was subsequently performed using DNA Polymerase I and RNase H. Remaining overhangs were converted into blunt ends via exonuclease/polymerase activities and the enzymes were removed. After adenylation of the 3′ ends of the DNA fragments, Illumina PE adapter oligonucleotides were ligated to prepare for hybridization. To select cDNA fragments of the preferred 400-500 bp in length, the library fragments were purified using the AMPure XP system (Beckman Coulter,Beverly, CA, USA). DNA fragments with ligated adaptor molecules on both ends were selectively enriched using Illumina PCR Primer Cocktail in a 15 cycle PCR reaction. Products were purified (AMPure XP system) and quantified using the Agilent high sensitivity DNA assay on a Bioanalyzer 2100 system (Agilent). The sequencing library was then sequenced on NovaSeq 6000 platform (Illumina). </w:t>
      </w:r>
    </w:p>
    <w:p w:rsidR="008946D7" w:rsidRDefault="008946D7" w:rsidP="008946D7">
      <w:pPr>
        <w:numPr>
          <w:ilvl w:val="0"/>
          <w:numId w:val="1"/>
        </w:numPr>
        <w:spacing w:line="360" w:lineRule="auto"/>
        <w:rPr>
          <w:rFonts w:ascii="Times New Roman" w:hAnsi="Times New Roman" w:cs="Times New Roman"/>
          <w:b/>
          <w:bCs/>
          <w:sz w:val="24"/>
        </w:rPr>
      </w:pPr>
      <w:r>
        <w:rPr>
          <w:rFonts w:ascii="Times New Roman" w:hAnsi="Times New Roman" w:cs="Times New Roman"/>
          <w:b/>
          <w:bCs/>
          <w:sz w:val="24"/>
        </w:rPr>
        <w:t xml:space="preserve">Transcriptome analysis flow </w:t>
      </w:r>
    </w:p>
    <w:p w:rsidR="008946D7" w:rsidRDefault="008946D7" w:rsidP="008946D7">
      <w:pPr>
        <w:spacing w:line="36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 xml:space="preserve">1 Quality control </w:t>
      </w:r>
    </w:p>
    <w:p w:rsidR="008946D7" w:rsidRDefault="008946D7" w:rsidP="008946D7">
      <w:pPr>
        <w:spacing w:line="360" w:lineRule="auto"/>
        <w:rPr>
          <w:rFonts w:ascii="Times New Roman" w:hAnsi="Times New Roman" w:cs="Times New Roman"/>
          <w:sz w:val="24"/>
        </w:rPr>
      </w:pPr>
      <w:r>
        <w:rPr>
          <w:rFonts w:ascii="Times New Roman" w:hAnsi="Times New Roman" w:cs="Times New Roman"/>
          <w:sz w:val="24"/>
        </w:rPr>
        <w:t>Samples are sequenced on the platform to get image files, which are transformed by the software</w:t>
      </w:r>
      <w:r>
        <w:rPr>
          <w:rFonts w:ascii="Times New Roman" w:hAnsi="Times New Roman" w:cs="Times New Roman" w:hint="eastAsia"/>
          <w:sz w:val="24"/>
        </w:rPr>
        <w:t xml:space="preserve"> </w:t>
      </w:r>
      <w:r>
        <w:rPr>
          <w:rFonts w:ascii="Times New Roman" w:hAnsi="Times New Roman" w:cs="Times New Roman"/>
          <w:sz w:val="24"/>
        </w:rPr>
        <w:t>of the sequencing platform, and the original data in FASTQ format (Raw Data) is generated. Sequencing data contains a number of connectors, low-quality Reads, so we use Cutadapt (v1.15) software to filter the sequencing data to get high quality sequence</w:t>
      </w:r>
      <w:r>
        <w:rPr>
          <w:rFonts w:ascii="Times New Roman" w:hAnsi="Times New Roman" w:cs="Times New Roman"/>
          <w:sz w:val="24"/>
        </w:rPr>
        <w:t>（</w:t>
      </w:r>
      <w:r>
        <w:rPr>
          <w:rFonts w:ascii="Times New Roman" w:hAnsi="Times New Roman" w:cs="Times New Roman"/>
          <w:sz w:val="24"/>
        </w:rPr>
        <w:t>Clean Data</w:t>
      </w:r>
      <w:r>
        <w:rPr>
          <w:rFonts w:ascii="Times New Roman" w:hAnsi="Times New Roman" w:cs="Times New Roman"/>
          <w:sz w:val="24"/>
        </w:rPr>
        <w:t>）</w:t>
      </w:r>
      <w:r>
        <w:rPr>
          <w:rFonts w:ascii="Times New Roman" w:hAnsi="Times New Roman" w:cs="Times New Roman"/>
          <w:sz w:val="24"/>
        </w:rPr>
        <w:t xml:space="preserve">for further analysis . </w:t>
      </w:r>
    </w:p>
    <w:p w:rsidR="008946D7" w:rsidRDefault="008946D7" w:rsidP="008946D7">
      <w:pPr>
        <w:spacing w:line="360"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hint="eastAsia"/>
          <w:sz w:val="24"/>
        </w:rPr>
        <w:t>2</w:t>
      </w:r>
      <w:r>
        <w:rPr>
          <w:rFonts w:ascii="Times New Roman" w:hAnsi="Times New Roman" w:cs="Times New Roman"/>
          <w:sz w:val="24"/>
        </w:rPr>
        <w:t xml:space="preserve"> Reads mapping </w:t>
      </w:r>
    </w:p>
    <w:p w:rsidR="008946D7" w:rsidRDefault="008946D7" w:rsidP="008946D7">
      <w:pPr>
        <w:spacing w:line="360" w:lineRule="auto"/>
        <w:rPr>
          <w:rFonts w:ascii="Times New Roman" w:hAnsi="Times New Roman" w:cs="Times New Roman"/>
          <w:sz w:val="24"/>
        </w:rPr>
      </w:pPr>
      <w:r>
        <w:rPr>
          <w:rFonts w:ascii="Times New Roman" w:hAnsi="Times New Roman" w:cs="Times New Roman"/>
          <w:sz w:val="24"/>
        </w:rPr>
        <w:lastRenderedPageBreak/>
        <w:t xml:space="preserve">The reference genome and gene annotation files were downloaded from genome website. The filtered reads were mapping to the reference genome using HISAT2 v2.0.5. </w:t>
      </w:r>
    </w:p>
    <w:p w:rsidR="008946D7" w:rsidRDefault="008946D7" w:rsidP="008946D7">
      <w:pPr>
        <w:spacing w:line="360" w:lineRule="auto"/>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3 Differential expression analysis</w:t>
      </w:r>
    </w:p>
    <w:p w:rsidR="008946D7" w:rsidRDefault="008946D7" w:rsidP="008946D7">
      <w:pPr>
        <w:spacing w:line="360" w:lineRule="auto"/>
        <w:rPr>
          <w:rFonts w:ascii="Times New Roman" w:hAnsi="Times New Roman" w:cs="Times New Roman"/>
          <w:sz w:val="24"/>
        </w:rPr>
      </w:pPr>
      <w:r>
        <w:rPr>
          <w:rFonts w:ascii="Times New Roman" w:hAnsi="Times New Roman" w:cs="Times New Roman"/>
          <w:sz w:val="24"/>
        </w:rPr>
        <w:t>we used HTSeq</w:t>
      </w:r>
      <w:r>
        <w:rPr>
          <w:rFonts w:ascii="Times New Roman" w:hAnsi="Times New Roman" w:cs="Times New Roman" w:hint="eastAsia"/>
          <w:sz w:val="24"/>
        </w:rPr>
        <w:t xml:space="preserve"> </w:t>
      </w:r>
      <w:r>
        <w:rPr>
          <w:rFonts w:ascii="Times New Roman" w:hAnsi="Times New Roman" w:cs="Times New Roman"/>
          <w:sz w:val="24"/>
        </w:rPr>
        <w:t>(0.9.1) statistics to compare the Read Count values on each gene as the o</w:t>
      </w:r>
      <w:r w:rsidR="00136185">
        <w:rPr>
          <w:rFonts w:ascii="Times New Roman" w:hAnsi="Times New Roman" w:cs="Times New Roman"/>
          <w:sz w:val="24"/>
        </w:rPr>
        <w:t>riginal expression of the gene</w:t>
      </w:r>
      <w:r w:rsidR="00136185">
        <w:rPr>
          <w:rFonts w:ascii="Times New Roman" w:hAnsi="Times New Roman" w:cs="Times New Roman" w:hint="eastAsia"/>
          <w:sz w:val="24"/>
        </w:rPr>
        <w:t>.</w:t>
      </w:r>
      <w:r w:rsidR="00136185">
        <w:rPr>
          <w:rFonts w:ascii="Times New Roman" w:hAnsi="Times New Roman" w:cs="Times New Roman"/>
          <w:sz w:val="24"/>
        </w:rPr>
        <w:t xml:space="preserve"> </w:t>
      </w:r>
      <w:r w:rsidR="00136185" w:rsidRPr="00136185">
        <w:rPr>
          <w:rFonts w:ascii="Times New Roman" w:hAnsi="Times New Roman" w:cs="Times New Roman"/>
          <w:sz w:val="24"/>
        </w:rPr>
        <w:t>FPKM was used for visualization in heatmaps.</w:t>
      </w:r>
      <w:r w:rsidR="00136185">
        <w:rPr>
          <w:rFonts w:ascii="Times New Roman" w:hAnsi="Times New Roman" w:cs="Times New Roman"/>
          <w:sz w:val="24"/>
        </w:rPr>
        <w:t xml:space="preserve"> The</w:t>
      </w:r>
      <w:r>
        <w:rPr>
          <w:rFonts w:ascii="Times New Roman" w:hAnsi="Times New Roman" w:cs="Times New Roman"/>
          <w:sz w:val="24"/>
        </w:rPr>
        <w:t xml:space="preserve"> difference expression of genes was analyzed by DESeq (1.39.0) with screened conditions as follows:</w:t>
      </w:r>
      <w:r>
        <w:rPr>
          <w:rFonts w:ascii="Times New Roman" w:hAnsi="Times New Roman" w:cs="Times New Roman" w:hint="eastAsia"/>
          <w:sz w:val="24"/>
        </w:rPr>
        <w:t xml:space="preserve"> </w:t>
      </w:r>
      <w:r>
        <w:rPr>
          <w:rFonts w:ascii="Times New Roman" w:hAnsi="Times New Roman" w:cs="Times New Roman"/>
          <w:sz w:val="24"/>
        </w:rPr>
        <w:t xml:space="preserve">expression difference multiple </w:t>
      </w:r>
      <w:bookmarkStart w:id="0" w:name="OLE_LINK1"/>
      <w:bookmarkStart w:id="1" w:name="OLE_LINK2"/>
      <w:r>
        <w:rPr>
          <w:rFonts w:ascii="Times New Roman" w:hAnsi="Times New Roman" w:cs="Times New Roman"/>
          <w:sz w:val="24"/>
        </w:rPr>
        <w:t>|log2FoldChange|</w:t>
      </w:r>
      <w:r>
        <w:rPr>
          <w:rFonts w:ascii="Times New Roman" w:hAnsi="Times New Roman" w:cs="Times New Roman" w:hint="eastAsia"/>
          <w:sz w:val="24"/>
        </w:rPr>
        <w:t xml:space="preserve"> </w:t>
      </w:r>
      <w:r>
        <w:rPr>
          <w:rFonts w:ascii="Times New Roman" w:hAnsi="Times New Roman" w:cs="Times New Roman"/>
          <w:sz w:val="24"/>
        </w:rPr>
        <w:t>≥ 1</w:t>
      </w:r>
      <w:bookmarkEnd w:id="0"/>
      <w:bookmarkEnd w:id="1"/>
      <w:r>
        <w:rPr>
          <w:rFonts w:ascii="Times New Roman" w:hAnsi="Times New Roman" w:cs="Times New Roman"/>
          <w:sz w:val="24"/>
        </w:rPr>
        <w:t>, significant P-value &lt; 0.05. At the same time, We used R language Pheatmap</w:t>
      </w:r>
      <w:r>
        <w:rPr>
          <w:rFonts w:ascii="Times New Roman" w:hAnsi="Times New Roman" w:cs="Times New Roman" w:hint="eastAsia"/>
          <w:sz w:val="24"/>
        </w:rPr>
        <w:t xml:space="preserve"> </w:t>
      </w:r>
      <w:r>
        <w:rPr>
          <w:rFonts w:ascii="Times New Roman" w:hAnsi="Times New Roman" w:cs="Times New Roman"/>
          <w:sz w:val="24"/>
        </w:rPr>
        <w:t>(1.0.8) software package to perform bi-directional clustering analysis of all different genes of samples. We g</w:t>
      </w:r>
      <w:r>
        <w:rPr>
          <w:rFonts w:ascii="Times New Roman" w:hAnsi="Times New Roman" w:cs="Times New Roman" w:hint="eastAsia"/>
          <w:sz w:val="24"/>
        </w:rPr>
        <w:t>ot</w:t>
      </w:r>
      <w:r>
        <w:rPr>
          <w:rFonts w:ascii="Times New Roman" w:hAnsi="Times New Roman" w:cs="Times New Roman"/>
          <w:sz w:val="24"/>
        </w:rPr>
        <w:t xml:space="preserve"> heatmap according to the expression level of the same gene in different samples and the expression patterns of different genes in the same sample with Euclidean method to calculate the distance and Complete Linkage method to cluster.</w:t>
      </w:r>
    </w:p>
    <w:p w:rsidR="008946D7" w:rsidRDefault="008946D7" w:rsidP="008946D7">
      <w:pPr>
        <w:spacing w:line="360" w:lineRule="auto"/>
        <w:rPr>
          <w:rFonts w:ascii="Times New Roman" w:hAnsi="Times New Roman" w:cs="Times New Roman"/>
          <w:sz w:val="24"/>
        </w:rPr>
      </w:pPr>
      <w:r>
        <w:rPr>
          <w:rFonts w:ascii="Times New Roman" w:hAnsi="Times New Roman" w:cs="Times New Roman" w:hint="eastAsia"/>
          <w:sz w:val="24"/>
        </w:rPr>
        <w:t xml:space="preserve">2.4 </w:t>
      </w:r>
      <w:r>
        <w:rPr>
          <w:rFonts w:ascii="Times New Roman" w:hAnsi="Times New Roman" w:cs="Times New Roman"/>
          <w:sz w:val="24"/>
        </w:rPr>
        <w:t>GO and KEGG enrichment analysis</w:t>
      </w:r>
    </w:p>
    <w:p w:rsidR="008946D7" w:rsidRDefault="008946D7" w:rsidP="008946D7">
      <w:pPr>
        <w:spacing w:line="360" w:lineRule="auto"/>
        <w:rPr>
          <w:rFonts w:ascii="Times New Roman" w:hAnsi="Times New Roman" w:cs="Times New Roman"/>
          <w:sz w:val="24"/>
        </w:rPr>
      </w:pPr>
      <w:r>
        <w:rPr>
          <w:rFonts w:ascii="Times New Roman" w:hAnsi="Times New Roman" w:cs="Times New Roman"/>
          <w:sz w:val="24"/>
        </w:rPr>
        <w:t>we mapped all the genes to Terms in the Gene Ontology database and calculated the numbers of differentially enriched genes in each Term. Using topGO (2.40.0) to perform GO enrichment analysis on the differential genes, calculate P-value by hypergeometric distribution method (the standard of significant enrichment is P-value &lt;0.05), and find the GO term with significantly enriched differential genes to determine the main biological functions performed by differential genes. ClusterProfiler (3.16.1) software was used to carry out the enrichmen</w:t>
      </w:r>
      <w:r>
        <w:rPr>
          <w:rFonts w:ascii="Times New Roman" w:hAnsi="Times New Roman" w:cs="Times New Roman" w:hint="eastAsia"/>
          <w:sz w:val="24"/>
        </w:rPr>
        <w:t xml:space="preserve">t </w:t>
      </w:r>
      <w:r>
        <w:rPr>
          <w:rFonts w:ascii="Times New Roman" w:hAnsi="Times New Roman" w:cs="Times New Roman"/>
          <w:sz w:val="24"/>
        </w:rPr>
        <w:t>analysis of the KEGG pathway of differential genes, focusing on the significant enrichment pathway with P-value &lt;0.05.</w:t>
      </w:r>
    </w:p>
    <w:p w:rsidR="008946D7" w:rsidRDefault="008946D7" w:rsidP="008946D7">
      <w:pPr>
        <w:widowControl/>
        <w:jc w:val="left"/>
      </w:pPr>
    </w:p>
    <w:p w:rsidR="008946D7" w:rsidRDefault="008946D7" w:rsidP="008946D7">
      <w:pPr>
        <w:spacing w:line="360" w:lineRule="auto"/>
        <w:rPr>
          <w:rFonts w:ascii="Times New Roman" w:hAnsi="Times New Roman" w:cs="Times New Roman"/>
          <w:sz w:val="24"/>
        </w:rPr>
      </w:pPr>
      <w:r>
        <w:rPr>
          <w:rFonts w:ascii="Times New Roman" w:hAnsi="Times New Roman" w:cs="Times New Roman" w:hint="eastAsia"/>
          <w:sz w:val="24"/>
        </w:rPr>
        <w:t>The t</w:t>
      </w:r>
      <w:r>
        <w:rPr>
          <w:rFonts w:ascii="Times New Roman" w:hAnsi="Times New Roman" w:cs="Times New Roman"/>
          <w:sz w:val="24"/>
        </w:rPr>
        <w:t>ranscriptome sequencing procedure</w:t>
      </w:r>
      <w:r>
        <w:rPr>
          <w:rFonts w:ascii="Times New Roman" w:hAnsi="Times New Roman" w:cs="Times New Roman" w:hint="eastAsia"/>
          <w:sz w:val="24"/>
        </w:rPr>
        <w:t xml:space="preserve"> was conducted by </w:t>
      </w:r>
      <w:r>
        <w:rPr>
          <w:rFonts w:ascii="Times New Roman" w:hAnsi="Times New Roman" w:cs="Times New Roman"/>
          <w:sz w:val="24"/>
        </w:rPr>
        <w:t>Shanghai Personal Biotechnology Cp. Ltd.</w:t>
      </w:r>
    </w:p>
    <w:p w:rsidR="008946D7" w:rsidRDefault="008946D7" w:rsidP="008946D7">
      <w:pPr>
        <w:rPr>
          <w:rFonts w:ascii="Times New Roman" w:hAnsi="Times New Roman" w:cs="Times New Roman"/>
          <w:b/>
          <w:bCs/>
          <w:sz w:val="28"/>
          <w:szCs w:val="28"/>
        </w:rPr>
      </w:pPr>
    </w:p>
    <w:p w:rsidR="002614BC" w:rsidRPr="008946D7" w:rsidRDefault="008946D7" w:rsidP="008946D7">
      <w:pPr>
        <w:rPr>
          <w:rFonts w:ascii="Times New Roman" w:hAnsi="Times New Roman" w:cs="Times New Roman"/>
          <w:b/>
          <w:bCs/>
          <w:sz w:val="28"/>
          <w:szCs w:val="28"/>
        </w:rPr>
      </w:pPr>
      <w:r>
        <w:rPr>
          <w:rFonts w:ascii="Times New Roman" w:hAnsi="Times New Roman" w:cs="Times New Roman" w:hint="eastAsia"/>
          <w:b/>
          <w:bCs/>
          <w:sz w:val="28"/>
          <w:szCs w:val="28"/>
        </w:rPr>
        <w:br w:type="page"/>
      </w:r>
    </w:p>
    <w:p w:rsidR="00F5580C" w:rsidRPr="003023AE" w:rsidRDefault="005417F3">
      <w:pPr>
        <w:spacing w:line="360" w:lineRule="auto"/>
        <w:jc w:val="center"/>
        <w:rPr>
          <w:rFonts w:ascii="Times New Roman" w:hAnsi="Times New Roman" w:cs="Times New Roman"/>
          <w:b/>
          <w:bCs/>
          <w:color w:val="000000" w:themeColor="text1"/>
          <w:sz w:val="28"/>
          <w:szCs w:val="28"/>
        </w:rPr>
      </w:pPr>
      <w:r w:rsidRPr="003023AE">
        <w:rPr>
          <w:rFonts w:ascii="Times New Roman" w:hAnsi="Times New Roman" w:cs="Times New Roman"/>
          <w:b/>
          <w:bCs/>
          <w:color w:val="000000" w:themeColor="text1"/>
          <w:sz w:val="28"/>
          <w:szCs w:val="28"/>
        </w:rPr>
        <w:lastRenderedPageBreak/>
        <w:t>Supplementary Figures</w:t>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noProof/>
          <w:color w:val="000000" w:themeColor="text1"/>
          <w:sz w:val="24"/>
        </w:rPr>
        <w:drawing>
          <wp:inline distT="0" distB="0" distL="0" distR="0" wp14:anchorId="40B1552B" wp14:editId="6E1D2078">
            <wp:extent cx="5063104" cy="3607116"/>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udy\中大五院\CS2164\BMC cancer\修回1\20260106修回修改\figures\figure S1.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063104" cy="3607116"/>
                    </a:xfrm>
                    <a:prstGeom prst="rect">
                      <a:avLst/>
                    </a:prstGeom>
                    <a:noFill/>
                    <a:ln>
                      <a:noFill/>
                    </a:ln>
                  </pic:spPr>
                </pic:pic>
              </a:graphicData>
            </a:graphic>
          </wp:inline>
        </w:drawing>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color w:val="000000" w:themeColor="text1"/>
          <w:sz w:val="24"/>
        </w:rPr>
        <w:t xml:space="preserve">Figure S1. a-b. </w:t>
      </w:r>
      <w:r w:rsidRPr="003023AE">
        <w:rPr>
          <w:rFonts w:ascii="Times New Roman" w:eastAsia="宋体" w:hAnsi="Times New Roman" w:cs="Times New Roman"/>
          <w:color w:val="000000" w:themeColor="text1"/>
          <w:sz w:val="24"/>
        </w:rPr>
        <w:t>The tumor weight of mice with Huh-7 and HeLa xenografts</w:t>
      </w:r>
      <w:r w:rsidRPr="003023AE">
        <w:rPr>
          <w:rFonts w:ascii="Times New Roman" w:eastAsia="宋体" w:hAnsi="Times New Roman" w:cs="Times New Roman"/>
          <w:b/>
          <w:bCs/>
          <w:color w:val="000000" w:themeColor="text1"/>
          <w:sz w:val="24"/>
        </w:rPr>
        <w:t xml:space="preserve">. b. </w:t>
      </w:r>
      <w:r w:rsidRPr="003023AE">
        <w:rPr>
          <w:rFonts w:ascii="Times New Roman" w:eastAsia="宋体" w:hAnsi="Times New Roman" w:cs="Times New Roman"/>
          <w:color w:val="000000" w:themeColor="text1"/>
          <w:sz w:val="24"/>
        </w:rPr>
        <w:t>The weight of mice with HeLa xenografts.</w:t>
      </w:r>
      <w:r w:rsidRPr="003023AE">
        <w:rPr>
          <w:rFonts w:ascii="Times New Roman" w:eastAsia="宋体" w:hAnsi="Times New Roman" w:cs="Times New Roman"/>
          <w:b/>
          <w:bCs/>
          <w:color w:val="000000" w:themeColor="text1"/>
          <w:sz w:val="24"/>
        </w:rPr>
        <w:t xml:space="preserve"> c-d. </w:t>
      </w:r>
      <w:r w:rsidRPr="003023AE">
        <w:rPr>
          <w:rFonts w:ascii="Times New Roman" w:eastAsia="宋体" w:hAnsi="Times New Roman" w:cs="Times New Roman"/>
          <w:color w:val="000000" w:themeColor="text1"/>
          <w:sz w:val="24"/>
        </w:rPr>
        <w:t>The body weight of mice with Huh-7 and HeLa xenografts</w:t>
      </w:r>
      <w:r w:rsidRPr="003023AE">
        <w:rPr>
          <w:rFonts w:ascii="Times New Roman" w:eastAsia="宋体" w:hAnsi="Times New Roman" w:cs="Times New Roman"/>
          <w:b/>
          <w:bCs/>
          <w:color w:val="000000" w:themeColor="text1"/>
          <w:sz w:val="24"/>
        </w:rPr>
        <w:t xml:space="preserve">. </w:t>
      </w:r>
      <w:r w:rsidRPr="003023AE">
        <w:rPr>
          <w:rFonts w:ascii="Times New Roman" w:eastAsia="宋体" w:hAnsi="Times New Roman" w:cs="Times New Roman"/>
          <w:color w:val="000000" w:themeColor="text1"/>
          <w:sz w:val="24"/>
        </w:rPr>
        <w:t>Data are presented as the means ± standard deviation (SD), n ≥ 3; ns, not significant; *p &lt; 0.05; **p &lt; 0.01, ***p &lt; 0.001.</w:t>
      </w:r>
      <w:r w:rsidRPr="003023AE">
        <w:rPr>
          <w:rFonts w:ascii="Times New Roman" w:eastAsia="宋体" w:hAnsi="Times New Roman" w:cs="Times New Roman"/>
          <w:b/>
          <w:bCs/>
          <w:color w:val="000000" w:themeColor="text1"/>
          <w:sz w:val="24"/>
        </w:rPr>
        <w:t xml:space="preserve"> </w:t>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noProof/>
          <w:color w:val="000000" w:themeColor="text1"/>
          <w:sz w:val="24"/>
        </w:rPr>
        <w:drawing>
          <wp:inline distT="0" distB="0" distL="0" distR="0" wp14:anchorId="6E73913B" wp14:editId="6297652A">
            <wp:extent cx="5161290" cy="3024000"/>
            <wp:effectExtent l="0" t="0" r="127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tudy\中大五院\CS2164\BMC cancer\修回1\20260106修回修改\figures\figure S2.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61290" cy="3024000"/>
                    </a:xfrm>
                    <a:prstGeom prst="rect">
                      <a:avLst/>
                    </a:prstGeom>
                    <a:noFill/>
                    <a:ln>
                      <a:noFill/>
                    </a:ln>
                  </pic:spPr>
                </pic:pic>
              </a:graphicData>
            </a:graphic>
          </wp:inline>
        </w:drawing>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color w:val="000000" w:themeColor="text1"/>
          <w:sz w:val="24"/>
        </w:rPr>
        <w:t xml:space="preserve">Figure S2. </w:t>
      </w:r>
      <w:r w:rsidRPr="003023AE">
        <w:rPr>
          <w:rFonts w:ascii="Times New Roman" w:eastAsia="宋体" w:hAnsi="Times New Roman" w:cs="Times New Roman"/>
          <w:color w:val="000000" w:themeColor="text1"/>
          <w:sz w:val="24"/>
        </w:rPr>
        <w:t>The results of CD31 staining image and statistic chart based on xenografts tissues. Data are presented as the means ± standard deviation (SD), n ≥ 3; ns, not significant; *p &lt; 0.05; **p &lt; 0.01, ***p &lt; 0.001.</w:t>
      </w:r>
      <w:r w:rsidRPr="003023AE">
        <w:rPr>
          <w:rFonts w:ascii="Times New Roman" w:eastAsia="宋体" w:hAnsi="Times New Roman" w:cs="Times New Roman"/>
          <w:b/>
          <w:bCs/>
          <w:color w:val="000000" w:themeColor="text1"/>
          <w:sz w:val="24"/>
        </w:rPr>
        <w:t xml:space="preserve"> </w:t>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noProof/>
          <w:color w:val="000000" w:themeColor="text1"/>
          <w:sz w:val="24"/>
        </w:rPr>
        <w:lastRenderedPageBreak/>
        <w:drawing>
          <wp:inline distT="0" distB="0" distL="0" distR="0" wp14:anchorId="6510E947" wp14:editId="54D22DA5">
            <wp:extent cx="4320000" cy="3513034"/>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udy\中大五院\CS2164\BMC cancer\修回1\20260106修回修改\figures\figure S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320000" cy="3513034"/>
                    </a:xfrm>
                    <a:prstGeom prst="rect">
                      <a:avLst/>
                    </a:prstGeom>
                    <a:noFill/>
                    <a:ln>
                      <a:noFill/>
                    </a:ln>
                  </pic:spPr>
                </pic:pic>
              </a:graphicData>
            </a:graphic>
          </wp:inline>
        </w:drawing>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color w:val="000000" w:themeColor="text1"/>
          <w:sz w:val="24"/>
        </w:rPr>
        <w:t xml:space="preserve">Figure S3. </w:t>
      </w:r>
      <w:r w:rsidRPr="003023AE">
        <w:rPr>
          <w:rFonts w:ascii="Times New Roman" w:eastAsia="宋体" w:hAnsi="Times New Roman" w:cs="Times New Roman"/>
          <w:color w:val="000000" w:themeColor="text1"/>
          <w:sz w:val="24"/>
        </w:rPr>
        <w:t>Resu</w:t>
      </w:r>
      <w:r w:rsidR="00642679" w:rsidRPr="003023AE">
        <w:rPr>
          <w:rFonts w:ascii="Times New Roman" w:eastAsia="宋体" w:hAnsi="Times New Roman" w:cs="Times New Roman"/>
          <w:color w:val="000000" w:themeColor="text1"/>
          <w:sz w:val="24"/>
        </w:rPr>
        <w:t>lts based on Biological Process</w:t>
      </w:r>
      <w:r w:rsidRPr="003023AE">
        <w:rPr>
          <w:rFonts w:ascii="Times New Roman" w:eastAsia="宋体" w:hAnsi="Times New Roman" w:cs="Times New Roman"/>
          <w:color w:val="000000" w:themeColor="text1"/>
          <w:sz w:val="24"/>
        </w:rPr>
        <w:t xml:space="preserve"> enrichment analysis. </w:t>
      </w:r>
      <w:r w:rsidR="0065773E" w:rsidRPr="0065773E">
        <w:rPr>
          <w:rFonts w:ascii="Times New Roman" w:eastAsia="宋体" w:hAnsi="Times New Roman" w:cs="Times New Roman"/>
          <w:color w:val="000000" w:themeColor="text1"/>
          <w:sz w:val="24"/>
        </w:rPr>
        <w:t xml:space="preserve">Pathway including collagen fibri organization, anatomical structure morphogenesis, cell adhension, biological adhension and response to cAMP were enriched. </w:t>
      </w:r>
      <w:r w:rsidRPr="003023AE">
        <w:rPr>
          <w:rFonts w:ascii="Times New Roman" w:hAnsi="Times New Roman" w:cs="Times New Roman"/>
          <w:color w:val="000000" w:themeColor="text1"/>
          <w:sz w:val="24"/>
        </w:rPr>
        <w:t xml:space="preserve">DEGs were enriched in Biological Process pathways with multiple colors. The DEGs among the above pathways were displayed with colored strip and converged into a circle. The color of the strips from red to white represented an increase in p-value. </w:t>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noProof/>
          <w:color w:val="000000" w:themeColor="text1"/>
          <w:sz w:val="24"/>
        </w:rPr>
        <w:drawing>
          <wp:inline distT="0" distB="0" distL="0" distR="0" wp14:anchorId="1E2DFF84" wp14:editId="65B025FF">
            <wp:extent cx="4320000" cy="3516695"/>
            <wp:effectExtent l="0" t="0" r="4445"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tudy\中大五院\CS2164\BMC cancer\修回1\20260106修回修改\figures\figure S4.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320000" cy="3516695"/>
                    </a:xfrm>
                    <a:prstGeom prst="rect">
                      <a:avLst/>
                    </a:prstGeom>
                    <a:noFill/>
                    <a:ln>
                      <a:noFill/>
                    </a:ln>
                  </pic:spPr>
                </pic:pic>
              </a:graphicData>
            </a:graphic>
          </wp:inline>
        </w:drawing>
      </w:r>
    </w:p>
    <w:p w:rsidR="00ED4EDD" w:rsidRPr="0065773E" w:rsidRDefault="00ED4EDD" w:rsidP="0065773E">
      <w:pPr>
        <w:rPr>
          <w:rFonts w:ascii="Times New Roman" w:eastAsia="宋体" w:hAnsi="Times New Roman" w:cs="Times New Roman"/>
          <w:color w:val="000000" w:themeColor="text1"/>
          <w:sz w:val="24"/>
        </w:rPr>
      </w:pPr>
      <w:r w:rsidRPr="003023AE">
        <w:rPr>
          <w:rFonts w:ascii="Times New Roman" w:eastAsia="宋体" w:hAnsi="Times New Roman" w:cs="Times New Roman"/>
          <w:b/>
          <w:bCs/>
          <w:color w:val="000000" w:themeColor="text1"/>
          <w:sz w:val="24"/>
        </w:rPr>
        <w:t xml:space="preserve">Figure S4. </w:t>
      </w:r>
      <w:r w:rsidR="00642679" w:rsidRPr="003023AE">
        <w:rPr>
          <w:rFonts w:ascii="Times New Roman" w:eastAsia="宋体" w:hAnsi="Times New Roman" w:cs="Times New Roman"/>
          <w:color w:val="000000" w:themeColor="text1"/>
          <w:sz w:val="24"/>
        </w:rPr>
        <w:t>Results based on Cell Component</w:t>
      </w:r>
      <w:r w:rsidRPr="003023AE">
        <w:rPr>
          <w:rFonts w:ascii="Times New Roman" w:eastAsia="宋体" w:hAnsi="Times New Roman" w:cs="Times New Roman"/>
          <w:color w:val="000000" w:themeColor="text1"/>
          <w:sz w:val="24"/>
        </w:rPr>
        <w:t xml:space="preserve"> enrichment analysis. </w:t>
      </w:r>
      <w:r w:rsidR="0065773E" w:rsidRPr="0065773E">
        <w:rPr>
          <w:rFonts w:ascii="Times New Roman" w:eastAsia="宋体" w:hAnsi="Times New Roman" w:cs="Times New Roman"/>
          <w:color w:val="000000" w:themeColor="text1"/>
          <w:sz w:val="24"/>
        </w:rPr>
        <w:t xml:space="preserve">Pathway including extracellular matrix, collagen-containning extracellular matrix, extracellular region, </w:t>
      </w:r>
      <w:r w:rsidR="0065773E" w:rsidRPr="0065773E">
        <w:rPr>
          <w:rFonts w:ascii="Times New Roman" w:eastAsia="宋体" w:hAnsi="Times New Roman" w:cs="Times New Roman"/>
          <w:color w:val="000000" w:themeColor="text1"/>
          <w:sz w:val="24"/>
        </w:rPr>
        <w:lastRenderedPageBreak/>
        <w:t>collagen trimer and ext</w:t>
      </w:r>
      <w:r w:rsidR="0065773E">
        <w:rPr>
          <w:rFonts w:ascii="Times New Roman" w:eastAsia="宋体" w:hAnsi="Times New Roman" w:cs="Times New Roman"/>
          <w:color w:val="000000" w:themeColor="text1"/>
          <w:sz w:val="24"/>
        </w:rPr>
        <w:t>racellular space were enriched.</w:t>
      </w:r>
      <w:r w:rsidR="0065773E">
        <w:rPr>
          <w:rFonts w:ascii="Times New Roman" w:eastAsia="宋体" w:hAnsi="Times New Roman" w:cs="Times New Roman" w:hint="eastAsia"/>
          <w:color w:val="000000" w:themeColor="text1"/>
          <w:sz w:val="24"/>
        </w:rPr>
        <w:t xml:space="preserve"> </w:t>
      </w:r>
      <w:r w:rsidRPr="003023AE">
        <w:rPr>
          <w:rFonts w:ascii="Times New Roman" w:hAnsi="Times New Roman" w:cs="Times New Roman"/>
          <w:color w:val="000000" w:themeColor="text1"/>
          <w:sz w:val="24"/>
        </w:rPr>
        <w:t xml:space="preserve">DEGs were enriched in Cell Component pathways with multiple colors. The DEGs among the above pathways were displayed with colored strip and converged into a circle. The color of the strips from red to white represented an increase in p-value. </w:t>
      </w:r>
    </w:p>
    <w:p w:rsidR="00ED4EDD" w:rsidRPr="003023AE" w:rsidRDefault="00ED4EDD" w:rsidP="00ED4EDD">
      <w:pPr>
        <w:rPr>
          <w:rFonts w:ascii="Times New Roman" w:eastAsia="宋体" w:hAnsi="Times New Roman" w:cs="Times New Roman"/>
          <w:color w:val="000000" w:themeColor="text1"/>
          <w:sz w:val="24"/>
        </w:rPr>
      </w:pPr>
      <w:r w:rsidRPr="003023AE">
        <w:rPr>
          <w:rFonts w:ascii="Times New Roman" w:eastAsia="宋体" w:hAnsi="Times New Roman" w:cs="Times New Roman"/>
          <w:noProof/>
          <w:color w:val="000000" w:themeColor="text1"/>
          <w:sz w:val="24"/>
        </w:rPr>
        <w:drawing>
          <wp:inline distT="0" distB="0" distL="0" distR="0" wp14:anchorId="31AE8692" wp14:editId="0F6D6E34">
            <wp:extent cx="4320000" cy="3322854"/>
            <wp:effectExtent l="0" t="0" r="444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udy\中大五院\CS2164\BMC cancer\修回1\20260106修回修改\figures\figure S5.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320000" cy="3322854"/>
                    </a:xfrm>
                    <a:prstGeom prst="rect">
                      <a:avLst/>
                    </a:prstGeom>
                    <a:noFill/>
                    <a:ln>
                      <a:noFill/>
                    </a:ln>
                  </pic:spPr>
                </pic:pic>
              </a:graphicData>
            </a:graphic>
          </wp:inline>
        </w:drawing>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color w:val="000000" w:themeColor="text1"/>
          <w:sz w:val="24"/>
        </w:rPr>
        <w:t xml:space="preserve">Figure S5. </w:t>
      </w:r>
      <w:r w:rsidRPr="003023AE">
        <w:rPr>
          <w:rFonts w:ascii="Times New Roman" w:eastAsia="宋体" w:hAnsi="Times New Roman" w:cs="Times New Roman"/>
          <w:color w:val="000000" w:themeColor="text1"/>
          <w:sz w:val="24"/>
        </w:rPr>
        <w:t>Resu</w:t>
      </w:r>
      <w:r w:rsidR="00642679" w:rsidRPr="003023AE">
        <w:rPr>
          <w:rFonts w:ascii="Times New Roman" w:eastAsia="宋体" w:hAnsi="Times New Roman" w:cs="Times New Roman"/>
          <w:color w:val="000000" w:themeColor="text1"/>
          <w:sz w:val="24"/>
        </w:rPr>
        <w:t>lts based on Molecular Function</w:t>
      </w:r>
      <w:r w:rsidRPr="003023AE">
        <w:rPr>
          <w:rFonts w:ascii="Times New Roman" w:eastAsia="宋体" w:hAnsi="Times New Roman" w:cs="Times New Roman"/>
          <w:color w:val="000000" w:themeColor="text1"/>
          <w:sz w:val="24"/>
        </w:rPr>
        <w:t xml:space="preserve"> enrichment analysis. </w:t>
      </w:r>
      <w:r w:rsidR="0065773E" w:rsidRPr="0065773E">
        <w:rPr>
          <w:rFonts w:ascii="Times New Roman" w:eastAsia="宋体" w:hAnsi="Times New Roman" w:cs="Times New Roman"/>
          <w:color w:val="000000" w:themeColor="text1"/>
          <w:sz w:val="24"/>
        </w:rPr>
        <w:t>Pathway including extracellular matrix structural constituent, structural molecule activity, exyracellular matrix structural constituent conferring tensile strenth, protein-glycine ligase activity and bicarbonate transmembrane transporter activity were enriched.</w:t>
      </w:r>
      <w:r w:rsidR="0065773E">
        <w:rPr>
          <w:rFonts w:ascii="Times New Roman" w:eastAsia="宋体" w:hAnsi="Times New Roman" w:cs="Times New Roman"/>
          <w:color w:val="000000" w:themeColor="text1"/>
          <w:sz w:val="24"/>
        </w:rPr>
        <w:t xml:space="preserve"> </w:t>
      </w:r>
      <w:r w:rsidRPr="003023AE">
        <w:rPr>
          <w:rFonts w:ascii="Times New Roman" w:hAnsi="Times New Roman" w:cs="Times New Roman"/>
          <w:color w:val="000000" w:themeColor="text1"/>
          <w:sz w:val="24"/>
        </w:rPr>
        <w:t xml:space="preserve">DEGs were enriched in Molecular Function pathways with multiple colors. The DEGs among the above pathways were displayed with colored strip and converged into a circle. The color of the strips from red to white represented an increase in p-value. </w:t>
      </w:r>
    </w:p>
    <w:p w:rsidR="00ED4EDD" w:rsidRPr="003023AE" w:rsidRDefault="00ED4EDD" w:rsidP="00ED4EDD">
      <w:pPr>
        <w:rPr>
          <w:rFonts w:ascii="Times New Roman" w:eastAsia="宋体" w:hAnsi="Times New Roman" w:cs="Times New Roman"/>
          <w:b/>
          <w:bCs/>
          <w:color w:val="000000" w:themeColor="text1"/>
          <w:sz w:val="24"/>
        </w:rPr>
      </w:pPr>
      <w:r w:rsidRPr="003023AE">
        <w:rPr>
          <w:rFonts w:ascii="Times New Roman" w:eastAsia="宋体" w:hAnsi="Times New Roman" w:cs="Times New Roman"/>
          <w:b/>
          <w:bCs/>
          <w:noProof/>
          <w:color w:val="000000" w:themeColor="text1"/>
          <w:sz w:val="24"/>
        </w:rPr>
        <w:drawing>
          <wp:inline distT="0" distB="0" distL="0" distR="0" wp14:anchorId="7429683A" wp14:editId="739060C5">
            <wp:extent cx="4618111" cy="30346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tudy\中大五院\CS2164\BMC cancer\修回1\20260106修回修改\figures\figure S6.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618111" cy="3034669"/>
                    </a:xfrm>
                    <a:prstGeom prst="rect">
                      <a:avLst/>
                    </a:prstGeom>
                    <a:noFill/>
                    <a:ln>
                      <a:noFill/>
                    </a:ln>
                    <a:extLst>
                      <a:ext uri="{53640926-AAD7-44D8-BBD7-CCE9431645EC}">
                        <a14:shadowObscured xmlns:a14="http://schemas.microsoft.com/office/drawing/2010/main"/>
                      </a:ext>
                    </a:extLst>
                  </pic:spPr>
                </pic:pic>
              </a:graphicData>
            </a:graphic>
          </wp:inline>
        </w:drawing>
      </w:r>
    </w:p>
    <w:p w:rsidR="00ED4EDD" w:rsidRPr="003023AE" w:rsidRDefault="00ED4EDD" w:rsidP="00ED4EDD">
      <w:pPr>
        <w:rPr>
          <w:rFonts w:ascii="Times New Roman" w:eastAsia="宋体" w:hAnsi="Times New Roman" w:cs="Times New Roman"/>
          <w:color w:val="000000" w:themeColor="text1"/>
          <w:sz w:val="24"/>
        </w:rPr>
      </w:pPr>
      <w:r w:rsidRPr="003023AE">
        <w:rPr>
          <w:rFonts w:ascii="Times New Roman" w:eastAsia="宋体" w:hAnsi="Times New Roman" w:cs="Times New Roman"/>
          <w:b/>
          <w:bCs/>
          <w:color w:val="000000" w:themeColor="text1"/>
          <w:sz w:val="24"/>
        </w:rPr>
        <w:lastRenderedPageBreak/>
        <w:t xml:space="preserve">Figure S6. PPI analysis results based on Differentially expressed genes (DEGs) between the CS2164 plus radiation treatment group and the control group. </w:t>
      </w:r>
      <w:r w:rsidRPr="003023AE">
        <w:rPr>
          <w:rFonts w:ascii="Times New Roman" w:eastAsia="宋体" w:hAnsi="Times New Roman" w:cs="Times New Roman"/>
          <w:color w:val="000000" w:themeColor="text1"/>
          <w:sz w:val="24"/>
        </w:rPr>
        <w:t xml:space="preserve">A protein-protein interaction (PPI) network performed by STRING database. </w:t>
      </w:r>
      <w:r w:rsidR="0065773E" w:rsidRPr="0065773E">
        <w:rPr>
          <w:rFonts w:ascii="Times New Roman" w:eastAsia="宋体" w:hAnsi="Times New Roman" w:cs="Times New Roman"/>
          <w:color w:val="000000" w:themeColor="text1"/>
          <w:sz w:val="24"/>
        </w:rPr>
        <w:t xml:space="preserve">The regulatory network showed core regulatory genes related with DNA damage repair process, cell adhesive and anti-adhesion-related MUC family members, TNF receptor superfamily members, TNF receptor superfamily members, collagen formation, and calcium channels, ect. </w:t>
      </w:r>
      <w:r w:rsidRPr="003023AE">
        <w:rPr>
          <w:rFonts w:ascii="Times New Roman" w:eastAsia="宋体" w:hAnsi="Times New Roman" w:cs="Times New Roman"/>
          <w:color w:val="000000" w:themeColor="text1"/>
          <w:sz w:val="24"/>
        </w:rPr>
        <w:t>The combined node scores ranged from 0.900 to 0.999, and the co-expression coefficient was more than 0.700. Among the regulatory networks, a series of DEGs with high interaction scores (&gt; 0.9), high combined scores (&gt; 0.9), and high co-expression coefficients (&gt; 0.9) were screened out. Then, the network was clustered by MCL inflation parameter, and the names and core genes of the important clstuers have been labeled.</w:t>
      </w:r>
    </w:p>
    <w:p w:rsidR="00ED4EDD" w:rsidRPr="003023AE" w:rsidRDefault="0065773E" w:rsidP="0065773E">
      <w:pPr>
        <w:jc w:val="center"/>
        <w:rPr>
          <w:rFonts w:ascii="Times New Roman" w:eastAsia="宋体" w:hAnsi="Times New Roman" w:cs="Times New Roman"/>
          <w:color w:val="000000" w:themeColor="text1"/>
          <w:sz w:val="24"/>
        </w:rPr>
      </w:pPr>
      <w:r>
        <w:rPr>
          <w:rFonts w:ascii="Times New Roman" w:eastAsia="宋体" w:hAnsi="Times New Roman" w:cs="Times New Roman"/>
          <w:noProof/>
          <w:color w:val="000000" w:themeColor="text1"/>
          <w:sz w:val="24"/>
        </w:rPr>
        <w:drawing>
          <wp:inline distT="0" distB="0" distL="0" distR="0">
            <wp:extent cx="4968000" cy="4961277"/>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8000" cy="4961277"/>
                    </a:xfrm>
                    <a:prstGeom prst="rect">
                      <a:avLst/>
                    </a:prstGeom>
                  </pic:spPr>
                </pic:pic>
              </a:graphicData>
            </a:graphic>
          </wp:inline>
        </w:drawing>
      </w:r>
      <w:bookmarkStart w:id="2" w:name="_GoBack"/>
      <w:bookmarkEnd w:id="2"/>
    </w:p>
    <w:p w:rsidR="00ED4EDD" w:rsidRPr="003023AE" w:rsidRDefault="00ED4EDD" w:rsidP="00672BA6">
      <w:pPr>
        <w:rPr>
          <w:rFonts w:ascii="Times New Roman" w:eastAsia="宋体" w:hAnsi="Times New Roman" w:cs="Times New Roman"/>
          <w:color w:val="000000" w:themeColor="text1"/>
          <w:sz w:val="24"/>
        </w:rPr>
      </w:pPr>
      <w:r w:rsidRPr="003023AE">
        <w:rPr>
          <w:rFonts w:ascii="Times New Roman" w:eastAsia="宋体" w:hAnsi="Times New Roman" w:cs="Times New Roman"/>
          <w:b/>
          <w:bCs/>
          <w:color w:val="000000" w:themeColor="text1"/>
          <w:sz w:val="24"/>
        </w:rPr>
        <w:t xml:space="preserve">Figure S7. </w:t>
      </w:r>
      <w:r w:rsidR="00672BA6" w:rsidRPr="003023AE">
        <w:rPr>
          <w:rFonts w:ascii="Times New Roman" w:eastAsia="宋体" w:hAnsi="Times New Roman" w:cs="Times New Roman"/>
          <w:bCs/>
          <w:color w:val="000000" w:themeColor="text1"/>
          <w:sz w:val="24"/>
        </w:rPr>
        <w:t>a-b. The ROS level increased after treatment of</w:t>
      </w:r>
      <w:bookmarkStart w:id="3" w:name="OLE_LINK36"/>
      <w:bookmarkStart w:id="4" w:name="OLE_LINK37"/>
      <w:r w:rsidR="00672BA6" w:rsidRPr="003023AE">
        <w:rPr>
          <w:rFonts w:ascii="Times New Roman" w:eastAsia="宋体" w:hAnsi="Times New Roman" w:cs="Times New Roman"/>
          <w:bCs/>
          <w:color w:val="000000" w:themeColor="text1"/>
          <w:sz w:val="24"/>
        </w:rPr>
        <w:t xml:space="preserve"> CS2164 (3μM) combined with radiation (4Gy)</w:t>
      </w:r>
      <w:bookmarkEnd w:id="3"/>
      <w:bookmarkEnd w:id="4"/>
      <w:r w:rsidR="00672BA6" w:rsidRPr="003023AE">
        <w:rPr>
          <w:rFonts w:ascii="Times New Roman" w:eastAsia="宋体" w:hAnsi="Times New Roman" w:cs="Times New Roman"/>
          <w:bCs/>
          <w:color w:val="000000" w:themeColor="text1"/>
          <w:sz w:val="24"/>
        </w:rPr>
        <w:t>, which could be partially rescued by NAC</w:t>
      </w:r>
      <w:r w:rsidRPr="003023AE">
        <w:rPr>
          <w:rFonts w:ascii="Times New Roman" w:eastAsia="宋体" w:hAnsi="Times New Roman" w:cs="Times New Roman"/>
          <w:color w:val="000000" w:themeColor="text1"/>
          <w:sz w:val="24"/>
        </w:rPr>
        <w:t xml:space="preserve">. </w:t>
      </w:r>
      <w:r w:rsidR="00672BA6" w:rsidRPr="003023AE">
        <w:rPr>
          <w:rFonts w:ascii="Times New Roman" w:eastAsia="宋体" w:hAnsi="Times New Roman" w:cs="Times New Roman"/>
          <w:color w:val="000000" w:themeColor="text1"/>
          <w:sz w:val="24"/>
        </w:rPr>
        <w:t xml:space="preserve">Data are presented as the means ± standard deviation (SD), n ≥ 3; ns, not significant; *p &lt; 0.05; **p &lt; 0.01, ***p &lt; 0.001. c-d. </w:t>
      </w:r>
      <w:bookmarkStart w:id="5" w:name="OLE_LINK40"/>
      <w:r w:rsidR="00672BA6" w:rsidRPr="003023AE">
        <w:rPr>
          <w:rFonts w:ascii="Times New Roman" w:hAnsi="Times New Roman" w:cs="Times New Roman"/>
          <w:color w:val="000000" w:themeColor="text1"/>
          <w:sz w:val="24"/>
        </w:rPr>
        <w:t xml:space="preserve">CS2164 in combination with radiation decreased </w:t>
      </w:r>
      <w:bookmarkStart w:id="6" w:name="OLE_LINK38"/>
      <w:bookmarkStart w:id="7" w:name="OLE_LINK39"/>
      <w:r w:rsidR="00672BA6" w:rsidRPr="003023AE">
        <w:rPr>
          <w:rFonts w:ascii="Times New Roman" w:hAnsi="Times New Roman" w:cs="Times New Roman"/>
          <w:bCs/>
          <w:color w:val="000000" w:themeColor="text1"/>
          <w:sz w:val="24"/>
        </w:rPr>
        <w:t>p-Histone H3 expression</w:t>
      </w:r>
      <w:bookmarkEnd w:id="6"/>
      <w:bookmarkEnd w:id="7"/>
      <w:r w:rsidR="009B7D89" w:rsidRPr="003023AE">
        <w:rPr>
          <w:rFonts w:ascii="Times New Roman" w:hAnsi="Times New Roman" w:cs="Times New Roman"/>
          <w:bCs/>
          <w:color w:val="000000" w:themeColor="text1"/>
          <w:sz w:val="24"/>
        </w:rPr>
        <w:t xml:space="preserve"> in Huh-7 and HeLa cells</w:t>
      </w:r>
      <w:r w:rsidR="00672BA6" w:rsidRPr="003023AE">
        <w:rPr>
          <w:rFonts w:ascii="Times New Roman" w:hAnsi="Times New Roman" w:cs="Times New Roman"/>
          <w:bCs/>
          <w:color w:val="000000" w:themeColor="text1"/>
          <w:sz w:val="24"/>
        </w:rPr>
        <w:t>.</w:t>
      </w:r>
      <w:bookmarkEnd w:id="5"/>
      <w:r w:rsidR="00672BA6" w:rsidRPr="003023AE">
        <w:rPr>
          <w:rFonts w:ascii="Times New Roman" w:eastAsia="宋体" w:hAnsi="Times New Roman" w:cs="Times New Roman"/>
          <w:color w:val="000000" w:themeColor="text1"/>
          <w:sz w:val="24"/>
        </w:rPr>
        <w:t xml:space="preserve"> The expression of </w:t>
      </w:r>
      <w:r w:rsidR="00672BA6" w:rsidRPr="003023AE">
        <w:rPr>
          <w:rFonts w:ascii="Times New Roman" w:hAnsi="Times New Roman" w:cs="Times New Roman"/>
          <w:bCs/>
          <w:color w:val="000000" w:themeColor="text1"/>
          <w:sz w:val="24"/>
        </w:rPr>
        <w:t>p-Histone H3 in protein level</w:t>
      </w:r>
      <w:r w:rsidR="00C34183" w:rsidRPr="003023AE">
        <w:rPr>
          <w:rFonts w:ascii="Times New Roman" w:hAnsi="Times New Roman" w:cs="Times New Roman"/>
          <w:bCs/>
          <w:color w:val="000000" w:themeColor="text1"/>
          <w:sz w:val="24"/>
        </w:rPr>
        <w:t xml:space="preserve"> measured by W</w:t>
      </w:r>
      <w:r w:rsidR="00672BA6" w:rsidRPr="003023AE">
        <w:rPr>
          <w:rFonts w:ascii="Times New Roman" w:hAnsi="Times New Roman" w:cs="Times New Roman"/>
          <w:bCs/>
          <w:color w:val="000000" w:themeColor="text1"/>
          <w:sz w:val="24"/>
        </w:rPr>
        <w:t>est</w:t>
      </w:r>
      <w:r w:rsidR="00C34183" w:rsidRPr="003023AE">
        <w:rPr>
          <w:rFonts w:ascii="Times New Roman" w:hAnsi="Times New Roman" w:cs="Times New Roman"/>
          <w:bCs/>
          <w:color w:val="000000" w:themeColor="text1"/>
          <w:sz w:val="24"/>
        </w:rPr>
        <w:t>ern B</w:t>
      </w:r>
      <w:r w:rsidR="00672BA6" w:rsidRPr="003023AE">
        <w:rPr>
          <w:rFonts w:ascii="Times New Roman" w:hAnsi="Times New Roman" w:cs="Times New Roman"/>
          <w:bCs/>
          <w:color w:val="000000" w:themeColor="text1"/>
          <w:sz w:val="24"/>
        </w:rPr>
        <w:t>lotting.</w:t>
      </w:r>
    </w:p>
    <w:p w:rsidR="00F5580C" w:rsidRPr="003023AE" w:rsidRDefault="005417F3">
      <w:pPr>
        <w:spacing w:line="360" w:lineRule="auto"/>
        <w:jc w:val="center"/>
        <w:rPr>
          <w:rFonts w:ascii="Times New Roman" w:hAnsi="Times New Roman" w:cs="Times New Roman"/>
          <w:b/>
          <w:bCs/>
          <w:color w:val="000000" w:themeColor="text1"/>
          <w:sz w:val="28"/>
          <w:szCs w:val="28"/>
        </w:rPr>
      </w:pPr>
      <w:r w:rsidRPr="003023AE">
        <w:rPr>
          <w:rFonts w:ascii="Times New Roman" w:hAnsi="Times New Roman" w:cs="Times New Roman"/>
          <w:b/>
          <w:bCs/>
          <w:color w:val="000000" w:themeColor="text1"/>
          <w:sz w:val="28"/>
          <w:szCs w:val="28"/>
        </w:rPr>
        <w:lastRenderedPageBreak/>
        <w:t xml:space="preserve">Supplementary Table </w:t>
      </w:r>
    </w:p>
    <w:p w:rsidR="00ED4EDD" w:rsidRPr="003023AE" w:rsidRDefault="00ED4EDD" w:rsidP="00ED4EDD">
      <w:pP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Table 1. Sensitivity Enhancement Ratio (SER) of Huh-7</w:t>
      </w:r>
      <w:r w:rsidR="002A5E8E" w:rsidRPr="003023AE">
        <w:rPr>
          <w:rFonts w:ascii="Times New Roman" w:hAnsi="Times New Roman" w:cs="Times New Roman"/>
          <w:color w:val="000000" w:themeColor="text1"/>
          <w:sz w:val="24"/>
        </w:rPr>
        <w:t xml:space="preserve"> cells</w:t>
      </w:r>
      <w:r w:rsidRPr="003023AE">
        <w:rPr>
          <w:rFonts w:ascii="Times New Roman" w:hAnsi="Times New Roman" w:cs="Times New Roman"/>
          <w:color w:val="000000" w:themeColor="text1"/>
          <w:sz w:val="24"/>
        </w:rPr>
        <w:t>.</w:t>
      </w:r>
    </w:p>
    <w:tbl>
      <w:tblPr>
        <w:tblStyle w:val="a3"/>
        <w:tblpPr w:leftFromText="180" w:rightFromText="180" w:vertAnchor="text" w:horzAnchor="margin" w:tblpY="-6"/>
        <w:tblW w:w="0" w:type="auto"/>
        <w:tblLook w:val="04A0" w:firstRow="1" w:lastRow="0" w:firstColumn="1" w:lastColumn="0" w:noHBand="0" w:noVBand="1"/>
      </w:tblPr>
      <w:tblGrid>
        <w:gridCol w:w="2263"/>
        <w:gridCol w:w="1885"/>
        <w:gridCol w:w="2074"/>
        <w:gridCol w:w="2074"/>
      </w:tblGrid>
      <w:tr w:rsidR="003023AE" w:rsidRPr="003023AE" w:rsidTr="00ED4EDD">
        <w:tc>
          <w:tcPr>
            <w:tcW w:w="2263" w:type="dxa"/>
          </w:tcPr>
          <w:p w:rsidR="00ED4EDD" w:rsidRPr="003023AE" w:rsidRDefault="00ED4EDD" w:rsidP="003E5CD5">
            <w:pP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CS2164 concentration</w:t>
            </w:r>
          </w:p>
        </w:tc>
        <w:tc>
          <w:tcPr>
            <w:tcW w:w="1885"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D0</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n</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R2</w:t>
            </w:r>
          </w:p>
        </w:tc>
      </w:tr>
      <w:tr w:rsidR="003023AE" w:rsidRPr="003023AE" w:rsidTr="00ED4EDD">
        <w:tc>
          <w:tcPr>
            <w:tcW w:w="2263" w:type="dxa"/>
          </w:tcPr>
          <w:p w:rsidR="00ED4EDD" w:rsidRPr="003023AE" w:rsidRDefault="00ED4EDD" w:rsidP="003E5CD5">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0μM</w:t>
            </w:r>
          </w:p>
        </w:tc>
        <w:tc>
          <w:tcPr>
            <w:tcW w:w="1885"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1.780</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1.796</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0.9935</w:t>
            </w:r>
          </w:p>
        </w:tc>
      </w:tr>
      <w:tr w:rsidR="003023AE" w:rsidRPr="003023AE" w:rsidTr="00ED4EDD">
        <w:tc>
          <w:tcPr>
            <w:tcW w:w="2263" w:type="dxa"/>
          </w:tcPr>
          <w:p w:rsidR="00ED4EDD" w:rsidRPr="003023AE" w:rsidRDefault="00ED4EDD" w:rsidP="003E5CD5">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3μM</w:t>
            </w:r>
          </w:p>
        </w:tc>
        <w:tc>
          <w:tcPr>
            <w:tcW w:w="1885"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1.585</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1.636</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0.9981</w:t>
            </w:r>
          </w:p>
        </w:tc>
      </w:tr>
    </w:tbl>
    <w:p w:rsidR="00ED4EDD" w:rsidRPr="003023AE" w:rsidRDefault="00ED4EDD" w:rsidP="00ED4EDD">
      <w:pPr>
        <w:rPr>
          <w:rFonts w:ascii="Times New Roman" w:hAnsi="Times New Roman" w:cs="Times New Roman"/>
          <w:color w:val="000000" w:themeColor="text1"/>
          <w:sz w:val="24"/>
        </w:rPr>
      </w:pPr>
    </w:p>
    <w:p w:rsidR="00ED4EDD" w:rsidRPr="003023AE" w:rsidRDefault="00ED4EDD" w:rsidP="00ED4EDD">
      <w:pP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Table 2. Sensitivity Enhancement Ratio (SER) of HeLa</w:t>
      </w:r>
      <w:r w:rsidR="002A5E8E" w:rsidRPr="003023AE">
        <w:rPr>
          <w:rFonts w:ascii="Times New Roman" w:hAnsi="Times New Roman" w:cs="Times New Roman"/>
          <w:color w:val="000000" w:themeColor="text1"/>
          <w:sz w:val="24"/>
        </w:rPr>
        <w:t xml:space="preserve"> cells.</w:t>
      </w:r>
    </w:p>
    <w:tbl>
      <w:tblPr>
        <w:tblStyle w:val="a3"/>
        <w:tblpPr w:leftFromText="180" w:rightFromText="180" w:vertAnchor="text" w:horzAnchor="margin" w:tblpY="-6"/>
        <w:tblW w:w="0" w:type="auto"/>
        <w:tblLook w:val="04A0" w:firstRow="1" w:lastRow="0" w:firstColumn="1" w:lastColumn="0" w:noHBand="0" w:noVBand="1"/>
      </w:tblPr>
      <w:tblGrid>
        <w:gridCol w:w="2263"/>
        <w:gridCol w:w="1885"/>
        <w:gridCol w:w="2074"/>
        <w:gridCol w:w="2074"/>
      </w:tblGrid>
      <w:tr w:rsidR="003023AE" w:rsidRPr="003023AE" w:rsidTr="00ED4EDD">
        <w:tc>
          <w:tcPr>
            <w:tcW w:w="2263" w:type="dxa"/>
          </w:tcPr>
          <w:p w:rsidR="00ED4EDD" w:rsidRPr="003023AE" w:rsidRDefault="00ED4EDD" w:rsidP="003E5CD5">
            <w:pPr>
              <w:rPr>
                <w:rFonts w:ascii="Times New Roman" w:hAnsi="Times New Roman" w:cs="Times New Roman"/>
                <w:color w:val="000000" w:themeColor="text1"/>
                <w:sz w:val="24"/>
              </w:rPr>
            </w:pPr>
            <w:bookmarkStart w:id="8" w:name="_Hlk213959641"/>
            <w:r w:rsidRPr="003023AE">
              <w:rPr>
                <w:rFonts w:ascii="Times New Roman" w:hAnsi="Times New Roman" w:cs="Times New Roman"/>
                <w:color w:val="000000" w:themeColor="text1"/>
                <w:sz w:val="24"/>
              </w:rPr>
              <w:t>CS2164 concentration</w:t>
            </w:r>
          </w:p>
        </w:tc>
        <w:tc>
          <w:tcPr>
            <w:tcW w:w="1885"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D0</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n</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R2</w:t>
            </w:r>
          </w:p>
        </w:tc>
      </w:tr>
      <w:tr w:rsidR="003023AE" w:rsidRPr="003023AE" w:rsidTr="00ED4EDD">
        <w:tc>
          <w:tcPr>
            <w:tcW w:w="2263" w:type="dxa"/>
          </w:tcPr>
          <w:p w:rsidR="00ED4EDD" w:rsidRPr="003023AE" w:rsidRDefault="00ED4EDD" w:rsidP="003E5CD5">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0μM</w:t>
            </w:r>
          </w:p>
        </w:tc>
        <w:tc>
          <w:tcPr>
            <w:tcW w:w="1885"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2.138</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1.804</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0.9886</w:t>
            </w:r>
          </w:p>
        </w:tc>
      </w:tr>
      <w:tr w:rsidR="003023AE" w:rsidRPr="003023AE" w:rsidTr="00ED4EDD">
        <w:tc>
          <w:tcPr>
            <w:tcW w:w="2263" w:type="dxa"/>
          </w:tcPr>
          <w:p w:rsidR="00ED4EDD" w:rsidRPr="003023AE" w:rsidRDefault="00ED4EDD" w:rsidP="003E5CD5">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3μM</w:t>
            </w:r>
          </w:p>
        </w:tc>
        <w:tc>
          <w:tcPr>
            <w:tcW w:w="1885"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1.521</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2.550</w:t>
            </w:r>
          </w:p>
        </w:tc>
        <w:tc>
          <w:tcPr>
            <w:tcW w:w="2074" w:type="dxa"/>
            <w:vAlign w:val="center"/>
          </w:tcPr>
          <w:p w:rsidR="00ED4EDD" w:rsidRPr="003023AE" w:rsidRDefault="00ED4EDD" w:rsidP="00ED4EDD">
            <w:pPr>
              <w:jc w:val="center"/>
              <w:rPr>
                <w:rFonts w:ascii="Times New Roman" w:hAnsi="Times New Roman" w:cs="Times New Roman"/>
                <w:color w:val="000000" w:themeColor="text1"/>
                <w:sz w:val="24"/>
              </w:rPr>
            </w:pPr>
            <w:r w:rsidRPr="003023AE">
              <w:rPr>
                <w:rFonts w:ascii="Times New Roman" w:hAnsi="Times New Roman" w:cs="Times New Roman"/>
                <w:color w:val="000000" w:themeColor="text1"/>
                <w:sz w:val="24"/>
              </w:rPr>
              <w:t>0.9946</w:t>
            </w:r>
          </w:p>
        </w:tc>
      </w:tr>
      <w:bookmarkEnd w:id="8"/>
    </w:tbl>
    <w:p w:rsidR="00ED4EDD" w:rsidRPr="003023AE" w:rsidRDefault="00ED4EDD" w:rsidP="00ED4EDD">
      <w:pPr>
        <w:rPr>
          <w:rFonts w:ascii="Times New Roman" w:hAnsi="Times New Roman" w:cs="Times New Roman"/>
          <w:color w:val="000000" w:themeColor="text1"/>
          <w:sz w:val="24"/>
        </w:rPr>
      </w:pPr>
    </w:p>
    <w:p w:rsidR="00F5580C" w:rsidRPr="003023AE" w:rsidRDefault="00F5580C">
      <w:pPr>
        <w:spacing w:line="360" w:lineRule="auto"/>
        <w:rPr>
          <w:rFonts w:ascii="Times New Roman" w:hAnsi="Times New Roman" w:cs="Times New Roman"/>
          <w:color w:val="000000" w:themeColor="text1"/>
          <w:sz w:val="24"/>
        </w:rPr>
      </w:pPr>
    </w:p>
    <w:p w:rsidR="00F5580C" w:rsidRPr="003023AE" w:rsidRDefault="00F5580C">
      <w:pPr>
        <w:spacing w:line="360" w:lineRule="auto"/>
        <w:rPr>
          <w:rFonts w:ascii="Times New Roman" w:hAnsi="Times New Roman" w:cs="Times New Roman"/>
          <w:color w:val="000000" w:themeColor="text1"/>
          <w:sz w:val="24"/>
        </w:rPr>
      </w:pPr>
    </w:p>
    <w:sectPr w:rsidR="00F5580C" w:rsidRPr="003023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B96" w:rsidRDefault="00866B96" w:rsidP="003357AC">
      <w:r>
        <w:separator/>
      </w:r>
    </w:p>
  </w:endnote>
  <w:endnote w:type="continuationSeparator" w:id="0">
    <w:p w:rsidR="00866B96" w:rsidRDefault="00866B96" w:rsidP="00335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B96" w:rsidRDefault="00866B96" w:rsidP="003357AC">
      <w:r>
        <w:separator/>
      </w:r>
    </w:p>
  </w:footnote>
  <w:footnote w:type="continuationSeparator" w:id="0">
    <w:p w:rsidR="00866B96" w:rsidRDefault="00866B96" w:rsidP="003357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5B30F1"/>
    <w:multiLevelType w:val="singleLevel"/>
    <w:tmpl w:val="B35B30F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0C"/>
    <w:rsid w:val="00136185"/>
    <w:rsid w:val="0017458D"/>
    <w:rsid w:val="0019006B"/>
    <w:rsid w:val="002614BC"/>
    <w:rsid w:val="002A5E8E"/>
    <w:rsid w:val="003023AE"/>
    <w:rsid w:val="003357AC"/>
    <w:rsid w:val="003D3ED8"/>
    <w:rsid w:val="0046102C"/>
    <w:rsid w:val="00484711"/>
    <w:rsid w:val="005417F3"/>
    <w:rsid w:val="00642679"/>
    <w:rsid w:val="0065773E"/>
    <w:rsid w:val="00672BA6"/>
    <w:rsid w:val="0067465F"/>
    <w:rsid w:val="008579E8"/>
    <w:rsid w:val="00866B96"/>
    <w:rsid w:val="0088262F"/>
    <w:rsid w:val="008946D7"/>
    <w:rsid w:val="008C4621"/>
    <w:rsid w:val="009034FE"/>
    <w:rsid w:val="009B7D89"/>
    <w:rsid w:val="00C34183"/>
    <w:rsid w:val="00DB4AAC"/>
    <w:rsid w:val="00DC116F"/>
    <w:rsid w:val="00ED4EDD"/>
    <w:rsid w:val="00F5580C"/>
    <w:rsid w:val="01453A14"/>
    <w:rsid w:val="0D34550E"/>
    <w:rsid w:val="15CB0F96"/>
    <w:rsid w:val="16DE5329"/>
    <w:rsid w:val="1BB67865"/>
    <w:rsid w:val="26507727"/>
    <w:rsid w:val="4699195A"/>
    <w:rsid w:val="753D76D6"/>
    <w:rsid w:val="7FF66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F0DC4B-45F9-4300-82A6-76AF8EDE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357A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357AC"/>
    <w:rPr>
      <w:rFonts w:asciiTheme="minorHAnsi" w:eastAsiaTheme="minorEastAsia" w:hAnsiTheme="minorHAnsi" w:cstheme="minorBidi"/>
      <w:kern w:val="2"/>
      <w:sz w:val="18"/>
      <w:szCs w:val="18"/>
    </w:rPr>
  </w:style>
  <w:style w:type="paragraph" w:styleId="a6">
    <w:name w:val="footer"/>
    <w:basedOn w:val="a"/>
    <w:link w:val="a7"/>
    <w:rsid w:val="003357AC"/>
    <w:pPr>
      <w:tabs>
        <w:tab w:val="center" w:pos="4153"/>
        <w:tab w:val="right" w:pos="8306"/>
      </w:tabs>
      <w:snapToGrid w:val="0"/>
      <w:jc w:val="left"/>
    </w:pPr>
    <w:rPr>
      <w:sz w:val="18"/>
      <w:szCs w:val="18"/>
    </w:rPr>
  </w:style>
  <w:style w:type="character" w:customStyle="1" w:styleId="a7">
    <w:name w:val="页脚 字符"/>
    <w:basedOn w:val="a0"/>
    <w:link w:val="a6"/>
    <w:rsid w:val="003357A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1215</Words>
  <Characters>6931</Characters>
  <Application>Microsoft Office Word</Application>
  <DocSecurity>0</DocSecurity>
  <Lines>57</Lines>
  <Paragraphs>16</Paragraphs>
  <ScaleCrop>false</ScaleCrop>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粥粥粥</cp:lastModifiedBy>
  <cp:revision>17</cp:revision>
  <dcterms:created xsi:type="dcterms:W3CDTF">2024-12-18T14:08:00Z</dcterms:created>
  <dcterms:modified xsi:type="dcterms:W3CDTF">2026-02-16T14:58:00Z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571DB517EF4D4BC18131BF2414A56574_12</vt:lpwstr>
  </property>
</Properties>
</file>