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E88EF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
          <w:bCs/>
          <w:sz w:val="28"/>
          <w:szCs w:val="28"/>
          <w:lang w:val="en-US" w:eastAsia="zh-CN"/>
        </w:rPr>
      </w:pPr>
      <w:r>
        <w:rPr>
          <w:rFonts w:hint="eastAsia" w:ascii="Times New Roman" w:hAnsi="Times New Roman" w:eastAsia="宋体" w:cs="Times New Roman"/>
          <w:b/>
          <w:bCs/>
          <w:sz w:val="28"/>
          <w:szCs w:val="28"/>
          <w:lang w:val="en-US" w:eastAsia="zh-CN"/>
        </w:rPr>
        <w:t>Supplementary file:</w:t>
      </w:r>
    </w:p>
    <w:p w14:paraId="1FEA10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Table S1. Summary of unadjusted between-group comparisons: inflammatory, immune, endothelial, and vascular imaging markers</w:t>
      </w:r>
    </w:p>
    <w:tbl>
      <w:tblPr>
        <w:tblStyle w:val="3"/>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1463"/>
        <w:gridCol w:w="1488"/>
        <w:gridCol w:w="750"/>
        <w:gridCol w:w="1620"/>
        <w:gridCol w:w="1476"/>
        <w:gridCol w:w="1110"/>
      </w:tblGrid>
      <w:tr w14:paraId="6569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single" w:color="auto" w:sz="12" w:space="0"/>
              <w:left w:val="nil"/>
              <w:bottom w:val="nil"/>
              <w:right w:val="nil"/>
            </w:tcBorders>
            <w:shd w:val="clear" w:color="auto" w:fill="auto"/>
            <w:vAlign w:val="center"/>
          </w:tcPr>
          <w:p w14:paraId="523187E1">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Marker</w:t>
            </w:r>
          </w:p>
        </w:tc>
        <w:tc>
          <w:tcPr>
            <w:tcW w:w="1463" w:type="dxa"/>
            <w:tcBorders>
              <w:top w:val="single" w:color="auto" w:sz="12" w:space="0"/>
              <w:left w:val="nil"/>
              <w:bottom w:val="nil"/>
              <w:right w:val="nil"/>
            </w:tcBorders>
            <w:shd w:val="clear" w:color="auto" w:fill="auto"/>
            <w:vAlign w:val="center"/>
          </w:tcPr>
          <w:p w14:paraId="5C6DFC39">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Cancer (A=0)</w:t>
            </w:r>
          </w:p>
        </w:tc>
        <w:tc>
          <w:tcPr>
            <w:tcW w:w="1488" w:type="dxa"/>
            <w:tcBorders>
              <w:top w:val="single" w:color="auto" w:sz="12" w:space="0"/>
              <w:left w:val="nil"/>
              <w:bottom w:val="nil"/>
              <w:right w:val="nil"/>
            </w:tcBorders>
            <w:shd w:val="clear" w:color="auto" w:fill="auto"/>
            <w:vAlign w:val="center"/>
          </w:tcPr>
          <w:p w14:paraId="1DABD2CE">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Cancer (A=1)</w:t>
            </w:r>
          </w:p>
        </w:tc>
        <w:tc>
          <w:tcPr>
            <w:tcW w:w="750" w:type="dxa"/>
            <w:tcBorders>
              <w:top w:val="single" w:color="auto" w:sz="12" w:space="0"/>
              <w:left w:val="nil"/>
              <w:bottom w:val="nil"/>
              <w:right w:val="nil"/>
            </w:tcBorders>
            <w:shd w:val="clear" w:color="auto" w:fill="auto"/>
            <w:vAlign w:val="center"/>
          </w:tcPr>
          <w:p w14:paraId="4BF76F9C">
            <w:pPr>
              <w:keepNext w:val="0"/>
              <w:keepLines w:val="0"/>
              <w:widowControl/>
              <w:suppressLineNumbers w:val="0"/>
              <w:snapToGrid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 xml:space="preserve">P </w:t>
            </w:r>
          </w:p>
          <w:p w14:paraId="7047532E">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(A=1 vs 0)</w:t>
            </w:r>
          </w:p>
        </w:tc>
        <w:tc>
          <w:tcPr>
            <w:tcW w:w="1620" w:type="dxa"/>
            <w:tcBorders>
              <w:top w:val="single" w:color="auto" w:sz="12" w:space="0"/>
              <w:left w:val="nil"/>
              <w:bottom w:val="nil"/>
              <w:right w:val="nil"/>
            </w:tcBorders>
            <w:shd w:val="clear" w:color="auto" w:fill="auto"/>
            <w:vAlign w:val="center"/>
          </w:tcPr>
          <w:p w14:paraId="7218BC28">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Cancer (overall)</w:t>
            </w:r>
          </w:p>
        </w:tc>
        <w:tc>
          <w:tcPr>
            <w:tcW w:w="1476" w:type="dxa"/>
            <w:tcBorders>
              <w:top w:val="single" w:color="auto" w:sz="12" w:space="0"/>
              <w:left w:val="nil"/>
              <w:bottom w:val="nil"/>
              <w:right w:val="nil"/>
            </w:tcBorders>
            <w:shd w:val="clear" w:color="auto" w:fill="auto"/>
            <w:vAlign w:val="center"/>
          </w:tcPr>
          <w:p w14:paraId="6097440C">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Control (overall)</w:t>
            </w:r>
          </w:p>
        </w:tc>
        <w:tc>
          <w:tcPr>
            <w:tcW w:w="1110" w:type="dxa"/>
            <w:tcBorders>
              <w:top w:val="single" w:color="auto" w:sz="12" w:space="0"/>
              <w:left w:val="nil"/>
              <w:bottom w:val="nil"/>
              <w:right w:val="nil"/>
            </w:tcBorders>
            <w:shd w:val="clear" w:color="auto" w:fill="auto"/>
            <w:vAlign w:val="center"/>
          </w:tcPr>
          <w:p w14:paraId="7A0A5E6B">
            <w:pPr>
              <w:keepNext w:val="0"/>
              <w:keepLines w:val="0"/>
              <w:widowControl/>
              <w:suppressLineNumbers w:val="0"/>
              <w:snapToGrid w:val="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 xml:space="preserve">P </w:t>
            </w:r>
          </w:p>
          <w:p w14:paraId="5301F43E">
            <w:pPr>
              <w:keepNext w:val="0"/>
              <w:keepLines w:val="0"/>
              <w:widowControl/>
              <w:suppressLineNumbers w:val="0"/>
              <w:snapToGrid w:val="0"/>
              <w:jc w:val="center"/>
              <w:rPr>
                <w:rFonts w:hint="default" w:ascii="Times New Roman" w:hAnsi="Times New Roman" w:cs="Times New Roman" w:eastAsiaTheme="minorEastAsia"/>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(Cancer vs Control)</w:t>
            </w:r>
          </w:p>
        </w:tc>
      </w:tr>
      <w:tr w14:paraId="2F3D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716BBF1A">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hsCRP (mg/L)</w:t>
            </w:r>
          </w:p>
        </w:tc>
        <w:tc>
          <w:tcPr>
            <w:tcW w:w="1463" w:type="dxa"/>
            <w:tcBorders>
              <w:top w:val="nil"/>
              <w:left w:val="nil"/>
              <w:bottom w:val="nil"/>
              <w:right w:val="nil"/>
            </w:tcBorders>
            <w:shd w:val="clear" w:color="auto" w:fill="auto"/>
            <w:vAlign w:val="center"/>
          </w:tcPr>
          <w:p w14:paraId="0DD1600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4.14 [3.07, 5.30]</w:t>
            </w:r>
          </w:p>
        </w:tc>
        <w:tc>
          <w:tcPr>
            <w:tcW w:w="1488" w:type="dxa"/>
            <w:tcBorders>
              <w:top w:val="nil"/>
              <w:left w:val="nil"/>
              <w:bottom w:val="nil"/>
              <w:right w:val="nil"/>
            </w:tcBorders>
            <w:shd w:val="clear" w:color="auto" w:fill="auto"/>
            <w:vAlign w:val="center"/>
          </w:tcPr>
          <w:p w14:paraId="6AC5082C">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4.47 [3.39, 5.83]</w:t>
            </w:r>
          </w:p>
        </w:tc>
        <w:tc>
          <w:tcPr>
            <w:tcW w:w="750" w:type="dxa"/>
            <w:tcBorders>
              <w:top w:val="nil"/>
              <w:left w:val="nil"/>
              <w:bottom w:val="nil"/>
              <w:right w:val="nil"/>
            </w:tcBorders>
            <w:shd w:val="clear" w:color="auto" w:fill="auto"/>
            <w:vAlign w:val="center"/>
          </w:tcPr>
          <w:p w14:paraId="2743AAE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0.006</w:t>
            </w:r>
          </w:p>
        </w:tc>
        <w:tc>
          <w:tcPr>
            <w:tcW w:w="1620" w:type="dxa"/>
            <w:tcBorders>
              <w:top w:val="nil"/>
              <w:left w:val="nil"/>
              <w:bottom w:val="nil"/>
              <w:right w:val="nil"/>
            </w:tcBorders>
            <w:shd w:val="clear" w:color="auto" w:fill="auto"/>
            <w:vAlign w:val="center"/>
          </w:tcPr>
          <w:p w14:paraId="46CBB6F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4.25 [3.17, 5.44]</w:t>
            </w:r>
          </w:p>
        </w:tc>
        <w:tc>
          <w:tcPr>
            <w:tcW w:w="1476" w:type="dxa"/>
            <w:tcBorders>
              <w:top w:val="nil"/>
              <w:left w:val="nil"/>
              <w:bottom w:val="nil"/>
              <w:right w:val="nil"/>
            </w:tcBorders>
            <w:shd w:val="clear" w:color="auto" w:fill="auto"/>
            <w:vAlign w:val="center"/>
          </w:tcPr>
          <w:p w14:paraId="2D2AA148">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2.04 [1.48, 2.77]</w:t>
            </w:r>
          </w:p>
        </w:tc>
        <w:tc>
          <w:tcPr>
            <w:tcW w:w="1110" w:type="dxa"/>
            <w:tcBorders>
              <w:top w:val="nil"/>
              <w:left w:val="nil"/>
              <w:bottom w:val="nil"/>
              <w:right w:val="nil"/>
            </w:tcBorders>
            <w:shd w:val="clear" w:color="auto" w:fill="auto"/>
            <w:vAlign w:val="center"/>
          </w:tcPr>
          <w:p w14:paraId="61C7981C">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27E6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6C45B67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IL-6 (pg/mL)</w:t>
            </w:r>
          </w:p>
        </w:tc>
        <w:tc>
          <w:tcPr>
            <w:tcW w:w="1463" w:type="dxa"/>
            <w:tcBorders>
              <w:top w:val="nil"/>
              <w:left w:val="nil"/>
              <w:bottom w:val="nil"/>
              <w:right w:val="nil"/>
            </w:tcBorders>
            <w:shd w:val="clear" w:color="auto" w:fill="auto"/>
            <w:vAlign w:val="center"/>
          </w:tcPr>
          <w:p w14:paraId="2EB32B43">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2.86 [2.31, 3.57]</w:t>
            </w:r>
          </w:p>
        </w:tc>
        <w:tc>
          <w:tcPr>
            <w:tcW w:w="1488" w:type="dxa"/>
            <w:tcBorders>
              <w:top w:val="nil"/>
              <w:left w:val="nil"/>
              <w:bottom w:val="nil"/>
              <w:right w:val="nil"/>
            </w:tcBorders>
            <w:shd w:val="clear" w:color="auto" w:fill="auto"/>
            <w:vAlign w:val="center"/>
          </w:tcPr>
          <w:p w14:paraId="5A69FDB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3.24 [2.38, 4.14]</w:t>
            </w:r>
          </w:p>
        </w:tc>
        <w:tc>
          <w:tcPr>
            <w:tcW w:w="750" w:type="dxa"/>
            <w:tcBorders>
              <w:top w:val="nil"/>
              <w:left w:val="nil"/>
              <w:bottom w:val="nil"/>
              <w:right w:val="nil"/>
            </w:tcBorders>
            <w:shd w:val="clear" w:color="auto" w:fill="auto"/>
            <w:vAlign w:val="center"/>
          </w:tcPr>
          <w:p w14:paraId="5C92A03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0.008</w:t>
            </w:r>
          </w:p>
        </w:tc>
        <w:tc>
          <w:tcPr>
            <w:tcW w:w="1620" w:type="dxa"/>
            <w:tcBorders>
              <w:top w:val="nil"/>
              <w:left w:val="nil"/>
              <w:bottom w:val="nil"/>
              <w:right w:val="nil"/>
            </w:tcBorders>
            <w:shd w:val="clear" w:color="auto" w:fill="auto"/>
            <w:vAlign w:val="center"/>
          </w:tcPr>
          <w:p w14:paraId="22FD835C">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2.94 [2.32, 3.69]</w:t>
            </w:r>
          </w:p>
        </w:tc>
        <w:tc>
          <w:tcPr>
            <w:tcW w:w="1476" w:type="dxa"/>
            <w:tcBorders>
              <w:top w:val="nil"/>
              <w:left w:val="nil"/>
              <w:bottom w:val="nil"/>
              <w:right w:val="nil"/>
            </w:tcBorders>
            <w:shd w:val="clear" w:color="auto" w:fill="auto"/>
            <w:vAlign w:val="center"/>
          </w:tcPr>
          <w:p w14:paraId="22A04869">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2.02 [1.70, 2.55]</w:t>
            </w:r>
          </w:p>
        </w:tc>
        <w:tc>
          <w:tcPr>
            <w:tcW w:w="1110" w:type="dxa"/>
            <w:tcBorders>
              <w:top w:val="nil"/>
              <w:left w:val="nil"/>
              <w:bottom w:val="nil"/>
              <w:right w:val="nil"/>
            </w:tcBorders>
            <w:shd w:val="clear" w:color="auto" w:fill="auto"/>
            <w:vAlign w:val="center"/>
          </w:tcPr>
          <w:p w14:paraId="0D2C12E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4A8D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0A6C40F0">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SII</w:t>
            </w:r>
          </w:p>
        </w:tc>
        <w:tc>
          <w:tcPr>
            <w:tcW w:w="1463" w:type="dxa"/>
            <w:tcBorders>
              <w:top w:val="nil"/>
              <w:left w:val="nil"/>
              <w:bottom w:val="nil"/>
              <w:right w:val="nil"/>
            </w:tcBorders>
            <w:shd w:val="clear" w:color="auto" w:fill="auto"/>
            <w:vAlign w:val="center"/>
          </w:tcPr>
          <w:p w14:paraId="424247AB">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787.63 [559.25, 1086.70]</w:t>
            </w:r>
          </w:p>
        </w:tc>
        <w:tc>
          <w:tcPr>
            <w:tcW w:w="1488" w:type="dxa"/>
            <w:tcBorders>
              <w:top w:val="nil"/>
              <w:left w:val="nil"/>
              <w:bottom w:val="nil"/>
              <w:right w:val="nil"/>
            </w:tcBorders>
            <w:shd w:val="clear" w:color="auto" w:fill="auto"/>
            <w:vAlign w:val="center"/>
          </w:tcPr>
          <w:p w14:paraId="6FF268F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868.76 [576.38, 1169.29]</w:t>
            </w:r>
          </w:p>
        </w:tc>
        <w:tc>
          <w:tcPr>
            <w:tcW w:w="750" w:type="dxa"/>
            <w:tcBorders>
              <w:top w:val="nil"/>
              <w:left w:val="nil"/>
              <w:bottom w:val="nil"/>
              <w:right w:val="nil"/>
            </w:tcBorders>
            <w:shd w:val="clear" w:color="auto" w:fill="auto"/>
            <w:vAlign w:val="center"/>
          </w:tcPr>
          <w:p w14:paraId="18EE1050">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0.219</w:t>
            </w:r>
          </w:p>
        </w:tc>
        <w:tc>
          <w:tcPr>
            <w:tcW w:w="1620" w:type="dxa"/>
            <w:tcBorders>
              <w:top w:val="nil"/>
              <w:left w:val="nil"/>
              <w:bottom w:val="nil"/>
              <w:right w:val="nil"/>
            </w:tcBorders>
            <w:shd w:val="clear" w:color="auto" w:fill="auto"/>
            <w:vAlign w:val="center"/>
          </w:tcPr>
          <w:p w14:paraId="668CCF38">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812.63 [561.59, 1102.84]</w:t>
            </w:r>
          </w:p>
        </w:tc>
        <w:tc>
          <w:tcPr>
            <w:tcW w:w="1476" w:type="dxa"/>
            <w:tcBorders>
              <w:top w:val="nil"/>
              <w:left w:val="nil"/>
              <w:bottom w:val="nil"/>
              <w:right w:val="nil"/>
            </w:tcBorders>
            <w:shd w:val="clear" w:color="auto" w:fill="auto"/>
            <w:vAlign w:val="center"/>
          </w:tcPr>
          <w:p w14:paraId="03619A5E">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494.88 [328.21, 690.44]</w:t>
            </w:r>
          </w:p>
        </w:tc>
        <w:tc>
          <w:tcPr>
            <w:tcW w:w="1110" w:type="dxa"/>
            <w:tcBorders>
              <w:top w:val="nil"/>
              <w:left w:val="nil"/>
              <w:bottom w:val="nil"/>
              <w:right w:val="nil"/>
            </w:tcBorders>
            <w:shd w:val="clear" w:color="auto" w:fill="auto"/>
            <w:vAlign w:val="center"/>
          </w:tcPr>
          <w:p w14:paraId="2C6F2B0A">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55941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0FD2CFA4">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SIRI</w:t>
            </w:r>
          </w:p>
        </w:tc>
        <w:tc>
          <w:tcPr>
            <w:tcW w:w="1463" w:type="dxa"/>
            <w:tcBorders>
              <w:top w:val="nil"/>
              <w:left w:val="nil"/>
              <w:bottom w:val="nil"/>
              <w:right w:val="nil"/>
            </w:tcBorders>
            <w:shd w:val="clear" w:color="auto" w:fill="auto"/>
            <w:vAlign w:val="center"/>
          </w:tcPr>
          <w:p w14:paraId="11D96D2A">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1.63 [1.14, 2.18]</w:t>
            </w:r>
          </w:p>
        </w:tc>
        <w:tc>
          <w:tcPr>
            <w:tcW w:w="1488" w:type="dxa"/>
            <w:tcBorders>
              <w:top w:val="nil"/>
              <w:left w:val="nil"/>
              <w:bottom w:val="nil"/>
              <w:right w:val="nil"/>
            </w:tcBorders>
            <w:shd w:val="clear" w:color="auto" w:fill="auto"/>
            <w:vAlign w:val="center"/>
          </w:tcPr>
          <w:p w14:paraId="1AB1333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1.76 [1.21, 2.22]</w:t>
            </w:r>
          </w:p>
        </w:tc>
        <w:tc>
          <w:tcPr>
            <w:tcW w:w="750" w:type="dxa"/>
            <w:tcBorders>
              <w:top w:val="nil"/>
              <w:left w:val="nil"/>
              <w:bottom w:val="nil"/>
              <w:right w:val="nil"/>
            </w:tcBorders>
            <w:shd w:val="clear" w:color="auto" w:fill="auto"/>
            <w:vAlign w:val="center"/>
          </w:tcPr>
          <w:p w14:paraId="42677770">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0.144</w:t>
            </w:r>
          </w:p>
        </w:tc>
        <w:tc>
          <w:tcPr>
            <w:tcW w:w="1620" w:type="dxa"/>
            <w:tcBorders>
              <w:top w:val="nil"/>
              <w:left w:val="nil"/>
              <w:bottom w:val="nil"/>
              <w:right w:val="nil"/>
            </w:tcBorders>
            <w:shd w:val="clear" w:color="auto" w:fill="auto"/>
            <w:vAlign w:val="center"/>
          </w:tcPr>
          <w:p w14:paraId="289FAEFE">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1.67 [1.16, 2.19]</w:t>
            </w:r>
          </w:p>
        </w:tc>
        <w:tc>
          <w:tcPr>
            <w:tcW w:w="1476" w:type="dxa"/>
            <w:tcBorders>
              <w:top w:val="nil"/>
              <w:left w:val="nil"/>
              <w:bottom w:val="nil"/>
              <w:right w:val="nil"/>
            </w:tcBorders>
            <w:shd w:val="clear" w:color="auto" w:fill="auto"/>
            <w:vAlign w:val="center"/>
          </w:tcPr>
          <w:p w14:paraId="3CDB1F99">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0.91 [0.59, 1.20]</w:t>
            </w:r>
          </w:p>
        </w:tc>
        <w:tc>
          <w:tcPr>
            <w:tcW w:w="1110" w:type="dxa"/>
            <w:tcBorders>
              <w:top w:val="nil"/>
              <w:left w:val="nil"/>
              <w:bottom w:val="nil"/>
              <w:right w:val="nil"/>
            </w:tcBorders>
            <w:shd w:val="clear" w:color="auto" w:fill="auto"/>
            <w:vAlign w:val="center"/>
          </w:tcPr>
          <w:p w14:paraId="537A1D13">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40B0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021DCA0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Treg (%)</w:t>
            </w:r>
          </w:p>
        </w:tc>
        <w:tc>
          <w:tcPr>
            <w:tcW w:w="1463" w:type="dxa"/>
            <w:tcBorders>
              <w:top w:val="nil"/>
              <w:left w:val="nil"/>
              <w:bottom w:val="nil"/>
              <w:right w:val="nil"/>
            </w:tcBorders>
            <w:shd w:val="clear" w:color="auto" w:fill="auto"/>
            <w:vAlign w:val="center"/>
          </w:tcPr>
          <w:p w14:paraId="3732A670">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6.24 [5.38, 7.34]</w:t>
            </w:r>
          </w:p>
        </w:tc>
        <w:tc>
          <w:tcPr>
            <w:tcW w:w="1488" w:type="dxa"/>
            <w:tcBorders>
              <w:top w:val="nil"/>
              <w:left w:val="nil"/>
              <w:bottom w:val="nil"/>
              <w:right w:val="nil"/>
            </w:tcBorders>
            <w:shd w:val="clear" w:color="auto" w:fill="auto"/>
            <w:vAlign w:val="center"/>
          </w:tcPr>
          <w:p w14:paraId="70D64095">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7.07 [6.29, 8.01]</w:t>
            </w:r>
          </w:p>
        </w:tc>
        <w:tc>
          <w:tcPr>
            <w:tcW w:w="750" w:type="dxa"/>
            <w:tcBorders>
              <w:top w:val="nil"/>
              <w:left w:val="nil"/>
              <w:bottom w:val="nil"/>
              <w:right w:val="nil"/>
            </w:tcBorders>
            <w:shd w:val="clear" w:color="auto" w:fill="auto"/>
            <w:vAlign w:val="center"/>
          </w:tcPr>
          <w:p w14:paraId="57EBCBAE">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c>
          <w:tcPr>
            <w:tcW w:w="1620" w:type="dxa"/>
            <w:tcBorders>
              <w:top w:val="nil"/>
              <w:left w:val="nil"/>
              <w:bottom w:val="nil"/>
              <w:right w:val="nil"/>
            </w:tcBorders>
            <w:shd w:val="clear" w:color="auto" w:fill="auto"/>
            <w:vAlign w:val="center"/>
          </w:tcPr>
          <w:p w14:paraId="046240F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6.44 [5.49, 7.53]</w:t>
            </w:r>
          </w:p>
        </w:tc>
        <w:tc>
          <w:tcPr>
            <w:tcW w:w="1476" w:type="dxa"/>
            <w:tcBorders>
              <w:top w:val="nil"/>
              <w:left w:val="nil"/>
              <w:bottom w:val="nil"/>
              <w:right w:val="nil"/>
            </w:tcBorders>
            <w:shd w:val="clear" w:color="auto" w:fill="auto"/>
            <w:vAlign w:val="center"/>
          </w:tcPr>
          <w:p w14:paraId="60AEE55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5.49 [4.87, 6.53]</w:t>
            </w:r>
          </w:p>
        </w:tc>
        <w:tc>
          <w:tcPr>
            <w:tcW w:w="1110" w:type="dxa"/>
            <w:tcBorders>
              <w:top w:val="nil"/>
              <w:left w:val="nil"/>
              <w:bottom w:val="nil"/>
              <w:right w:val="nil"/>
            </w:tcBorders>
            <w:shd w:val="clear" w:color="auto" w:fill="auto"/>
            <w:vAlign w:val="center"/>
          </w:tcPr>
          <w:p w14:paraId="71C5D479">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1064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75E72CEF">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NK (%)</w:t>
            </w:r>
          </w:p>
        </w:tc>
        <w:tc>
          <w:tcPr>
            <w:tcW w:w="1463" w:type="dxa"/>
            <w:tcBorders>
              <w:top w:val="nil"/>
              <w:left w:val="nil"/>
              <w:bottom w:val="nil"/>
              <w:right w:val="nil"/>
            </w:tcBorders>
            <w:shd w:val="clear" w:color="auto" w:fill="auto"/>
            <w:vAlign w:val="center"/>
          </w:tcPr>
          <w:p w14:paraId="07D84D27">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11.45 [10.05, 13.36]</w:t>
            </w:r>
          </w:p>
        </w:tc>
        <w:tc>
          <w:tcPr>
            <w:tcW w:w="1488" w:type="dxa"/>
            <w:tcBorders>
              <w:top w:val="nil"/>
              <w:left w:val="nil"/>
              <w:bottom w:val="nil"/>
              <w:right w:val="nil"/>
            </w:tcBorders>
            <w:shd w:val="clear" w:color="auto" w:fill="auto"/>
            <w:vAlign w:val="center"/>
          </w:tcPr>
          <w:p w14:paraId="39F36325">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10.16 [8.76, 12.34]</w:t>
            </w:r>
          </w:p>
        </w:tc>
        <w:tc>
          <w:tcPr>
            <w:tcW w:w="750" w:type="dxa"/>
            <w:tcBorders>
              <w:top w:val="nil"/>
              <w:left w:val="nil"/>
              <w:bottom w:val="nil"/>
              <w:right w:val="nil"/>
            </w:tcBorders>
            <w:shd w:val="clear" w:color="auto" w:fill="auto"/>
            <w:vAlign w:val="center"/>
          </w:tcPr>
          <w:p w14:paraId="0CCA6408">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c>
          <w:tcPr>
            <w:tcW w:w="1620" w:type="dxa"/>
            <w:tcBorders>
              <w:top w:val="nil"/>
              <w:left w:val="nil"/>
              <w:bottom w:val="nil"/>
              <w:right w:val="nil"/>
            </w:tcBorders>
            <w:shd w:val="clear" w:color="auto" w:fill="auto"/>
            <w:vAlign w:val="center"/>
          </w:tcPr>
          <w:p w14:paraId="115E4D9E">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11.25 [9.73, 13.24]</w:t>
            </w:r>
          </w:p>
        </w:tc>
        <w:tc>
          <w:tcPr>
            <w:tcW w:w="1476" w:type="dxa"/>
            <w:tcBorders>
              <w:top w:val="nil"/>
              <w:left w:val="nil"/>
              <w:bottom w:val="nil"/>
              <w:right w:val="nil"/>
            </w:tcBorders>
            <w:shd w:val="clear" w:color="auto" w:fill="auto"/>
            <w:vAlign w:val="center"/>
          </w:tcPr>
          <w:p w14:paraId="5C991816">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12.23 [10.58, 13.92]</w:t>
            </w:r>
          </w:p>
        </w:tc>
        <w:tc>
          <w:tcPr>
            <w:tcW w:w="1110" w:type="dxa"/>
            <w:tcBorders>
              <w:top w:val="nil"/>
              <w:left w:val="nil"/>
              <w:bottom w:val="nil"/>
              <w:right w:val="nil"/>
            </w:tcBorders>
            <w:shd w:val="clear" w:color="auto" w:fill="auto"/>
            <w:vAlign w:val="center"/>
          </w:tcPr>
          <w:p w14:paraId="47FEEE64">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1DDC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029BFDBF">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MDSC (%)</w:t>
            </w:r>
          </w:p>
        </w:tc>
        <w:tc>
          <w:tcPr>
            <w:tcW w:w="1463" w:type="dxa"/>
            <w:tcBorders>
              <w:top w:val="nil"/>
              <w:left w:val="nil"/>
              <w:bottom w:val="nil"/>
              <w:right w:val="nil"/>
            </w:tcBorders>
            <w:shd w:val="clear" w:color="auto" w:fill="auto"/>
            <w:vAlign w:val="center"/>
          </w:tcPr>
          <w:p w14:paraId="1AA60F43">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3.59 [2.86, 4.40]</w:t>
            </w:r>
          </w:p>
        </w:tc>
        <w:tc>
          <w:tcPr>
            <w:tcW w:w="1488" w:type="dxa"/>
            <w:tcBorders>
              <w:top w:val="nil"/>
              <w:left w:val="nil"/>
              <w:bottom w:val="nil"/>
              <w:right w:val="nil"/>
            </w:tcBorders>
            <w:shd w:val="clear" w:color="auto" w:fill="auto"/>
            <w:vAlign w:val="center"/>
          </w:tcPr>
          <w:p w14:paraId="5C992F06">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4.70 [3.84, 5.72]</w:t>
            </w:r>
          </w:p>
        </w:tc>
        <w:tc>
          <w:tcPr>
            <w:tcW w:w="750" w:type="dxa"/>
            <w:tcBorders>
              <w:top w:val="nil"/>
              <w:left w:val="nil"/>
              <w:bottom w:val="nil"/>
              <w:right w:val="nil"/>
            </w:tcBorders>
            <w:shd w:val="clear" w:color="auto" w:fill="auto"/>
            <w:vAlign w:val="center"/>
          </w:tcPr>
          <w:p w14:paraId="495EDD9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c>
          <w:tcPr>
            <w:tcW w:w="1620" w:type="dxa"/>
            <w:tcBorders>
              <w:top w:val="nil"/>
              <w:left w:val="nil"/>
              <w:bottom w:val="nil"/>
              <w:right w:val="nil"/>
            </w:tcBorders>
            <w:shd w:val="clear" w:color="auto" w:fill="auto"/>
            <w:vAlign w:val="center"/>
          </w:tcPr>
          <w:p w14:paraId="38C0051B">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3.80 [3.02, 4.76]</w:t>
            </w:r>
          </w:p>
        </w:tc>
        <w:tc>
          <w:tcPr>
            <w:tcW w:w="1476" w:type="dxa"/>
            <w:tcBorders>
              <w:top w:val="nil"/>
              <w:left w:val="nil"/>
              <w:bottom w:val="nil"/>
              <w:right w:val="nil"/>
            </w:tcBorders>
            <w:shd w:val="clear" w:color="auto" w:fill="auto"/>
            <w:vAlign w:val="center"/>
          </w:tcPr>
          <w:p w14:paraId="379A6C21">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2.86 [2.19, 3.56]</w:t>
            </w:r>
          </w:p>
        </w:tc>
        <w:tc>
          <w:tcPr>
            <w:tcW w:w="1110" w:type="dxa"/>
            <w:tcBorders>
              <w:top w:val="nil"/>
              <w:left w:val="nil"/>
              <w:bottom w:val="nil"/>
              <w:right w:val="nil"/>
            </w:tcBorders>
            <w:shd w:val="clear" w:color="auto" w:fill="auto"/>
            <w:vAlign w:val="center"/>
          </w:tcPr>
          <w:p w14:paraId="1E389298">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096C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nil"/>
              <w:right w:val="nil"/>
            </w:tcBorders>
            <w:shd w:val="clear" w:color="auto" w:fill="auto"/>
            <w:vAlign w:val="center"/>
          </w:tcPr>
          <w:p w14:paraId="3722409C">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VCAM-1 (ng/mL)</w:t>
            </w:r>
          </w:p>
        </w:tc>
        <w:tc>
          <w:tcPr>
            <w:tcW w:w="1463" w:type="dxa"/>
            <w:tcBorders>
              <w:top w:val="nil"/>
              <w:left w:val="nil"/>
              <w:bottom w:val="nil"/>
              <w:right w:val="nil"/>
            </w:tcBorders>
            <w:shd w:val="clear" w:color="auto" w:fill="auto"/>
            <w:vAlign w:val="center"/>
          </w:tcPr>
          <w:p w14:paraId="50C55A39">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887.42 [786.84, 977.87]</w:t>
            </w:r>
          </w:p>
        </w:tc>
        <w:tc>
          <w:tcPr>
            <w:tcW w:w="1488" w:type="dxa"/>
            <w:tcBorders>
              <w:top w:val="nil"/>
              <w:left w:val="nil"/>
              <w:bottom w:val="nil"/>
              <w:right w:val="nil"/>
            </w:tcBorders>
            <w:shd w:val="clear" w:color="auto" w:fill="auto"/>
            <w:vAlign w:val="center"/>
          </w:tcPr>
          <w:p w14:paraId="71E4F097">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1022.48 [909.80, 1115.28]</w:t>
            </w:r>
          </w:p>
        </w:tc>
        <w:tc>
          <w:tcPr>
            <w:tcW w:w="750" w:type="dxa"/>
            <w:tcBorders>
              <w:top w:val="nil"/>
              <w:left w:val="nil"/>
              <w:bottom w:val="nil"/>
              <w:right w:val="nil"/>
            </w:tcBorders>
            <w:shd w:val="clear" w:color="auto" w:fill="auto"/>
            <w:vAlign w:val="center"/>
          </w:tcPr>
          <w:p w14:paraId="7EBEDFE4">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c>
          <w:tcPr>
            <w:tcW w:w="1620" w:type="dxa"/>
            <w:tcBorders>
              <w:top w:val="nil"/>
              <w:left w:val="nil"/>
              <w:bottom w:val="nil"/>
              <w:right w:val="nil"/>
            </w:tcBorders>
            <w:shd w:val="clear" w:color="auto" w:fill="auto"/>
            <w:vAlign w:val="center"/>
          </w:tcPr>
          <w:p w14:paraId="68DEBEE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910.37 [816.34, 1009.65]</w:t>
            </w:r>
          </w:p>
        </w:tc>
        <w:tc>
          <w:tcPr>
            <w:tcW w:w="1476" w:type="dxa"/>
            <w:tcBorders>
              <w:top w:val="nil"/>
              <w:left w:val="nil"/>
              <w:bottom w:val="nil"/>
              <w:right w:val="nil"/>
            </w:tcBorders>
            <w:shd w:val="clear" w:color="auto" w:fill="auto"/>
            <w:vAlign w:val="center"/>
          </w:tcPr>
          <w:p w14:paraId="1751D5A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849.95 [759.50, 939.10]</w:t>
            </w:r>
          </w:p>
        </w:tc>
        <w:tc>
          <w:tcPr>
            <w:tcW w:w="1110" w:type="dxa"/>
            <w:tcBorders>
              <w:top w:val="nil"/>
              <w:left w:val="nil"/>
              <w:bottom w:val="nil"/>
              <w:right w:val="nil"/>
            </w:tcBorders>
            <w:shd w:val="clear" w:color="auto" w:fill="auto"/>
            <w:vAlign w:val="center"/>
          </w:tcPr>
          <w:p w14:paraId="3A77233F">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r w14:paraId="4413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202" w:type="dxa"/>
            <w:tcBorders>
              <w:top w:val="nil"/>
              <w:left w:val="nil"/>
              <w:bottom w:val="single" w:color="auto" w:sz="12" w:space="0"/>
              <w:right w:val="nil"/>
            </w:tcBorders>
            <w:shd w:val="clear" w:color="auto" w:fill="auto"/>
            <w:vAlign w:val="center"/>
          </w:tcPr>
          <w:p w14:paraId="7E371B0F">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cIMT (mm)</w:t>
            </w:r>
          </w:p>
        </w:tc>
        <w:tc>
          <w:tcPr>
            <w:tcW w:w="1463" w:type="dxa"/>
            <w:tcBorders>
              <w:top w:val="nil"/>
              <w:left w:val="nil"/>
              <w:bottom w:val="single" w:color="auto" w:sz="12" w:space="0"/>
              <w:right w:val="nil"/>
            </w:tcBorders>
            <w:shd w:val="clear" w:color="auto" w:fill="auto"/>
            <w:vAlign w:val="center"/>
          </w:tcPr>
          <w:p w14:paraId="17D0BECF">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0.65 [0.57, 0.73]</w:t>
            </w:r>
          </w:p>
        </w:tc>
        <w:tc>
          <w:tcPr>
            <w:tcW w:w="1488" w:type="dxa"/>
            <w:tcBorders>
              <w:top w:val="nil"/>
              <w:left w:val="nil"/>
              <w:bottom w:val="single" w:color="auto" w:sz="12" w:space="0"/>
              <w:right w:val="nil"/>
            </w:tcBorders>
            <w:shd w:val="clear" w:color="auto" w:fill="auto"/>
            <w:vAlign w:val="center"/>
          </w:tcPr>
          <w:p w14:paraId="12CDF440">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0.76 [0.68, 0.83]</w:t>
            </w:r>
          </w:p>
        </w:tc>
        <w:tc>
          <w:tcPr>
            <w:tcW w:w="750" w:type="dxa"/>
            <w:tcBorders>
              <w:top w:val="nil"/>
              <w:left w:val="nil"/>
              <w:bottom w:val="single" w:color="auto" w:sz="12" w:space="0"/>
              <w:right w:val="nil"/>
            </w:tcBorders>
            <w:shd w:val="clear" w:color="auto" w:fill="auto"/>
            <w:vAlign w:val="center"/>
          </w:tcPr>
          <w:p w14:paraId="50DE7D5D">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c>
          <w:tcPr>
            <w:tcW w:w="1620" w:type="dxa"/>
            <w:tcBorders>
              <w:top w:val="nil"/>
              <w:left w:val="nil"/>
              <w:bottom w:val="single" w:color="auto" w:sz="12" w:space="0"/>
              <w:right w:val="nil"/>
            </w:tcBorders>
            <w:shd w:val="clear" w:color="auto" w:fill="auto"/>
            <w:vAlign w:val="center"/>
          </w:tcPr>
          <w:p w14:paraId="282490E2">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0.67 [0.59, 0.76]</w:t>
            </w:r>
          </w:p>
        </w:tc>
        <w:tc>
          <w:tcPr>
            <w:tcW w:w="1476" w:type="dxa"/>
            <w:tcBorders>
              <w:top w:val="nil"/>
              <w:left w:val="nil"/>
              <w:bottom w:val="single" w:color="auto" w:sz="12" w:space="0"/>
              <w:right w:val="nil"/>
            </w:tcBorders>
            <w:shd w:val="clear" w:color="auto" w:fill="auto"/>
            <w:vAlign w:val="center"/>
          </w:tcPr>
          <w:p w14:paraId="4DCC9779">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0.62 [0.55, 0.72]</w:t>
            </w:r>
          </w:p>
        </w:tc>
        <w:tc>
          <w:tcPr>
            <w:tcW w:w="1110" w:type="dxa"/>
            <w:tcBorders>
              <w:top w:val="nil"/>
              <w:left w:val="nil"/>
              <w:bottom w:val="single" w:color="auto" w:sz="12" w:space="0"/>
              <w:right w:val="nil"/>
            </w:tcBorders>
            <w:shd w:val="clear" w:color="auto" w:fill="auto"/>
            <w:vAlign w:val="center"/>
          </w:tcPr>
          <w:p w14:paraId="5730DE54">
            <w:pPr>
              <w:keepNext w:val="0"/>
              <w:keepLines w:val="0"/>
              <w:widowControl/>
              <w:suppressLineNumbers w:val="0"/>
              <w:snapToGrid w:val="0"/>
              <w:jc w:val="left"/>
              <w:rPr>
                <w:rFonts w:hint="default" w:ascii="Times New Roman" w:hAnsi="Times New Roman" w:cs="Times New Roman" w:eastAsiaTheme="minorEastAsia"/>
                <w:kern w:val="2"/>
                <w:sz w:val="18"/>
                <w:szCs w:val="18"/>
                <w:lang w:val="en-US" w:eastAsia="zh-CN" w:bidi="ar-SA"/>
              </w:rPr>
            </w:pPr>
            <w:r>
              <w:rPr>
                <w:rFonts w:hint="default" w:ascii="Times New Roman" w:hAnsi="Times New Roman" w:eastAsia="宋体" w:cs="Times New Roman"/>
                <w:kern w:val="0"/>
                <w:sz w:val="18"/>
                <w:szCs w:val="18"/>
                <w:lang w:val="en-US" w:eastAsia="zh-CN" w:bidi="ar"/>
              </w:rPr>
              <w:t>&lt;0.001</w:t>
            </w:r>
          </w:p>
        </w:tc>
      </w:tr>
    </w:tbl>
    <w:p w14:paraId="34B5A44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1"/>
          <w:szCs w:val="21"/>
          <w:lang w:val="en-US" w:eastAsia="zh-CN"/>
        </w:rPr>
      </w:pPr>
    </w:p>
    <w:p w14:paraId="32F5FE6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b/>
          <w:bCs/>
          <w:sz w:val="21"/>
          <w:szCs w:val="21"/>
          <w:lang w:val="en-US" w:eastAsia="zh-CN"/>
        </w:rPr>
        <w:t>Table S2. Sensitivity analyses: robustness of the associations between key inflammatory/immune/endothelial markers and atherosclerosis.</w:t>
      </w:r>
    </w:p>
    <w:tbl>
      <w:tblPr>
        <w:tblStyle w:val="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503"/>
        <w:gridCol w:w="1869"/>
        <w:gridCol w:w="1892"/>
        <w:gridCol w:w="1911"/>
      </w:tblGrid>
      <w:tr w14:paraId="67C3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47" w:type="dxa"/>
            <w:tcBorders>
              <w:top w:val="single" w:color="auto" w:sz="12" w:space="0"/>
              <w:left w:val="nil"/>
              <w:bottom w:val="single" w:color="auto" w:sz="4" w:space="0"/>
              <w:right w:val="nil"/>
            </w:tcBorders>
            <w:shd w:val="clear" w:color="auto" w:fill="auto"/>
            <w:vAlign w:val="center"/>
          </w:tcPr>
          <w:p w14:paraId="48D15B44">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0"/>
                <w:sz w:val="18"/>
                <w:szCs w:val="18"/>
                <w:lang w:val="en-US" w:eastAsia="zh-CN" w:bidi="ar"/>
              </w:rPr>
            </w:pPr>
            <w:r>
              <w:rPr>
                <w:rFonts w:hint="default" w:ascii="Times New Roman" w:hAnsi="Times New Roman" w:eastAsia="宋体" w:cs="Times New Roman"/>
                <w:b/>
                <w:bCs/>
                <w:kern w:val="0"/>
                <w:sz w:val="18"/>
                <w:szCs w:val="18"/>
                <w:lang w:val="en-US" w:eastAsia="zh-CN" w:bidi="ar"/>
              </w:rPr>
              <w:t xml:space="preserve">Marker </w:t>
            </w:r>
          </w:p>
          <w:p w14:paraId="3BF5F0D8">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(per SD)</w:t>
            </w:r>
          </w:p>
        </w:tc>
        <w:tc>
          <w:tcPr>
            <w:tcW w:w="1503" w:type="dxa"/>
            <w:tcBorders>
              <w:top w:val="single" w:color="auto" w:sz="12" w:space="0"/>
              <w:left w:val="nil"/>
              <w:bottom w:val="single" w:color="auto" w:sz="4" w:space="0"/>
              <w:right w:val="nil"/>
            </w:tcBorders>
            <w:shd w:val="clear" w:color="auto" w:fill="auto"/>
            <w:vAlign w:val="center"/>
          </w:tcPr>
          <w:p w14:paraId="2B351275">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Primary</w:t>
            </w:r>
          </w:p>
        </w:tc>
        <w:tc>
          <w:tcPr>
            <w:tcW w:w="1869" w:type="dxa"/>
            <w:tcBorders>
              <w:top w:val="single" w:color="auto" w:sz="12" w:space="0"/>
              <w:left w:val="nil"/>
              <w:bottom w:val="single" w:color="auto" w:sz="4" w:space="0"/>
              <w:right w:val="nil"/>
            </w:tcBorders>
            <w:shd w:val="clear" w:color="auto" w:fill="auto"/>
            <w:vAlign w:val="center"/>
          </w:tcPr>
          <w:p w14:paraId="00C6E3DA">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Sensitivity 1</w:t>
            </w:r>
          </w:p>
        </w:tc>
        <w:tc>
          <w:tcPr>
            <w:tcW w:w="1892" w:type="dxa"/>
            <w:tcBorders>
              <w:top w:val="single" w:color="auto" w:sz="12" w:space="0"/>
              <w:left w:val="nil"/>
              <w:bottom w:val="single" w:color="auto" w:sz="4" w:space="0"/>
              <w:right w:val="nil"/>
            </w:tcBorders>
            <w:shd w:val="clear" w:color="auto" w:fill="auto"/>
            <w:vAlign w:val="center"/>
          </w:tcPr>
          <w:p w14:paraId="3F56FF56">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Sensitivity 2</w:t>
            </w:r>
          </w:p>
        </w:tc>
        <w:tc>
          <w:tcPr>
            <w:tcW w:w="1911" w:type="dxa"/>
            <w:tcBorders>
              <w:top w:val="single" w:color="auto" w:sz="12" w:space="0"/>
              <w:left w:val="nil"/>
              <w:bottom w:val="single" w:color="auto" w:sz="4" w:space="0"/>
              <w:right w:val="nil"/>
            </w:tcBorders>
            <w:shd w:val="clear" w:color="auto" w:fill="auto"/>
            <w:vAlign w:val="center"/>
          </w:tcPr>
          <w:p w14:paraId="7390F0F1">
            <w:pPr>
              <w:keepNext/>
              <w:keepLines w:val="0"/>
              <w:widowControl/>
              <w:suppressLineNumbers w:val="0"/>
              <w:snapToGrid w:val="0"/>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default" w:ascii="Times New Roman" w:hAnsi="Times New Roman" w:eastAsia="宋体" w:cs="Times New Roman"/>
                <w:b/>
                <w:bCs/>
                <w:kern w:val="0"/>
                <w:sz w:val="18"/>
                <w:szCs w:val="18"/>
                <w:lang w:val="en-US" w:eastAsia="zh-CN" w:bidi="ar"/>
              </w:rPr>
              <w:t>Sensitivity 3</w:t>
            </w:r>
          </w:p>
        </w:tc>
      </w:tr>
      <w:tr w14:paraId="6BFB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single" w:color="auto" w:sz="4" w:space="0"/>
              <w:left w:val="nil"/>
              <w:bottom w:val="nil"/>
              <w:right w:val="nil"/>
            </w:tcBorders>
            <w:shd w:val="clear" w:color="auto" w:fill="auto"/>
            <w:vAlign w:val="center"/>
          </w:tcPr>
          <w:p w14:paraId="5AD70FAD">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hsCRP</w:t>
            </w:r>
          </w:p>
        </w:tc>
        <w:tc>
          <w:tcPr>
            <w:tcW w:w="1503" w:type="dxa"/>
            <w:tcBorders>
              <w:top w:val="single" w:color="auto" w:sz="4" w:space="0"/>
              <w:left w:val="nil"/>
              <w:bottom w:val="nil"/>
              <w:right w:val="nil"/>
            </w:tcBorders>
            <w:shd w:val="clear" w:color="auto" w:fill="auto"/>
            <w:vAlign w:val="center"/>
          </w:tcPr>
          <w:p w14:paraId="0A026096">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1.44 (1.09–1.92); P=0.011</w:t>
            </w:r>
          </w:p>
        </w:tc>
        <w:tc>
          <w:tcPr>
            <w:tcW w:w="1869" w:type="dxa"/>
            <w:tcBorders>
              <w:top w:val="single" w:color="auto" w:sz="4" w:space="0"/>
              <w:left w:val="nil"/>
              <w:bottom w:val="nil"/>
              <w:right w:val="nil"/>
            </w:tcBorders>
            <w:shd w:val="clear" w:color="auto" w:fill="auto"/>
            <w:vAlign w:val="center"/>
          </w:tcPr>
          <w:p w14:paraId="44A4590A">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1.50 (1.15–1.95); P=0.003</w:t>
            </w:r>
          </w:p>
        </w:tc>
        <w:tc>
          <w:tcPr>
            <w:tcW w:w="1892" w:type="dxa"/>
            <w:tcBorders>
              <w:top w:val="single" w:color="auto" w:sz="4" w:space="0"/>
              <w:left w:val="nil"/>
              <w:bottom w:val="nil"/>
              <w:right w:val="nil"/>
            </w:tcBorders>
            <w:shd w:val="clear" w:color="auto" w:fill="auto"/>
            <w:vAlign w:val="center"/>
          </w:tcPr>
          <w:p w14:paraId="0887DD1F">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1.44 (1.09–1.92); P=0.011</w:t>
            </w:r>
          </w:p>
        </w:tc>
        <w:tc>
          <w:tcPr>
            <w:tcW w:w="1911" w:type="dxa"/>
            <w:tcBorders>
              <w:top w:val="single" w:color="auto" w:sz="4" w:space="0"/>
              <w:left w:val="nil"/>
              <w:bottom w:val="nil"/>
              <w:right w:val="nil"/>
            </w:tcBorders>
            <w:shd w:val="clear" w:color="auto" w:fill="auto"/>
            <w:vAlign w:val="center"/>
          </w:tcPr>
          <w:p w14:paraId="7D371ACB">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1.66 (1.03–2.70); P=0.039</w:t>
            </w:r>
          </w:p>
        </w:tc>
      </w:tr>
      <w:tr w14:paraId="1A8C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nil"/>
              <w:left w:val="nil"/>
              <w:bottom w:val="nil"/>
              <w:right w:val="nil"/>
            </w:tcBorders>
            <w:shd w:val="clear" w:color="auto" w:fill="auto"/>
            <w:vAlign w:val="center"/>
          </w:tcPr>
          <w:p w14:paraId="5BD31F73">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IL</w:t>
            </w:r>
            <w:r>
              <w:rPr>
                <w:rFonts w:hint="default" w:ascii="Times New Roman" w:hAnsi="Times New Roman" w:eastAsia="宋体" w:cs="Times New Roman"/>
                <w:kern w:val="0"/>
                <w:sz w:val="18"/>
                <w:szCs w:val="18"/>
                <w:lang w:val="en-US" w:eastAsia="zh-CN" w:bidi="ar"/>
              </w:rPr>
              <w:noBreakHyphen/>
            </w:r>
            <w:r>
              <w:rPr>
                <w:rFonts w:hint="default" w:ascii="Times New Roman" w:hAnsi="Times New Roman" w:eastAsia="宋体" w:cs="Times New Roman"/>
                <w:kern w:val="0"/>
                <w:sz w:val="18"/>
                <w:szCs w:val="18"/>
                <w:lang w:val="en-US" w:eastAsia="zh-CN" w:bidi="ar"/>
              </w:rPr>
              <w:t>6</w:t>
            </w:r>
          </w:p>
        </w:tc>
        <w:tc>
          <w:tcPr>
            <w:tcW w:w="1503" w:type="dxa"/>
            <w:tcBorders>
              <w:top w:val="nil"/>
              <w:left w:val="nil"/>
              <w:bottom w:val="nil"/>
              <w:right w:val="nil"/>
            </w:tcBorders>
            <w:shd w:val="clear" w:color="auto" w:fill="auto"/>
            <w:vAlign w:val="center"/>
          </w:tcPr>
          <w:p w14:paraId="7605E150">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1.31 (1.00–1.72); P=0.053</w:t>
            </w:r>
          </w:p>
        </w:tc>
        <w:tc>
          <w:tcPr>
            <w:tcW w:w="1869" w:type="dxa"/>
            <w:tcBorders>
              <w:top w:val="nil"/>
              <w:left w:val="nil"/>
              <w:bottom w:val="nil"/>
              <w:right w:val="nil"/>
            </w:tcBorders>
            <w:shd w:val="clear" w:color="auto" w:fill="auto"/>
            <w:vAlign w:val="center"/>
          </w:tcPr>
          <w:p w14:paraId="6EF76663">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1.47 (1.16–1.87); P=0.002</w:t>
            </w:r>
          </w:p>
        </w:tc>
        <w:tc>
          <w:tcPr>
            <w:tcW w:w="1892" w:type="dxa"/>
            <w:tcBorders>
              <w:top w:val="nil"/>
              <w:left w:val="nil"/>
              <w:bottom w:val="nil"/>
              <w:right w:val="nil"/>
            </w:tcBorders>
            <w:shd w:val="clear" w:color="auto" w:fill="auto"/>
            <w:vAlign w:val="center"/>
          </w:tcPr>
          <w:p w14:paraId="2EC7BC0F">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1.31 (1.00–1.72); P=0.053</w:t>
            </w:r>
          </w:p>
        </w:tc>
        <w:tc>
          <w:tcPr>
            <w:tcW w:w="1911" w:type="dxa"/>
            <w:tcBorders>
              <w:top w:val="nil"/>
              <w:left w:val="nil"/>
              <w:bottom w:val="nil"/>
              <w:right w:val="nil"/>
            </w:tcBorders>
            <w:shd w:val="clear" w:color="auto" w:fill="auto"/>
            <w:vAlign w:val="center"/>
          </w:tcPr>
          <w:p w14:paraId="4E7BE294">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1.45 (0.93–2.25); P=0.100</w:t>
            </w:r>
          </w:p>
        </w:tc>
      </w:tr>
      <w:tr w14:paraId="0A95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nil"/>
              <w:left w:val="nil"/>
              <w:bottom w:val="nil"/>
              <w:right w:val="nil"/>
            </w:tcBorders>
            <w:shd w:val="clear" w:color="auto" w:fill="auto"/>
            <w:vAlign w:val="center"/>
          </w:tcPr>
          <w:p w14:paraId="4F0D0239">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MHR</w:t>
            </w:r>
          </w:p>
        </w:tc>
        <w:tc>
          <w:tcPr>
            <w:tcW w:w="1503" w:type="dxa"/>
            <w:tcBorders>
              <w:top w:val="nil"/>
              <w:left w:val="nil"/>
              <w:bottom w:val="nil"/>
              <w:right w:val="nil"/>
            </w:tcBorders>
            <w:shd w:val="clear" w:color="auto" w:fill="auto"/>
            <w:vAlign w:val="center"/>
          </w:tcPr>
          <w:p w14:paraId="6D41BD70">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1.33 (1.00–1.77); P=0.047</w:t>
            </w:r>
          </w:p>
        </w:tc>
        <w:tc>
          <w:tcPr>
            <w:tcW w:w="1869" w:type="dxa"/>
            <w:tcBorders>
              <w:top w:val="nil"/>
              <w:left w:val="nil"/>
              <w:bottom w:val="nil"/>
              <w:right w:val="nil"/>
            </w:tcBorders>
            <w:shd w:val="clear" w:color="auto" w:fill="auto"/>
            <w:vAlign w:val="center"/>
          </w:tcPr>
          <w:p w14:paraId="25E714B2">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1.28 (0.98–1.66); P=0.070</w:t>
            </w:r>
          </w:p>
        </w:tc>
        <w:tc>
          <w:tcPr>
            <w:tcW w:w="1892" w:type="dxa"/>
            <w:tcBorders>
              <w:top w:val="nil"/>
              <w:left w:val="nil"/>
              <w:bottom w:val="nil"/>
              <w:right w:val="nil"/>
            </w:tcBorders>
            <w:shd w:val="clear" w:color="auto" w:fill="auto"/>
            <w:vAlign w:val="center"/>
          </w:tcPr>
          <w:p w14:paraId="3C9B19A5">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1.33 (1.00–1.77); P=0.047</w:t>
            </w:r>
          </w:p>
        </w:tc>
        <w:tc>
          <w:tcPr>
            <w:tcW w:w="1911" w:type="dxa"/>
            <w:tcBorders>
              <w:top w:val="nil"/>
              <w:left w:val="nil"/>
              <w:bottom w:val="nil"/>
              <w:right w:val="nil"/>
            </w:tcBorders>
            <w:shd w:val="clear" w:color="auto" w:fill="auto"/>
            <w:vAlign w:val="center"/>
          </w:tcPr>
          <w:p w14:paraId="0DBC3D9C">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1.41 (0.90–2.21); P=0.130</w:t>
            </w:r>
          </w:p>
        </w:tc>
      </w:tr>
      <w:tr w14:paraId="7618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nil"/>
              <w:left w:val="nil"/>
              <w:bottom w:val="nil"/>
              <w:right w:val="nil"/>
            </w:tcBorders>
            <w:shd w:val="clear" w:color="auto" w:fill="auto"/>
            <w:vAlign w:val="center"/>
          </w:tcPr>
          <w:p w14:paraId="3496C986">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Treg (%)</w:t>
            </w:r>
          </w:p>
        </w:tc>
        <w:tc>
          <w:tcPr>
            <w:tcW w:w="1503" w:type="dxa"/>
            <w:tcBorders>
              <w:top w:val="nil"/>
              <w:left w:val="nil"/>
              <w:bottom w:val="nil"/>
              <w:right w:val="nil"/>
            </w:tcBorders>
            <w:shd w:val="clear" w:color="auto" w:fill="auto"/>
            <w:vAlign w:val="center"/>
          </w:tcPr>
          <w:p w14:paraId="36E090B8">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1.46 (1.07–2.00); P=0.017</w:t>
            </w:r>
          </w:p>
        </w:tc>
        <w:tc>
          <w:tcPr>
            <w:tcW w:w="1869" w:type="dxa"/>
            <w:tcBorders>
              <w:top w:val="nil"/>
              <w:left w:val="nil"/>
              <w:bottom w:val="nil"/>
              <w:right w:val="nil"/>
            </w:tcBorders>
            <w:shd w:val="clear" w:color="auto" w:fill="auto"/>
            <w:vAlign w:val="center"/>
          </w:tcPr>
          <w:p w14:paraId="62F79E85">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1.80 (1.37–2.38); P&lt;0.001</w:t>
            </w:r>
          </w:p>
        </w:tc>
        <w:tc>
          <w:tcPr>
            <w:tcW w:w="1892" w:type="dxa"/>
            <w:tcBorders>
              <w:top w:val="nil"/>
              <w:left w:val="nil"/>
              <w:bottom w:val="nil"/>
              <w:right w:val="nil"/>
            </w:tcBorders>
            <w:shd w:val="clear" w:color="auto" w:fill="auto"/>
            <w:vAlign w:val="center"/>
          </w:tcPr>
          <w:p w14:paraId="7619A829">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1.46 (1.07–2.00); P=0.017</w:t>
            </w:r>
          </w:p>
        </w:tc>
        <w:tc>
          <w:tcPr>
            <w:tcW w:w="1911" w:type="dxa"/>
            <w:tcBorders>
              <w:top w:val="nil"/>
              <w:left w:val="nil"/>
              <w:bottom w:val="nil"/>
              <w:right w:val="nil"/>
            </w:tcBorders>
            <w:shd w:val="clear" w:color="auto" w:fill="auto"/>
            <w:vAlign w:val="center"/>
          </w:tcPr>
          <w:p w14:paraId="2133E85E">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1.59 (0.93–2.71); P=0.091</w:t>
            </w:r>
          </w:p>
        </w:tc>
      </w:tr>
      <w:tr w14:paraId="2ADB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nil"/>
              <w:left w:val="nil"/>
              <w:bottom w:val="nil"/>
              <w:right w:val="nil"/>
            </w:tcBorders>
            <w:shd w:val="clear" w:color="auto" w:fill="auto"/>
            <w:vAlign w:val="center"/>
          </w:tcPr>
          <w:p w14:paraId="1A4591A8">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NK (%)</w:t>
            </w:r>
          </w:p>
        </w:tc>
        <w:tc>
          <w:tcPr>
            <w:tcW w:w="1503" w:type="dxa"/>
            <w:tcBorders>
              <w:top w:val="nil"/>
              <w:left w:val="nil"/>
              <w:bottom w:val="nil"/>
              <w:right w:val="nil"/>
            </w:tcBorders>
            <w:shd w:val="clear" w:color="auto" w:fill="auto"/>
            <w:vAlign w:val="center"/>
          </w:tcPr>
          <w:p w14:paraId="74EEA78B">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0.69 (0.52–0.92); P=0.011</w:t>
            </w:r>
          </w:p>
        </w:tc>
        <w:tc>
          <w:tcPr>
            <w:tcW w:w="1869" w:type="dxa"/>
            <w:tcBorders>
              <w:top w:val="nil"/>
              <w:left w:val="nil"/>
              <w:bottom w:val="nil"/>
              <w:right w:val="nil"/>
            </w:tcBorders>
            <w:shd w:val="clear" w:color="auto" w:fill="auto"/>
            <w:vAlign w:val="center"/>
          </w:tcPr>
          <w:p w14:paraId="708E4366">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0.62 (0.48–0.81); P&lt;0.001</w:t>
            </w:r>
          </w:p>
        </w:tc>
        <w:tc>
          <w:tcPr>
            <w:tcW w:w="1892" w:type="dxa"/>
            <w:tcBorders>
              <w:top w:val="nil"/>
              <w:left w:val="nil"/>
              <w:bottom w:val="nil"/>
              <w:right w:val="nil"/>
            </w:tcBorders>
            <w:shd w:val="clear" w:color="auto" w:fill="auto"/>
            <w:vAlign w:val="center"/>
          </w:tcPr>
          <w:p w14:paraId="027634BF">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0.69 (0.52–0.92); P=0.011</w:t>
            </w:r>
          </w:p>
        </w:tc>
        <w:tc>
          <w:tcPr>
            <w:tcW w:w="1911" w:type="dxa"/>
            <w:tcBorders>
              <w:top w:val="nil"/>
              <w:left w:val="nil"/>
              <w:bottom w:val="nil"/>
              <w:right w:val="nil"/>
            </w:tcBorders>
            <w:shd w:val="clear" w:color="auto" w:fill="auto"/>
            <w:vAlign w:val="center"/>
          </w:tcPr>
          <w:p w14:paraId="71B00C1A">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0.56 (0.37–0.87); P=0.010</w:t>
            </w:r>
          </w:p>
        </w:tc>
      </w:tr>
      <w:tr w14:paraId="169F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47" w:type="dxa"/>
            <w:tcBorders>
              <w:top w:val="nil"/>
              <w:left w:val="nil"/>
              <w:bottom w:val="single" w:color="auto" w:sz="4" w:space="0"/>
              <w:right w:val="nil"/>
            </w:tcBorders>
            <w:shd w:val="clear" w:color="auto" w:fill="auto"/>
            <w:vAlign w:val="center"/>
          </w:tcPr>
          <w:p w14:paraId="398D12D3">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VCAM</w:t>
            </w:r>
            <w:r>
              <w:rPr>
                <w:rFonts w:hint="default" w:ascii="Times New Roman" w:hAnsi="Times New Roman" w:eastAsia="宋体" w:cs="Times New Roman"/>
                <w:kern w:val="0"/>
                <w:sz w:val="18"/>
                <w:szCs w:val="18"/>
                <w:lang w:val="en-US" w:eastAsia="zh-CN" w:bidi="ar"/>
              </w:rPr>
              <w:noBreakHyphen/>
            </w:r>
            <w:r>
              <w:rPr>
                <w:rFonts w:hint="default" w:ascii="Times New Roman" w:hAnsi="Times New Roman" w:eastAsia="宋体" w:cs="Times New Roman"/>
                <w:kern w:val="0"/>
                <w:sz w:val="18"/>
                <w:szCs w:val="18"/>
                <w:lang w:val="en-US" w:eastAsia="zh-CN" w:bidi="ar"/>
              </w:rPr>
              <w:t>1</w:t>
            </w:r>
          </w:p>
        </w:tc>
        <w:tc>
          <w:tcPr>
            <w:tcW w:w="1503" w:type="dxa"/>
            <w:tcBorders>
              <w:top w:val="nil"/>
              <w:left w:val="nil"/>
              <w:bottom w:val="single" w:color="auto" w:sz="4" w:space="0"/>
              <w:right w:val="nil"/>
            </w:tcBorders>
            <w:shd w:val="clear" w:color="auto" w:fill="auto"/>
            <w:vAlign w:val="center"/>
          </w:tcPr>
          <w:p w14:paraId="2CA29B55">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2.58 (1.82–3.64); P&lt;0.001</w:t>
            </w:r>
          </w:p>
        </w:tc>
        <w:tc>
          <w:tcPr>
            <w:tcW w:w="1869" w:type="dxa"/>
            <w:tcBorders>
              <w:top w:val="nil"/>
              <w:left w:val="nil"/>
              <w:bottom w:val="single" w:color="auto" w:sz="4" w:space="0"/>
              <w:right w:val="nil"/>
            </w:tcBorders>
            <w:shd w:val="clear" w:color="auto" w:fill="auto"/>
            <w:vAlign w:val="center"/>
          </w:tcPr>
          <w:p w14:paraId="44E60D11">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2.54 (1.87–3.44); P&lt;0.001</w:t>
            </w:r>
          </w:p>
        </w:tc>
        <w:tc>
          <w:tcPr>
            <w:tcW w:w="1892" w:type="dxa"/>
            <w:tcBorders>
              <w:top w:val="nil"/>
              <w:left w:val="nil"/>
              <w:bottom w:val="single" w:color="auto" w:sz="4" w:space="0"/>
              <w:right w:val="nil"/>
            </w:tcBorders>
            <w:shd w:val="clear" w:color="auto" w:fill="auto"/>
            <w:vAlign w:val="center"/>
          </w:tcPr>
          <w:p w14:paraId="3BAABAA2">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2.58 (1.82–3.64); P&lt;0.001</w:t>
            </w:r>
          </w:p>
        </w:tc>
        <w:tc>
          <w:tcPr>
            <w:tcW w:w="1911" w:type="dxa"/>
            <w:tcBorders>
              <w:top w:val="nil"/>
              <w:left w:val="nil"/>
              <w:bottom w:val="single" w:color="auto" w:sz="4" w:space="0"/>
              <w:right w:val="nil"/>
            </w:tcBorders>
            <w:shd w:val="clear" w:color="auto" w:fill="auto"/>
            <w:vAlign w:val="center"/>
          </w:tcPr>
          <w:p w14:paraId="62EACB6E">
            <w:pPr>
              <w:keepNext/>
              <w:keepLines w:val="0"/>
              <w:widowControl/>
              <w:suppressLineNumbers w:val="0"/>
              <w:snapToGrid w:val="0"/>
              <w:ind w:left="0" w:leftChars="0" w:right="0" w:rightChars="0" w:firstLine="0" w:firstLineChars="0"/>
              <w:jc w:val="left"/>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0"/>
                <w:sz w:val="18"/>
                <w:szCs w:val="18"/>
                <w:lang w:val="en-US" w:eastAsia="zh-CN" w:bidi="ar"/>
              </w:rPr>
              <w:t>3.32 (1.91–5.79); P&lt;0.001</w:t>
            </w:r>
          </w:p>
        </w:tc>
      </w:tr>
    </w:tbl>
    <w:p w14:paraId="568BF68C">
      <w:pPr>
        <w:keepNext/>
        <w:keepLines w:val="0"/>
        <w:widowControl/>
        <w:suppressLineNumbers w:val="0"/>
        <w:snapToGrid w:val="0"/>
        <w:ind w:left="0" w:leftChars="0" w:right="0" w:rightChars="0" w:firstLine="0" w:firstLineChars="0"/>
        <w:jc w:val="both"/>
        <w:rPr>
          <w:rFonts w:hint="default" w:ascii="Times New Roman" w:hAnsi="Times New Roman" w:eastAsia="宋体" w:cs="Times New Roman"/>
          <w:kern w:val="0"/>
          <w:sz w:val="18"/>
          <w:szCs w:val="18"/>
          <w:lang w:bidi="ar"/>
        </w:rPr>
      </w:pPr>
      <w:r>
        <w:rPr>
          <w:rFonts w:hint="default" w:ascii="Times New Roman" w:hAnsi="Times New Roman" w:eastAsia="宋体" w:cs="Times New Roman"/>
          <w:kern w:val="0"/>
          <w:sz w:val="18"/>
          <w:szCs w:val="18"/>
          <w:lang w:bidi="ar"/>
        </w:rPr>
        <w:t>Note. Primary analysis: cancer cohort; outcome = atherosclerosis; Model 3 (fully adjusted).</w:t>
      </w:r>
    </w:p>
    <w:p w14:paraId="35A9BAF7">
      <w:pPr>
        <w:keepNext/>
        <w:keepLines w:val="0"/>
        <w:widowControl/>
        <w:suppressLineNumbers w:val="0"/>
        <w:snapToGrid w:val="0"/>
        <w:ind w:left="0" w:leftChars="0" w:right="0" w:rightChars="0" w:firstLine="0" w:firstLineChars="0"/>
        <w:jc w:val="both"/>
        <w:rPr>
          <w:rFonts w:hint="default" w:ascii="Times New Roman" w:hAnsi="Times New Roman" w:eastAsia="宋体" w:cs="Times New Roman"/>
          <w:kern w:val="0"/>
          <w:sz w:val="18"/>
          <w:szCs w:val="18"/>
          <w:lang w:bidi="ar"/>
        </w:rPr>
      </w:pPr>
      <w:r>
        <w:rPr>
          <w:rFonts w:hint="default" w:ascii="Times New Roman" w:hAnsi="Times New Roman" w:eastAsia="宋体" w:cs="Times New Roman"/>
          <w:kern w:val="0"/>
          <w:sz w:val="18"/>
          <w:szCs w:val="18"/>
          <w:lang w:bidi="ar"/>
        </w:rPr>
        <w:t>Sensitivity 1: full cohort (cancer + controls); outcome = atherosclerosis; adjusted for clinical risk factors and medications, with additional adjustment for group.</w:t>
      </w:r>
    </w:p>
    <w:p w14:paraId="04F43780">
      <w:pPr>
        <w:keepNext/>
        <w:keepLines w:val="0"/>
        <w:widowControl/>
        <w:suppressLineNumbers w:val="0"/>
        <w:snapToGrid w:val="0"/>
        <w:ind w:left="0" w:leftChars="0" w:right="0" w:rightChars="0" w:firstLine="0" w:firstLineChars="0"/>
        <w:jc w:val="both"/>
        <w:rPr>
          <w:rFonts w:hint="default" w:ascii="Times New Roman" w:hAnsi="Times New Roman" w:eastAsia="宋体" w:cs="Times New Roman"/>
          <w:kern w:val="0"/>
          <w:sz w:val="18"/>
          <w:szCs w:val="18"/>
          <w:lang w:bidi="ar"/>
        </w:rPr>
      </w:pPr>
      <w:r>
        <w:rPr>
          <w:rFonts w:hint="default" w:ascii="Times New Roman" w:hAnsi="Times New Roman" w:eastAsia="宋体" w:cs="Times New Roman"/>
          <w:kern w:val="0"/>
          <w:sz w:val="18"/>
          <w:szCs w:val="18"/>
          <w:lang w:bidi="ar"/>
        </w:rPr>
        <w:t>Sensitivity 2: cancer cohort; outcome = PlaquePresence (identical to atherosclerosis in this dataset).</w:t>
      </w:r>
    </w:p>
    <w:p w14:paraId="489140D7">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18"/>
          <w:szCs w:val="18"/>
          <w:lang w:bidi="ar"/>
        </w:rPr>
        <w:t>Sensitivity 3: cancer cohort excluding participants with hypertension or diabetes; outcome = atherosclerosis; same adjustment strategy.</w:t>
      </w:r>
    </w:p>
    <w:p w14:paraId="4CE29AC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1"/>
          <w:szCs w:val="21"/>
          <w:lang w:val="en-US" w:eastAsia="zh-CN"/>
        </w:rPr>
      </w:pP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16C82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6E140D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1"/>
                <w:szCs w:val="21"/>
                <w:vertAlign w:val="baseline"/>
                <w:lang w:val="en-US" w:eastAsia="zh-CN"/>
              </w:rPr>
            </w:pPr>
            <w:bookmarkStart w:id="0" w:name="_GoBack"/>
            <w:r>
              <w:rPr>
                <w:rFonts w:hint="default" w:ascii="Times New Roman" w:hAnsi="Times New Roman" w:eastAsia="宋体" w:cs="Times New Roman"/>
                <w:sz w:val="21"/>
                <w:szCs w:val="21"/>
                <w:vertAlign w:val="baseline"/>
                <w:lang w:val="en-US" w:eastAsia="zh-CN"/>
              </w:rPr>
              <w:drawing>
                <wp:inline distT="0" distB="0" distL="114300" distR="114300">
                  <wp:extent cx="5266690" cy="3072130"/>
                  <wp:effectExtent l="0" t="0" r="6350" b="6350"/>
                  <wp:docPr id="12" name="图片 12" descr="FigureS2_subgroup_forest_VC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S2_subgroup_forest_VCAM1"/>
                          <pic:cNvPicPr>
                            <a:picLocks noChangeAspect="1"/>
                          </pic:cNvPicPr>
                        </pic:nvPicPr>
                        <pic:blipFill>
                          <a:blip r:embed="rId4"/>
                          <a:stretch>
                            <a:fillRect/>
                          </a:stretch>
                        </pic:blipFill>
                        <pic:spPr>
                          <a:xfrm>
                            <a:off x="0" y="0"/>
                            <a:ext cx="5266690" cy="3072130"/>
                          </a:xfrm>
                          <a:prstGeom prst="rect">
                            <a:avLst/>
                          </a:prstGeom>
                        </pic:spPr>
                      </pic:pic>
                    </a:graphicData>
                  </a:graphic>
                </wp:inline>
              </w:drawing>
            </w:r>
          </w:p>
        </w:tc>
      </w:tr>
      <w:tr w14:paraId="7AD48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tcPr>
          <w:p w14:paraId="251D956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Figure S</w:t>
            </w:r>
            <w:r>
              <w:rPr>
                <w:rFonts w:hint="eastAsia" w:ascii="Times New Roman" w:hAnsi="Times New Roman" w:eastAsia="宋体" w:cs="Times New Roman"/>
                <w:b/>
                <w:bCs/>
                <w:sz w:val="21"/>
                <w:szCs w:val="21"/>
                <w:vertAlign w:val="baseline"/>
                <w:lang w:val="en-US" w:eastAsia="zh-CN"/>
              </w:rPr>
              <w:t>1</w:t>
            </w:r>
            <w:r>
              <w:rPr>
                <w:rFonts w:hint="default" w:ascii="Times New Roman" w:hAnsi="Times New Roman" w:eastAsia="宋体" w:cs="Times New Roman"/>
                <w:b/>
                <w:bCs/>
                <w:sz w:val="21"/>
                <w:szCs w:val="21"/>
                <w:vertAlign w:val="baseline"/>
                <w:lang w:val="en-US" w:eastAsia="zh-CN"/>
              </w:rPr>
              <w:t>. Subgroup analyses of the association between VCAM‑1 and imaging-defined atherosclerosis in the cancer cohort.</w:t>
            </w:r>
          </w:p>
          <w:p w14:paraId="49C7FD5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1"/>
                <w:szCs w:val="21"/>
                <w:vertAlign w:val="baseline"/>
                <w:lang w:val="en-US" w:eastAsia="zh-CN"/>
              </w:rPr>
            </w:pPr>
            <w:r>
              <w:rPr>
                <w:rFonts w:hint="default" w:ascii="Times New Roman" w:hAnsi="Times New Roman" w:eastAsia="宋体" w:cs="Times New Roman"/>
                <w:sz w:val="18"/>
                <w:szCs w:val="18"/>
                <w:vertAlign w:val="baseline"/>
                <w:lang w:val="en-US" w:eastAsia="zh-CN"/>
              </w:rPr>
              <w:t>Forest plot shows adjusted odds ratios (ORs) and 95% confidence intervals (CIs) for atherosclerosis per 1‑SD increase in VCAM‑1 within prespecified subgroups (tumor type, stage, chemotherapy, radiotherapy, and statin use). Models were adjusted for age, BMI, smoking, hypertension, diabetes, LDL‑C, HDL‑C, triglycerides, statin use, aspirin use, tumor type, advanced stage, chemotherapy, and radiotherapy; the stratifying variable was omitted from the corresponding subgroup-specific model. P-interaction values were obtained by adding an interaction term between VCAM‑1 and the subgroup variable in the fully adjusted model.</w:t>
            </w:r>
          </w:p>
        </w:tc>
      </w:tr>
      <w:bookmarkEnd w:id="0"/>
    </w:tbl>
    <w:p w14:paraId="7010983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930D19"/>
    <w:rsid w:val="32930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2026-01-09T06:54:00Z</dcterms:created>
  <dc:creator>钦</dc:creator>
  <cp:lastModifiedBy>钦</cp:lastModifiedBy>
  <dcterms:modified xsi:type="dcterms:W3CDTF">2026-01-09T08:04:44Z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12988989EF204EC4BBCA63B6DFD4A885_11</vt:lpwstr>
  </property>
  <property fmtid="{D5CDD505-2E9C-101B-9397-08002B2CF9AE}" pid="4" name="KSOTemplateDocerSaveRecord">
    <vt:lpwstr>eyJoZGlkIjoiOGI4NjI5OTBmMDM1ODFlMDkzNDFlZTFiMWNhZWU5ZTMiLCJ1c2VySWQiOiIzNTU3NTU3NTQifQ==</vt:lpwstr>
  </property>
</Properties>
</file>