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jc w:val="left"/>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4"/>
          <w:szCs w:val="24"/>
        </w:rPr>
        <w:t>Supplementary</w:t>
      </w:r>
      <w:r>
        <w:rPr>
          <w:rFonts w:hint="eastAsia" w:ascii="Times New Roman" w:hAnsi="Times New Roman" w:eastAsia="宋体" w:cs="Times New Roman"/>
          <w:sz w:val="24"/>
          <w:szCs w:val="24"/>
          <w:lang w:val="en-US" w:eastAsia="zh-CN"/>
        </w:rPr>
        <w:t xml:space="preserve"> </w:t>
      </w:r>
      <w:bookmarkStart w:id="0" w:name="_GoBack"/>
      <w:bookmarkEnd w:id="0"/>
      <w:r>
        <w:rPr>
          <w:rFonts w:hint="default" w:ascii="Times New Roman" w:hAnsi="Times New Roman" w:eastAsia="宋体" w:cs="Times New Roman"/>
          <w:sz w:val="21"/>
          <w:szCs w:val="21"/>
          <w:lang w:eastAsia="zh-CN"/>
        </w:rPr>
        <w:t>Table S1.</w:t>
      </w:r>
      <w:r>
        <w:rPr>
          <w:rFonts w:hint="eastAsia" w:ascii="Times New Roman" w:hAnsi="Times New Roman" w:eastAsia="宋体" w:cs="Times New Roman"/>
          <w:sz w:val="21"/>
          <w:szCs w:val="21"/>
          <w:lang w:val="en-US" w:eastAsia="zh-CN"/>
        </w:rPr>
        <w:t>Disproportionality analysis of selected pulmonary adverse events associated with osimertinib according to individual signal detection algorithms</w:t>
      </w:r>
    </w:p>
    <w:tbl>
      <w:tblPr>
        <w:tblStyle w:val="5"/>
        <w:tblpPr w:leftFromText="180" w:rightFromText="180" w:vertAnchor="text" w:horzAnchor="page" w:tblpX="1795" w:tblpY="29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4"/>
        <w:gridCol w:w="1312"/>
        <w:gridCol w:w="1381"/>
        <w:gridCol w:w="1391"/>
        <w:gridCol w:w="1354"/>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2" w:type="dxa"/>
            <w:tcBorders>
              <w:left w:val="nil"/>
              <w:bottom w:val="single" w:color="auto" w:sz="4" w:space="0"/>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PT</w:t>
            </w:r>
          </w:p>
        </w:tc>
        <w:tc>
          <w:tcPr>
            <w:tcW w:w="1313" w:type="dxa"/>
            <w:tcBorders>
              <w:left w:val="nil"/>
              <w:bottom w:val="single" w:color="auto" w:sz="4" w:space="0"/>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n</w:t>
            </w:r>
          </w:p>
        </w:tc>
        <w:tc>
          <w:tcPr>
            <w:tcW w:w="1381" w:type="dxa"/>
            <w:tcBorders>
              <w:left w:val="nil"/>
              <w:bottom w:val="single" w:color="auto" w:sz="4" w:space="0"/>
              <w:right w:val="nil"/>
            </w:tcBorders>
          </w:tcPr>
          <w:p>
            <w:pPr>
              <w:jc w:val="center"/>
              <w:rPr>
                <w:rFonts w:hint="default" w:ascii="Times New Roman" w:hAnsi="Times New Roman" w:cs="Times New Roman"/>
                <w:vertAlign w:val="baseline"/>
              </w:rPr>
            </w:pPr>
            <w:r>
              <w:rPr>
                <w:rFonts w:hint="default" w:ascii="Times New Roman" w:hAnsi="Times New Roman" w:cs="Times New Roman"/>
                <w:vertAlign w:val="baseline"/>
              </w:rPr>
              <w:t>ROR(95% CI)</w:t>
            </w:r>
          </w:p>
        </w:tc>
        <w:tc>
          <w:tcPr>
            <w:tcW w:w="1391" w:type="dxa"/>
            <w:tcBorders>
              <w:left w:val="nil"/>
              <w:bottom w:val="single" w:color="auto" w:sz="4" w:space="0"/>
              <w:right w:val="nil"/>
            </w:tcBorders>
          </w:tcPr>
          <w:p>
            <w:pPr>
              <w:jc w:val="center"/>
              <w:rPr>
                <w:rFonts w:hint="default" w:ascii="Times New Roman" w:hAnsi="Times New Roman" w:cs="Times New Roman"/>
                <w:vertAlign w:val="baseline"/>
              </w:rPr>
            </w:pPr>
            <w:r>
              <w:rPr>
                <w:rFonts w:hint="default" w:ascii="Times New Roman" w:hAnsi="Times New Roman" w:cs="Times New Roman"/>
                <w:vertAlign w:val="baseline"/>
              </w:rPr>
              <w:t>PRR (χ2)</w:t>
            </w:r>
          </w:p>
        </w:tc>
        <w:tc>
          <w:tcPr>
            <w:tcW w:w="1355" w:type="dxa"/>
            <w:tcBorders>
              <w:left w:val="nil"/>
              <w:bottom w:val="single" w:color="auto" w:sz="4" w:space="0"/>
              <w:right w:val="nil"/>
            </w:tcBorders>
          </w:tcPr>
          <w:p>
            <w:pPr>
              <w:jc w:val="center"/>
              <w:rPr>
                <w:rFonts w:hint="default" w:ascii="Times New Roman" w:hAnsi="Times New Roman" w:cs="Times New Roman"/>
                <w:vertAlign w:val="baseline"/>
              </w:rPr>
            </w:pPr>
            <w:r>
              <w:rPr>
                <w:rFonts w:hint="default" w:ascii="Times New Roman" w:hAnsi="Times New Roman" w:cs="Times New Roman"/>
                <w:vertAlign w:val="baseline"/>
              </w:rPr>
              <w:t>IC (IC025)</w:t>
            </w:r>
          </w:p>
        </w:tc>
        <w:tc>
          <w:tcPr>
            <w:tcW w:w="1780" w:type="dxa"/>
            <w:tcBorders>
              <w:left w:val="nil"/>
              <w:bottom w:val="single" w:color="auto" w:sz="4" w:space="0"/>
              <w:right w:val="nil"/>
            </w:tcBorders>
          </w:tcPr>
          <w:p>
            <w:pPr>
              <w:jc w:val="center"/>
              <w:rPr>
                <w:rFonts w:hint="default" w:ascii="Times New Roman" w:hAnsi="Times New Roman" w:cs="Times New Roman"/>
                <w:vertAlign w:val="baseline"/>
              </w:rPr>
            </w:pPr>
            <w:r>
              <w:rPr>
                <w:rFonts w:hint="default" w:ascii="Times New Roman" w:hAnsi="Times New Roman" w:cs="Times New Roman"/>
                <w:vertAlign w:val="baseline"/>
              </w:rPr>
              <w:t>EBGM(EBGM05)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2" w:type="dxa"/>
            <w:tcBorders>
              <w:top w:val="single" w:color="auto" w:sz="4" w:space="0"/>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interstitial lung disease</w:t>
            </w:r>
          </w:p>
        </w:tc>
        <w:tc>
          <w:tcPr>
            <w:tcW w:w="1313" w:type="dxa"/>
            <w:tcBorders>
              <w:top w:val="single" w:color="auto" w:sz="4" w:space="0"/>
              <w:left w:val="nil"/>
              <w:bottom w:val="nil"/>
              <w:right w:val="nil"/>
            </w:tcBorders>
            <w:vAlign w:val="bottom"/>
          </w:tcPr>
          <w:p>
            <w:pPr>
              <w:keepNext w:val="0"/>
              <w:keepLines w:val="0"/>
              <w:widowControl/>
              <w:suppressLineNumbers w:val="0"/>
              <w:jc w:val="center"/>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484</w:t>
            </w:r>
          </w:p>
        </w:tc>
        <w:tc>
          <w:tcPr>
            <w:tcW w:w="1381" w:type="dxa"/>
            <w:tcBorders>
              <w:top w:val="single" w:color="auto" w:sz="4" w:space="0"/>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12.4 ( 11.33 - 13.57 )</w:t>
            </w:r>
          </w:p>
        </w:tc>
        <w:tc>
          <w:tcPr>
            <w:tcW w:w="1391" w:type="dxa"/>
            <w:tcBorders>
              <w:top w:val="single" w:color="auto" w:sz="4" w:space="0"/>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12.29 ( 4944.39 )</w:t>
            </w:r>
          </w:p>
        </w:tc>
        <w:tc>
          <w:tcPr>
            <w:tcW w:w="1355" w:type="dxa"/>
            <w:tcBorders>
              <w:top w:val="single" w:color="auto" w:sz="4" w:space="0"/>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3.6 ( 3.43 )</w:t>
            </w:r>
          </w:p>
        </w:tc>
        <w:tc>
          <w:tcPr>
            <w:tcW w:w="1780" w:type="dxa"/>
            <w:tcBorders>
              <w:top w:val="single" w:color="auto" w:sz="4" w:space="0"/>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12.11 ( 11.07 )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2"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pneumonia</w:t>
            </w:r>
          </w:p>
        </w:tc>
        <w:tc>
          <w:tcPr>
            <w:tcW w:w="1313"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282</w:t>
            </w:r>
          </w:p>
        </w:tc>
        <w:tc>
          <w:tcPr>
            <w:tcW w:w="1381"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1.25 ( 1.12 - 1.39 )</w:t>
            </w:r>
          </w:p>
        </w:tc>
        <w:tc>
          <w:tcPr>
            <w:tcW w:w="1391"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1.25 ( 17 )</w:t>
            </w:r>
          </w:p>
        </w:tc>
        <w:tc>
          <w:tcPr>
            <w:tcW w:w="1355"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0.32 ( 0.16 )</w:t>
            </w:r>
          </w:p>
        </w:tc>
        <w:tc>
          <w:tcPr>
            <w:tcW w:w="1780"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1.25 ( 1.12 )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2"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pneumonitis</w:t>
            </w:r>
          </w:p>
        </w:tc>
        <w:tc>
          <w:tcPr>
            <w:tcW w:w="1313"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203</w:t>
            </w:r>
          </w:p>
        </w:tc>
        <w:tc>
          <w:tcPr>
            <w:tcW w:w="1381"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11.71 ( 10.41 - 13.18 )</w:t>
            </w:r>
          </w:p>
        </w:tc>
        <w:tc>
          <w:tcPr>
            <w:tcW w:w="1391"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11.66 ( 2706.41 )</w:t>
            </w:r>
          </w:p>
        </w:tc>
        <w:tc>
          <w:tcPr>
            <w:tcW w:w="1355"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3.52 ( 3.3 )</w:t>
            </w:r>
          </w:p>
        </w:tc>
        <w:tc>
          <w:tcPr>
            <w:tcW w:w="1780"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11.49 ( 10.21 )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2"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lung disorder</w:t>
            </w:r>
          </w:p>
        </w:tc>
        <w:tc>
          <w:tcPr>
            <w:tcW w:w="1313"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193</w:t>
            </w:r>
          </w:p>
        </w:tc>
        <w:tc>
          <w:tcPr>
            <w:tcW w:w="1381"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4.99 ( 4.34 - 5.73 )</w:t>
            </w:r>
          </w:p>
        </w:tc>
        <w:tc>
          <w:tcPr>
            <w:tcW w:w="1391"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4.97 ( 640.52 )</w:t>
            </w:r>
          </w:p>
        </w:tc>
        <w:tc>
          <w:tcPr>
            <w:tcW w:w="1355"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2.31 ( 2.08 )</w:t>
            </w:r>
          </w:p>
        </w:tc>
        <w:tc>
          <w:tcPr>
            <w:tcW w:w="1780"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4.95 ( 4.31 )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2"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pulmonary embolism</w:t>
            </w:r>
          </w:p>
        </w:tc>
        <w:tc>
          <w:tcPr>
            <w:tcW w:w="1313"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105</w:t>
            </w:r>
          </w:p>
        </w:tc>
        <w:tc>
          <w:tcPr>
            <w:tcW w:w="1381"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3.24 ( 2.81 - 3.73 )</w:t>
            </w:r>
          </w:p>
        </w:tc>
        <w:tc>
          <w:tcPr>
            <w:tcW w:w="1391"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3.23 ( 296.18 )</w:t>
            </w:r>
          </w:p>
        </w:tc>
        <w:tc>
          <w:tcPr>
            <w:tcW w:w="1355"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1.69 ( 1.46 )</w:t>
            </w:r>
          </w:p>
        </w:tc>
        <w:tc>
          <w:tcPr>
            <w:tcW w:w="1780"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3.22 ( 2.79 )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2"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pulmonary oedema</w:t>
            </w:r>
          </w:p>
        </w:tc>
        <w:tc>
          <w:tcPr>
            <w:tcW w:w="1313"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53</w:t>
            </w:r>
          </w:p>
        </w:tc>
        <w:tc>
          <w:tcPr>
            <w:tcW w:w="1381"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3.12 ( 2.57 - 3.78 )</w:t>
            </w:r>
          </w:p>
        </w:tc>
        <w:tc>
          <w:tcPr>
            <w:tcW w:w="1391"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3.11 ( 149.98 )</w:t>
            </w:r>
          </w:p>
        </w:tc>
        <w:tc>
          <w:tcPr>
            <w:tcW w:w="1355"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1.63 ( 1.32 )</w:t>
            </w:r>
          </w:p>
        </w:tc>
        <w:tc>
          <w:tcPr>
            <w:tcW w:w="1780"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3.1 ( 2.56 )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2"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pulmonary mass</w:t>
            </w:r>
          </w:p>
        </w:tc>
        <w:tc>
          <w:tcPr>
            <w:tcW w:w="1313"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39</w:t>
            </w:r>
          </w:p>
        </w:tc>
        <w:tc>
          <w:tcPr>
            <w:tcW w:w="1381"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3.84 ( 2.93 - 5.03 )</w:t>
            </w:r>
          </w:p>
        </w:tc>
        <w:tc>
          <w:tcPr>
            <w:tcW w:w="1391"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3.84 ( 110.69 )</w:t>
            </w:r>
          </w:p>
        </w:tc>
        <w:tc>
          <w:tcPr>
            <w:tcW w:w="1355"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1.93 ( 1.47 )</w:t>
            </w:r>
          </w:p>
        </w:tc>
        <w:tc>
          <w:tcPr>
            <w:tcW w:w="1780"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3.82 ( 2.92 )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2"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pulmonary toxicity</w:t>
            </w:r>
          </w:p>
        </w:tc>
        <w:tc>
          <w:tcPr>
            <w:tcW w:w="1313"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32</w:t>
            </w:r>
          </w:p>
        </w:tc>
        <w:tc>
          <w:tcPr>
            <w:tcW w:w="1381"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6.27 ( 4.57 - 8.59 )</w:t>
            </w:r>
          </w:p>
        </w:tc>
        <w:tc>
          <w:tcPr>
            <w:tcW w:w="1391"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6.27 ( 171.21 )</w:t>
            </w:r>
          </w:p>
        </w:tc>
        <w:tc>
          <w:tcPr>
            <w:tcW w:w="1355"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2.64 ( 2 )</w:t>
            </w:r>
          </w:p>
        </w:tc>
        <w:tc>
          <w:tcPr>
            <w:tcW w:w="1780"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6.22 ( 4.54 )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2"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pulmonary thrombosis</w:t>
            </w:r>
          </w:p>
        </w:tc>
        <w:tc>
          <w:tcPr>
            <w:tcW w:w="1313" w:type="dxa"/>
            <w:tcBorders>
              <w:top w:val="nil"/>
              <w:left w:val="nil"/>
              <w:bottom w:val="nil"/>
              <w:right w:val="nil"/>
            </w:tcBorders>
            <w:vAlign w:val="bottom"/>
          </w:tcPr>
          <w:p>
            <w:pPr>
              <w:keepNext w:val="0"/>
              <w:keepLines w:val="0"/>
              <w:widowControl/>
              <w:suppressLineNumbers w:val="0"/>
              <w:jc w:val="center"/>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1381"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3.28 ( 2.32 - 4.65 )</w:t>
            </w:r>
          </w:p>
        </w:tc>
        <w:tc>
          <w:tcPr>
            <w:tcW w:w="1391"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3.28 ( 50.56 )</w:t>
            </w:r>
          </w:p>
        </w:tc>
        <w:tc>
          <w:tcPr>
            <w:tcW w:w="1355"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1.71 ( 1.11 )</w:t>
            </w:r>
          </w:p>
        </w:tc>
        <w:tc>
          <w:tcPr>
            <w:tcW w:w="1780" w:type="dxa"/>
            <w:tcBorders>
              <w:top w:val="nil"/>
              <w:left w:val="nil"/>
              <w:bottom w:val="nil"/>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3.27 ( 2.31 )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2" w:type="dxa"/>
            <w:tcBorders>
              <w:top w:val="nil"/>
              <w:left w:val="nil"/>
              <w:bottom w:val="single" w:color="auto" w:sz="4" w:space="0"/>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pneumonia aspiration</w:t>
            </w:r>
          </w:p>
        </w:tc>
        <w:tc>
          <w:tcPr>
            <w:tcW w:w="1313" w:type="dxa"/>
            <w:tcBorders>
              <w:top w:val="nil"/>
              <w:left w:val="nil"/>
              <w:bottom w:val="single" w:color="auto" w:sz="4" w:space="0"/>
              <w:right w:val="nil"/>
            </w:tcBorders>
            <w:vAlign w:val="bottom"/>
          </w:tcPr>
          <w:p>
            <w:pPr>
              <w:keepNext w:val="0"/>
              <w:keepLines w:val="0"/>
              <w:widowControl/>
              <w:suppressLineNumbers w:val="0"/>
              <w:jc w:val="center"/>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1381" w:type="dxa"/>
            <w:tcBorders>
              <w:top w:val="nil"/>
              <w:left w:val="nil"/>
              <w:bottom w:val="single" w:color="auto" w:sz="4" w:space="0"/>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1.45 ( 1.01 - 2.09 )</w:t>
            </w:r>
          </w:p>
        </w:tc>
        <w:tc>
          <w:tcPr>
            <w:tcW w:w="1391" w:type="dxa"/>
            <w:tcBorders>
              <w:top w:val="nil"/>
              <w:left w:val="nil"/>
              <w:bottom w:val="single" w:color="auto" w:sz="4" w:space="0"/>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1.45 ( 4.1 )</w:t>
            </w:r>
          </w:p>
        </w:tc>
        <w:tc>
          <w:tcPr>
            <w:tcW w:w="1355" w:type="dxa"/>
            <w:tcBorders>
              <w:top w:val="nil"/>
              <w:left w:val="nil"/>
              <w:bottom w:val="single" w:color="auto" w:sz="4" w:space="0"/>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0.54 ( -0.01 )</w:t>
            </w:r>
          </w:p>
        </w:tc>
        <w:tc>
          <w:tcPr>
            <w:tcW w:w="1780" w:type="dxa"/>
            <w:tcBorders>
              <w:top w:val="nil"/>
              <w:left w:val="nil"/>
              <w:bottom w:val="single" w:color="auto" w:sz="4" w:space="0"/>
              <w:right w:val="nil"/>
            </w:tcBorders>
            <w:vAlign w:val="bottom"/>
          </w:tcPr>
          <w:p>
            <w:pPr>
              <w:keepNext w:val="0"/>
              <w:keepLines w:val="0"/>
              <w:widowControl/>
              <w:suppressLineNumbers w:val="0"/>
              <w:jc w:val="left"/>
              <w:textAlignment w:val="bottom"/>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1.45 ( 1.01 )</w:t>
            </w:r>
          </w:p>
        </w:tc>
      </w:tr>
    </w:tbl>
    <w:p>
      <w:pPr>
        <w:keepNext w:val="0"/>
        <w:keepLines w:val="0"/>
        <w:widowControl/>
        <w:numPr>
          <w:ilvl w:val="0"/>
          <w:numId w:val="0"/>
        </w:numPr>
        <w:suppressLineNumbers w:val="0"/>
        <w:jc w:val="both"/>
        <w:rPr>
          <w:rFonts w:hint="eastAsia" w:ascii="Times New Roman" w:hAnsi="Times New Roman" w:eastAsia="宋体" w:cs="Times New Roman"/>
          <w:sz w:val="24"/>
          <w:szCs w:val="24"/>
        </w:rPr>
      </w:pPr>
      <w:r>
        <w:rPr>
          <w:rFonts w:hint="default" w:ascii="Times New Roman" w:hAnsi="Times New Roman" w:eastAsia="宋体" w:cs="Times New Roman"/>
          <w:sz w:val="24"/>
          <w:szCs w:val="24"/>
        </w:rPr>
        <w:t>Note:</w:t>
      </w:r>
      <w:r>
        <w:rPr>
          <w:rFonts w:hint="eastAsia"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rPr>
        <w:t xml:space="preserve">Concordant signals were defined as drug–event pairs meeting the predefined thresholds for all four algorithms </w:t>
      </w:r>
      <w:r>
        <w:rPr>
          <w:rFonts w:hint="default" w:ascii="Times New Roman" w:hAnsi="Times New Roman" w:eastAsia="宋体" w:cs="Times New Roman"/>
          <w:sz w:val="24"/>
          <w:szCs w:val="24"/>
        </w:rPr>
        <w:t>(ROR₀.₀₂₅&gt;1; PRR≥2, χ²≥4, n≥3; IC₀₂₅&gt;0; EBGM₀₅&gt;2)</w:t>
      </w:r>
      <w:r>
        <w:rPr>
          <w:rFonts w:hint="eastAsia" w:ascii="Times New Roman" w:hAnsi="Times New Roman" w:eastAsia="宋体" w:cs="Times New Roman"/>
          <w:sz w:val="24"/>
          <w:szCs w:val="24"/>
          <w:lang w:val="en-US" w:eastAsia="zh-CN"/>
        </w:rPr>
        <w:t>;2.</w:t>
      </w:r>
      <w:r>
        <w:rPr>
          <w:rFonts w:hint="eastAsia" w:ascii="Times New Roman" w:hAnsi="Times New Roman" w:eastAsia="宋体" w:cs="Times New Roman"/>
          <w:sz w:val="24"/>
          <w:szCs w:val="24"/>
        </w:rPr>
        <w:t>Partial signals were defined as drug–event pairs meeting the signal criteria for one or more algorithms but not all four predefined thresholds required for classification as concordant signals.</w:t>
      </w:r>
    </w:p>
    <w:p>
      <w:pPr>
        <w:keepNext w:val="0"/>
        <w:keepLines w:val="0"/>
        <w:widowControl/>
        <w:numPr>
          <w:ilvl w:val="0"/>
          <w:numId w:val="0"/>
        </w:numPr>
        <w:suppressLineNumbers w:val="0"/>
        <w:jc w:val="both"/>
        <w:rPr>
          <w:rFonts w:hint="eastAsia" w:ascii="Times New Roman" w:hAnsi="Times New Roman" w:eastAsia="宋体" w:cs="Times New Roman"/>
          <w:sz w:val="24"/>
          <w:szCs w:val="24"/>
        </w:rPr>
      </w:pPr>
    </w:p>
    <w:p>
      <w:pPr>
        <w:keepNext w:val="0"/>
        <w:keepLines w:val="0"/>
        <w:widowControl/>
        <w:numPr>
          <w:ilvl w:val="0"/>
          <w:numId w:val="0"/>
        </w:numPr>
        <w:suppressLineNumbers w:val="0"/>
        <w:jc w:val="both"/>
        <w:rPr>
          <w:rFonts w:hint="eastAsia" w:ascii="Times New Roman" w:hAnsi="Times New Roman" w:eastAsia="宋体" w:cs="Times New Roman"/>
          <w:sz w:val="24"/>
          <w:szCs w:val="24"/>
        </w:rPr>
      </w:pPr>
    </w:p>
    <w:p>
      <w:pPr>
        <w:keepNext w:val="0"/>
        <w:keepLines w:val="0"/>
        <w:widowControl/>
        <w:numPr>
          <w:ilvl w:val="0"/>
          <w:numId w:val="0"/>
        </w:numPr>
        <w:suppressLineNumbers w:val="0"/>
        <w:jc w:val="both"/>
        <w:rPr>
          <w:rFonts w:hint="eastAsia" w:ascii="Times New Roman" w:hAnsi="Times New Roman" w:eastAsia="宋体" w:cs="Times New Roman"/>
          <w:sz w:val="24"/>
          <w:szCs w:val="24"/>
        </w:rPr>
      </w:pPr>
    </w:p>
    <w:p>
      <w:pPr>
        <w:keepNext w:val="0"/>
        <w:keepLines w:val="0"/>
        <w:widowControl/>
        <w:numPr>
          <w:ilvl w:val="0"/>
          <w:numId w:val="0"/>
        </w:numPr>
        <w:suppressLineNumbers w:val="0"/>
        <w:jc w:val="both"/>
        <w:rPr>
          <w:rFonts w:hint="eastAsia" w:ascii="Times New Roman" w:hAnsi="Times New Roman" w:eastAsia="宋体" w:cs="Times New Roman"/>
          <w:sz w:val="24"/>
          <w:szCs w:val="24"/>
        </w:rPr>
      </w:pPr>
    </w:p>
    <w:p>
      <w:pPr>
        <w:keepNext w:val="0"/>
        <w:keepLines w:val="0"/>
        <w:widowControl/>
        <w:numPr>
          <w:ilvl w:val="0"/>
          <w:numId w:val="0"/>
        </w:numPr>
        <w:suppressLineNumbers w:val="0"/>
        <w:jc w:val="both"/>
        <w:rPr>
          <w:rFonts w:hint="eastAsia" w:ascii="Times New Roman" w:hAnsi="Times New Roman" w:eastAsia="宋体" w:cs="Times New Roman"/>
          <w:sz w:val="24"/>
          <w:szCs w:val="24"/>
        </w:rPr>
      </w:pPr>
    </w:p>
    <w:p>
      <w:pPr>
        <w:keepNext w:val="0"/>
        <w:keepLines w:val="0"/>
        <w:widowControl/>
        <w:numPr>
          <w:ilvl w:val="0"/>
          <w:numId w:val="0"/>
        </w:numPr>
        <w:suppressLineNumbers w:val="0"/>
        <w:jc w:val="both"/>
        <w:rPr>
          <w:rFonts w:hint="eastAsia" w:ascii="Times New Roman" w:hAnsi="Times New Roman" w:eastAsia="宋体" w:cs="Times New Roman"/>
          <w:sz w:val="24"/>
          <w:szCs w:val="24"/>
        </w:rPr>
      </w:pPr>
    </w:p>
    <w:p>
      <w:pPr>
        <w:keepNext w:val="0"/>
        <w:keepLines w:val="0"/>
        <w:widowControl/>
        <w:numPr>
          <w:ilvl w:val="0"/>
          <w:numId w:val="0"/>
        </w:numPr>
        <w:suppressLineNumbers w:val="0"/>
        <w:jc w:val="both"/>
        <w:rPr>
          <w:rFonts w:hint="eastAsia" w:ascii="Times New Roman" w:hAnsi="Times New Roman" w:eastAsia="宋体" w:cs="Times New Roman"/>
          <w:sz w:val="24"/>
          <w:szCs w:val="24"/>
        </w:rPr>
      </w:pPr>
    </w:p>
    <w:p>
      <w:pPr>
        <w:keepNext w:val="0"/>
        <w:keepLines w:val="0"/>
        <w:widowControl/>
        <w:numPr>
          <w:ilvl w:val="0"/>
          <w:numId w:val="0"/>
        </w:numPr>
        <w:suppressLineNumbers w:val="0"/>
        <w:jc w:val="both"/>
        <w:rPr>
          <w:rFonts w:hint="eastAsia" w:ascii="Times New Roman" w:hAnsi="Times New Roman" w:eastAsia="宋体" w:cs="Times New Roman"/>
          <w:sz w:val="24"/>
          <w:szCs w:val="24"/>
        </w:rPr>
      </w:pPr>
    </w:p>
    <w:p>
      <w:pPr>
        <w:keepNext w:val="0"/>
        <w:keepLines w:val="0"/>
        <w:widowControl/>
        <w:numPr>
          <w:ilvl w:val="0"/>
          <w:numId w:val="0"/>
        </w:numPr>
        <w:suppressLineNumbers w:val="0"/>
        <w:jc w:val="both"/>
        <w:rPr>
          <w:rFonts w:hint="eastAsia" w:ascii="Times New Roman" w:hAnsi="Times New Roman" w:eastAsia="宋体" w:cs="Times New Roman"/>
          <w:sz w:val="24"/>
          <w:szCs w:val="24"/>
        </w:rPr>
      </w:pPr>
    </w:p>
    <w:p>
      <w:pPr>
        <w:keepNext w:val="0"/>
        <w:keepLines w:val="0"/>
        <w:widowControl/>
        <w:numPr>
          <w:ilvl w:val="0"/>
          <w:numId w:val="0"/>
        </w:numPr>
        <w:suppressLineNumbers w:val="0"/>
        <w:jc w:val="both"/>
        <w:rPr>
          <w:rFonts w:hint="default" w:ascii="Times New Roman" w:hAnsi="Times New Roman" w:eastAsia="宋体" w:cs="Times New Roman"/>
          <w:sz w:val="24"/>
          <w:szCs w:val="24"/>
        </w:rPr>
      </w:pPr>
    </w:p>
    <w:p>
      <w:pPr>
        <w:keepNext w:val="0"/>
        <w:keepLines w:val="0"/>
        <w:widowControl/>
        <w:numPr>
          <w:ilvl w:val="0"/>
          <w:numId w:val="0"/>
        </w:numPr>
        <w:suppressLineNumbers w:val="0"/>
        <w:jc w:val="both"/>
        <w:rPr>
          <w:rFonts w:hint="default" w:ascii="Times New Roman" w:hAnsi="Times New Roman" w:eastAsia="宋体" w:cs="Times New Roman"/>
          <w:sz w:val="24"/>
          <w:szCs w:val="24"/>
        </w:rPr>
      </w:pPr>
    </w:p>
    <w:p>
      <w:pPr>
        <w:keepNext w:val="0"/>
        <w:keepLines w:val="0"/>
        <w:widowControl/>
        <w:numPr>
          <w:ilvl w:val="0"/>
          <w:numId w:val="0"/>
        </w:numPr>
        <w:suppressLineNumbers w:val="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Supplementary Figure S</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 Original forest plot of top-ranked preferred term (PT)-level signals associated with osimertinib before clinical prioritization.</w:t>
      </w:r>
    </w:p>
    <w:p>
      <w:pPr>
        <w:keepNext w:val="0"/>
        <w:keepLines w:val="0"/>
        <w:widowControl/>
        <w:numPr>
          <w:ilvl w:val="0"/>
          <w:numId w:val="0"/>
        </w:numPr>
        <w:suppressLineNumbers w:val="0"/>
        <w:jc w:val="both"/>
        <w:rPr>
          <w:rFonts w:hint="default" w:ascii="Times New Roman" w:hAnsi="Times New Roman" w:eastAsia="宋体" w:cs="Times New Roman"/>
          <w:sz w:val="24"/>
          <w:szCs w:val="24"/>
        </w:rPr>
      </w:pPr>
    </w:p>
    <w:p>
      <w:pPr>
        <w:keepNext w:val="0"/>
        <w:keepLines w:val="0"/>
        <w:widowControl/>
        <w:numPr>
          <w:ilvl w:val="0"/>
          <w:numId w:val="0"/>
        </w:numPr>
        <w:suppressLineNumbers w:val="0"/>
        <w:jc w:val="both"/>
        <w:rPr>
          <w:rFonts w:hint="default" w:ascii="Times New Roman" w:hAnsi="Times New Roman" w:eastAsia="宋体" w:cs="Times New Roman"/>
          <w:sz w:val="24"/>
          <w:szCs w:val="24"/>
        </w:rPr>
      </w:pPr>
    </w:p>
    <w:p>
      <w:pPr>
        <w:keepNext w:val="0"/>
        <w:keepLines w:val="0"/>
        <w:widowControl/>
        <w:numPr>
          <w:ilvl w:val="0"/>
          <w:numId w:val="0"/>
        </w:numPr>
        <w:suppressLineNumbers w:val="0"/>
        <w:jc w:val="both"/>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drawing>
          <wp:inline distT="0" distB="0" distL="114300" distR="114300">
            <wp:extent cx="5270500" cy="3437255"/>
            <wp:effectExtent l="0" t="0" r="6350" b="1270"/>
            <wp:docPr id="1" name="图片 1" descr="Figure2_v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2_v7"/>
                    <pic:cNvPicPr>
                      <a:picLocks noChangeAspect="1"/>
                    </pic:cNvPicPr>
                  </pic:nvPicPr>
                  <pic:blipFill>
                    <a:blip r:embed="rId4"/>
                    <a:stretch>
                      <a:fillRect/>
                    </a:stretch>
                  </pic:blipFill>
                  <pic:spPr>
                    <a:xfrm>
                      <a:off x="0" y="0"/>
                      <a:ext cx="5270500" cy="3437255"/>
                    </a:xfrm>
                    <a:prstGeom prst="rect">
                      <a:avLst/>
                    </a:prstGeom>
                  </pic:spPr>
                </pic:pic>
              </a:graphicData>
            </a:graphic>
          </wp:inline>
        </w:drawing>
      </w:r>
    </w:p>
    <w:p>
      <w:pPr>
        <w:keepNext w:val="0"/>
        <w:keepLines w:val="0"/>
        <w:widowControl/>
        <w:numPr>
          <w:ilvl w:val="0"/>
          <w:numId w:val="0"/>
        </w:numPr>
        <w:suppressLineNumbers w:val="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The figure shows the original preferred term (PT)-level disproportionality signals identified for osimertinib in the FAERS database prior to clinical prioritization. PTs were ranked by reporting odds ratio (ROR), and the forest plot displays ROR estimates with 95% confidence intervals. Only PTs fulfilling the predefined positivity criteria across all four signal detection algorithms (ROR, PRR, BCPNN, and EBGM) were retained. This figure is provided as supplementary material to present the full original signal spectrum underlying the clinically selected PTs shown in Figure 1B.</w:t>
      </w:r>
    </w:p>
    <w:p>
      <w:pPr>
        <w:keepNext w:val="0"/>
        <w:keepLines w:val="0"/>
        <w:widowControl/>
        <w:numPr>
          <w:ilvl w:val="0"/>
          <w:numId w:val="0"/>
        </w:numPr>
        <w:suppressLineNumbers w:val="0"/>
        <w:jc w:val="both"/>
        <w:rPr>
          <w:rFonts w:hint="eastAsia" w:ascii="Times New Roman" w:hAnsi="Times New Roman" w:eastAsia="宋体" w:cs="Times New Roman"/>
          <w:sz w:val="24"/>
          <w:szCs w:val="24"/>
          <w:lang w:eastAsia="zh-CN"/>
        </w:rPr>
      </w:pPr>
    </w:p>
    <w:p>
      <w:pPr>
        <w:keepNext w:val="0"/>
        <w:keepLines w:val="0"/>
        <w:widowControl/>
        <w:numPr>
          <w:ilvl w:val="0"/>
          <w:numId w:val="0"/>
        </w:numPr>
        <w:suppressLineNumbers w:val="0"/>
        <w:jc w:val="both"/>
        <w:rPr>
          <w:rFonts w:hint="default" w:ascii="Times New Roman" w:hAnsi="Times New Roman" w:eastAsia="宋体" w:cs="Times New Roman"/>
          <w:sz w:val="24"/>
          <w:szCs w:val="24"/>
        </w:rPr>
      </w:pPr>
    </w:p>
    <w:p>
      <w:pPr>
        <w:keepNext w:val="0"/>
        <w:keepLines w:val="0"/>
        <w:widowControl/>
        <w:numPr>
          <w:ilvl w:val="0"/>
          <w:numId w:val="0"/>
        </w:numPr>
        <w:suppressLineNumbers w:val="0"/>
        <w:jc w:val="both"/>
        <w:rPr>
          <w:rFonts w:hint="default" w:ascii="Times New Roman" w:hAnsi="Times New Roman" w:eastAsia="宋体" w:cs="Times New Roman"/>
          <w:sz w:val="24"/>
          <w:szCs w:val="24"/>
        </w:rPr>
      </w:pPr>
    </w:p>
    <w:p>
      <w:pPr>
        <w:spacing w:before="0" w:after="120"/>
        <w:jc w:val="left"/>
      </w:pPr>
      <w:r>
        <w:rPr>
          <w:rFonts w:ascii="Arial" w:hAnsi="Arial" w:eastAsia="Arial" w:cs="Arial"/>
          <w:b/>
          <w:bCs/>
          <w:i w:val="0"/>
          <w:iCs w:val="0"/>
          <w:sz w:val="20"/>
          <w:szCs w:val="20"/>
        </w:rPr>
        <w:t>Supplementary Table S</w:t>
      </w:r>
      <w:r>
        <w:rPr>
          <w:rFonts w:hint="eastAsia" w:ascii="Arial" w:hAnsi="Arial" w:eastAsia="宋体" w:cs="Arial"/>
          <w:b/>
          <w:bCs/>
          <w:i w:val="0"/>
          <w:iCs w:val="0"/>
          <w:sz w:val="20"/>
          <w:szCs w:val="20"/>
          <w:lang w:val="en-US" w:eastAsia="zh-CN"/>
        </w:rPr>
        <w:t>3</w:t>
      </w:r>
      <w:r>
        <w:rPr>
          <w:rFonts w:ascii="Arial" w:hAnsi="Arial" w:eastAsia="Arial" w:cs="Arial"/>
          <w:b/>
          <w:bCs/>
          <w:i w:val="0"/>
          <w:iCs w:val="0"/>
          <w:sz w:val="20"/>
          <w:szCs w:val="20"/>
        </w:rPr>
        <w:t xml:space="preserve">. </w:t>
      </w:r>
      <w:r>
        <w:rPr>
          <w:rFonts w:ascii="Arial" w:hAnsi="Arial" w:eastAsia="Arial" w:cs="Arial"/>
          <w:b w:val="0"/>
          <w:bCs w:val="0"/>
          <w:i w:val="0"/>
          <w:iCs w:val="0"/>
          <w:sz w:val="20"/>
          <w:szCs w:val="20"/>
        </w:rPr>
        <w:t>Hub gene identification in the protein–protein interaction network by four centrality algorithms</w:t>
      </w:r>
    </w:p>
    <w:tbl>
      <w:tblPr>
        <w:tblStyle w:val="4"/>
        <w:tblW w:w="7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00"/>
        <w:gridCol w:w="1200"/>
        <w:gridCol w:w="1560"/>
        <w:gridCol w:w="180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000000" w:sz="12" w:space="0"/>
              <w:left w:val="nil"/>
              <w:bottom w:val="single" w:color="000000" w:sz="6" w:space="0"/>
              <w:right w:val="nil"/>
            </w:tcBorders>
            <w:tcMar>
              <w:top w:w="60" w:type="dxa"/>
              <w:left w:w="80" w:type="dxa"/>
              <w:bottom w:w="60" w:type="dxa"/>
              <w:right w:w="80" w:type="dxa"/>
            </w:tcMar>
            <w:vAlign w:val="center"/>
          </w:tcPr>
          <w:p>
            <w:pPr>
              <w:jc w:val="left"/>
            </w:pPr>
            <w:r>
              <w:rPr>
                <w:rFonts w:ascii="Arial" w:hAnsi="Arial" w:eastAsia="Arial" w:cs="Arial"/>
                <w:b/>
                <w:bCs/>
                <w:i w:val="0"/>
                <w:iCs w:val="0"/>
                <w:sz w:val="18"/>
                <w:szCs w:val="18"/>
              </w:rPr>
              <w:t>Gene</w:t>
            </w:r>
          </w:p>
        </w:tc>
        <w:tc>
          <w:tcPr>
            <w:tcW w:w="1200" w:type="dxa"/>
            <w:tcBorders>
              <w:top w:val="single" w:color="000000" w:sz="12" w:space="0"/>
              <w:left w:val="nil"/>
              <w:bottom w:val="single" w:color="000000" w:sz="6" w:space="0"/>
              <w:right w:val="nil"/>
            </w:tcBorders>
            <w:tcMar>
              <w:top w:w="60" w:type="dxa"/>
              <w:left w:w="80" w:type="dxa"/>
              <w:bottom w:w="60" w:type="dxa"/>
              <w:right w:w="80" w:type="dxa"/>
            </w:tcMar>
            <w:vAlign w:val="center"/>
          </w:tcPr>
          <w:p>
            <w:pPr>
              <w:jc w:val="right"/>
            </w:pPr>
            <w:r>
              <w:rPr>
                <w:rFonts w:ascii="Arial" w:hAnsi="Arial" w:eastAsia="Arial" w:cs="Arial"/>
                <w:b/>
                <w:bCs/>
                <w:i w:val="0"/>
                <w:iCs w:val="0"/>
                <w:sz w:val="18"/>
                <w:szCs w:val="18"/>
              </w:rPr>
              <w:t>Degree</w:t>
            </w:r>
          </w:p>
        </w:tc>
        <w:tc>
          <w:tcPr>
            <w:tcW w:w="1560" w:type="dxa"/>
            <w:tcBorders>
              <w:top w:val="single" w:color="000000" w:sz="12" w:space="0"/>
              <w:left w:val="nil"/>
              <w:bottom w:val="single" w:color="000000" w:sz="6" w:space="0"/>
              <w:right w:val="nil"/>
            </w:tcBorders>
            <w:tcMar>
              <w:top w:w="60" w:type="dxa"/>
              <w:left w:w="80" w:type="dxa"/>
              <w:bottom w:w="60" w:type="dxa"/>
              <w:right w:w="80" w:type="dxa"/>
            </w:tcMar>
            <w:vAlign w:val="center"/>
          </w:tcPr>
          <w:p>
            <w:pPr>
              <w:jc w:val="right"/>
            </w:pPr>
            <w:r>
              <w:rPr>
                <w:rFonts w:ascii="Arial" w:hAnsi="Arial" w:eastAsia="Arial" w:cs="Arial"/>
                <w:b/>
                <w:bCs/>
                <w:i w:val="0"/>
                <w:iCs w:val="0"/>
                <w:sz w:val="18"/>
                <w:szCs w:val="18"/>
              </w:rPr>
              <w:t>MCC</w:t>
            </w:r>
          </w:p>
        </w:tc>
        <w:tc>
          <w:tcPr>
            <w:tcW w:w="1800" w:type="dxa"/>
            <w:tcBorders>
              <w:top w:val="single" w:color="000000" w:sz="12" w:space="0"/>
              <w:left w:val="nil"/>
              <w:bottom w:val="single" w:color="000000" w:sz="6" w:space="0"/>
              <w:right w:val="nil"/>
            </w:tcBorders>
            <w:tcMar>
              <w:top w:w="60" w:type="dxa"/>
              <w:left w:w="80" w:type="dxa"/>
              <w:bottom w:w="60" w:type="dxa"/>
              <w:right w:w="80" w:type="dxa"/>
            </w:tcMar>
            <w:vAlign w:val="center"/>
          </w:tcPr>
          <w:p>
            <w:pPr>
              <w:jc w:val="right"/>
            </w:pPr>
            <w:r>
              <w:rPr>
                <w:rFonts w:ascii="Arial" w:hAnsi="Arial" w:eastAsia="Arial" w:cs="Arial"/>
                <w:b/>
                <w:bCs/>
                <w:i w:val="0"/>
                <w:iCs w:val="0"/>
                <w:sz w:val="18"/>
                <w:szCs w:val="18"/>
              </w:rPr>
              <w:t>Closeness</w:t>
            </w:r>
          </w:p>
        </w:tc>
        <w:tc>
          <w:tcPr>
            <w:tcW w:w="1800" w:type="dxa"/>
            <w:tcBorders>
              <w:top w:val="single" w:color="000000" w:sz="12" w:space="0"/>
              <w:left w:val="nil"/>
              <w:bottom w:val="single" w:color="000000" w:sz="6" w:space="0"/>
              <w:right w:val="nil"/>
            </w:tcBorders>
            <w:tcMar>
              <w:top w:w="60" w:type="dxa"/>
              <w:left w:w="80" w:type="dxa"/>
              <w:bottom w:w="60" w:type="dxa"/>
              <w:right w:w="80" w:type="dxa"/>
            </w:tcMar>
            <w:vAlign w:val="center"/>
          </w:tcPr>
          <w:p>
            <w:pPr>
              <w:jc w:val="right"/>
            </w:pPr>
            <w:r>
              <w:rPr>
                <w:rFonts w:ascii="Arial" w:hAnsi="Arial" w:eastAsia="Arial" w:cs="Arial"/>
                <w:b/>
                <w:bCs/>
                <w:i w:val="0"/>
                <w:iCs w:val="0"/>
                <w:sz w:val="18"/>
                <w:szCs w:val="18"/>
              </w:rPr>
              <w:t>Betweenness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tcMar>
              <w:top w:w="60" w:type="dxa"/>
              <w:left w:w="80" w:type="dxa"/>
              <w:bottom w:w="60" w:type="dxa"/>
              <w:right w:w="80" w:type="dxa"/>
            </w:tcMar>
            <w:vAlign w:val="center"/>
          </w:tcPr>
          <w:p>
            <w:pPr>
              <w:jc w:val="left"/>
            </w:pPr>
            <w:r>
              <w:rPr>
                <w:rFonts w:ascii="Arial" w:hAnsi="Arial" w:eastAsia="Arial" w:cs="Arial"/>
                <w:b/>
                <w:bCs/>
                <w:i w:val="0"/>
                <w:iCs w:val="0"/>
                <w:sz w:val="18"/>
                <w:szCs w:val="18"/>
              </w:rPr>
              <w:t>CTNNB1</w:t>
            </w:r>
          </w:p>
        </w:tc>
        <w:tc>
          <w:tcPr>
            <w:tcW w:w="12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bCs/>
                <w:i w:val="0"/>
                <w:iCs w:val="0"/>
                <w:sz w:val="18"/>
                <w:szCs w:val="18"/>
              </w:rPr>
              <w:t>14</w:t>
            </w:r>
            <w:r>
              <w:rPr>
                <w:rFonts w:ascii="Arial" w:hAnsi="Arial" w:eastAsia="Arial" w:cs="Arial"/>
                <w:b w:val="0"/>
                <w:bCs w:val="0"/>
                <w:i w:val="0"/>
                <w:iCs w:val="0"/>
                <w:sz w:val="16"/>
                <w:szCs w:val="16"/>
                <w:vertAlign w:val="superscript"/>
              </w:rPr>
              <w:t>1</w:t>
            </w:r>
          </w:p>
        </w:tc>
        <w:tc>
          <w:tcPr>
            <w:tcW w:w="156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42.19</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bCs/>
                <w:i w:val="0"/>
                <w:iCs w:val="0"/>
                <w:sz w:val="18"/>
                <w:szCs w:val="18"/>
              </w:rPr>
              <w:t>0.8235</w:t>
            </w:r>
            <w:r>
              <w:rPr>
                <w:rFonts w:ascii="Arial" w:hAnsi="Arial" w:eastAsia="Arial" w:cs="Arial"/>
                <w:b w:val="0"/>
                <w:bCs w:val="0"/>
                <w:i w:val="0"/>
                <w:iCs w:val="0"/>
                <w:sz w:val="16"/>
                <w:szCs w:val="16"/>
                <w:vertAlign w:val="superscript"/>
              </w:rPr>
              <w:t>1</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bCs/>
                <w:i w:val="0"/>
                <w:iCs w:val="0"/>
                <w:sz w:val="18"/>
                <w:szCs w:val="18"/>
              </w:rPr>
              <w:t>5.6167</w:t>
            </w:r>
            <w:r>
              <w:rPr>
                <w:rFonts w:ascii="Arial" w:hAnsi="Arial" w:eastAsia="Arial" w:cs="Arial"/>
                <w:b w:val="0"/>
                <w:bCs w:val="0"/>
                <w:i w:val="0"/>
                <w:iCs w:val="0"/>
                <w:sz w:val="16"/>
                <w:szCs w:val="16"/>
                <w:vertAlign w:val="superscript"/>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tcMar>
              <w:top w:w="60" w:type="dxa"/>
              <w:left w:w="80" w:type="dxa"/>
              <w:bottom w:w="60" w:type="dxa"/>
              <w:right w:w="80" w:type="dxa"/>
            </w:tcMar>
            <w:vAlign w:val="center"/>
          </w:tcPr>
          <w:p>
            <w:pPr>
              <w:jc w:val="left"/>
            </w:pPr>
            <w:r>
              <w:rPr>
                <w:rFonts w:ascii="Arial" w:hAnsi="Arial" w:eastAsia="Arial" w:cs="Arial"/>
                <w:b/>
                <w:bCs/>
                <w:i w:val="0"/>
                <w:iCs w:val="0"/>
                <w:sz w:val="18"/>
                <w:szCs w:val="18"/>
              </w:rPr>
              <w:t>KRAS</w:t>
            </w:r>
          </w:p>
        </w:tc>
        <w:tc>
          <w:tcPr>
            <w:tcW w:w="12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bCs/>
                <w:i w:val="0"/>
                <w:iCs w:val="0"/>
                <w:sz w:val="18"/>
                <w:szCs w:val="18"/>
              </w:rPr>
              <w:t>13</w:t>
            </w:r>
            <w:r>
              <w:rPr>
                <w:rFonts w:ascii="Arial" w:hAnsi="Arial" w:eastAsia="Arial" w:cs="Arial"/>
                <w:b w:val="0"/>
                <w:bCs w:val="0"/>
                <w:i w:val="0"/>
                <w:iCs w:val="0"/>
                <w:sz w:val="16"/>
                <w:szCs w:val="16"/>
                <w:vertAlign w:val="superscript"/>
              </w:rPr>
              <w:t>2</w:t>
            </w:r>
          </w:p>
        </w:tc>
        <w:tc>
          <w:tcPr>
            <w:tcW w:w="156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46.22</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bCs/>
                <w:i w:val="0"/>
                <w:iCs w:val="0"/>
                <w:sz w:val="18"/>
                <w:szCs w:val="18"/>
              </w:rPr>
              <w:t>0.7686</w:t>
            </w:r>
            <w:r>
              <w:rPr>
                <w:rFonts w:ascii="Arial" w:hAnsi="Arial" w:eastAsia="Arial" w:cs="Arial"/>
                <w:b w:val="0"/>
                <w:bCs w:val="0"/>
                <w:i w:val="0"/>
                <w:iCs w:val="0"/>
                <w:sz w:val="16"/>
                <w:szCs w:val="16"/>
                <w:vertAlign w:val="superscript"/>
              </w:rPr>
              <w:t>2</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bCs/>
                <w:i w:val="0"/>
                <w:iCs w:val="0"/>
                <w:sz w:val="18"/>
                <w:szCs w:val="18"/>
              </w:rPr>
              <w:t>3.6667</w:t>
            </w:r>
            <w:r>
              <w:rPr>
                <w:rFonts w:ascii="Arial" w:hAnsi="Arial" w:eastAsia="Arial" w:cs="Arial"/>
                <w:b w:val="0"/>
                <w:bCs w:val="0"/>
                <w:i w:val="0"/>
                <w:iCs w:val="0"/>
                <w:sz w:val="16"/>
                <w:szCs w:val="16"/>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tcMar>
              <w:top w:w="60" w:type="dxa"/>
              <w:left w:w="80" w:type="dxa"/>
              <w:bottom w:w="60" w:type="dxa"/>
              <w:right w:w="80" w:type="dxa"/>
            </w:tcMar>
            <w:vAlign w:val="center"/>
          </w:tcPr>
          <w:p>
            <w:pPr>
              <w:jc w:val="left"/>
            </w:pPr>
            <w:r>
              <w:rPr>
                <w:rFonts w:ascii="Arial" w:hAnsi="Arial" w:eastAsia="Arial" w:cs="Arial"/>
                <w:b/>
                <w:bCs/>
                <w:i w:val="0"/>
                <w:iCs w:val="0"/>
                <w:sz w:val="18"/>
                <w:szCs w:val="18"/>
              </w:rPr>
              <w:t>STAT3</w:t>
            </w:r>
          </w:p>
        </w:tc>
        <w:tc>
          <w:tcPr>
            <w:tcW w:w="12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bCs/>
                <w:i w:val="0"/>
                <w:iCs w:val="0"/>
                <w:sz w:val="18"/>
                <w:szCs w:val="18"/>
              </w:rPr>
              <w:t>12</w:t>
            </w:r>
            <w:r>
              <w:rPr>
                <w:rFonts w:ascii="Arial" w:hAnsi="Arial" w:eastAsia="Arial" w:cs="Arial"/>
                <w:b w:val="0"/>
                <w:bCs w:val="0"/>
                <w:i w:val="0"/>
                <w:iCs w:val="0"/>
                <w:sz w:val="16"/>
                <w:szCs w:val="16"/>
                <w:vertAlign w:val="superscript"/>
              </w:rPr>
              <w:t>3</w:t>
            </w:r>
          </w:p>
        </w:tc>
        <w:tc>
          <w:tcPr>
            <w:tcW w:w="156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44.92</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bCs/>
                <w:i w:val="0"/>
                <w:iCs w:val="0"/>
                <w:sz w:val="18"/>
                <w:szCs w:val="18"/>
              </w:rPr>
              <w:t>0.7206</w:t>
            </w:r>
            <w:r>
              <w:rPr>
                <w:rFonts w:ascii="Arial" w:hAnsi="Arial" w:eastAsia="Arial" w:cs="Arial"/>
                <w:b w:val="0"/>
                <w:bCs w:val="0"/>
                <w:i w:val="0"/>
                <w:iCs w:val="0"/>
                <w:sz w:val="16"/>
                <w:szCs w:val="16"/>
                <w:vertAlign w:val="superscript"/>
              </w:rPr>
              <w:t>3</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bCs/>
                <w:i w:val="0"/>
                <w:iCs w:val="0"/>
                <w:sz w:val="18"/>
                <w:szCs w:val="18"/>
              </w:rPr>
              <w:t>3.6500</w:t>
            </w:r>
            <w:r>
              <w:rPr>
                <w:rFonts w:ascii="Arial" w:hAnsi="Arial" w:eastAsia="Arial" w:cs="Arial"/>
                <w:b w:val="0"/>
                <w:bCs w:val="0"/>
                <w:i w:val="0"/>
                <w:iCs w:val="0"/>
                <w:sz w:val="16"/>
                <w:szCs w:val="16"/>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tcMar>
              <w:top w:w="60" w:type="dxa"/>
              <w:left w:w="80" w:type="dxa"/>
              <w:bottom w:w="60" w:type="dxa"/>
              <w:right w:w="80" w:type="dxa"/>
            </w:tcMar>
            <w:vAlign w:val="center"/>
          </w:tcPr>
          <w:p>
            <w:pPr>
              <w:jc w:val="left"/>
            </w:pPr>
            <w:r>
              <w:rPr>
                <w:rFonts w:ascii="Arial" w:hAnsi="Arial" w:eastAsia="Arial" w:cs="Arial"/>
                <w:b w:val="0"/>
                <w:bCs w:val="0"/>
                <w:i w:val="0"/>
                <w:iCs w:val="0"/>
                <w:sz w:val="18"/>
                <w:szCs w:val="18"/>
              </w:rPr>
              <w:t>TP53</w:t>
            </w:r>
          </w:p>
        </w:tc>
        <w:tc>
          <w:tcPr>
            <w:tcW w:w="12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12</w:t>
            </w:r>
          </w:p>
        </w:tc>
        <w:tc>
          <w:tcPr>
            <w:tcW w:w="156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44.92</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0.7206</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3.6500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tcMar>
              <w:top w:w="60" w:type="dxa"/>
              <w:left w:w="80" w:type="dxa"/>
              <w:bottom w:w="60" w:type="dxa"/>
              <w:right w:w="80" w:type="dxa"/>
            </w:tcMar>
            <w:vAlign w:val="center"/>
          </w:tcPr>
          <w:p>
            <w:pPr>
              <w:jc w:val="left"/>
            </w:pPr>
            <w:r>
              <w:rPr>
                <w:rFonts w:ascii="Arial" w:hAnsi="Arial" w:eastAsia="Arial" w:cs="Arial"/>
                <w:b w:val="0"/>
                <w:bCs w:val="0"/>
                <w:i w:val="0"/>
                <w:iCs w:val="0"/>
                <w:sz w:val="18"/>
                <w:szCs w:val="18"/>
              </w:rPr>
              <w:t>PIK3CA</w:t>
            </w:r>
          </w:p>
        </w:tc>
        <w:tc>
          <w:tcPr>
            <w:tcW w:w="12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12</w:t>
            </w:r>
          </w:p>
        </w:tc>
        <w:tc>
          <w:tcPr>
            <w:tcW w:w="156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51.48</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0.7206</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1.7333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tcMar>
              <w:top w:w="60" w:type="dxa"/>
              <w:left w:w="80" w:type="dxa"/>
              <w:bottom w:w="60" w:type="dxa"/>
              <w:right w:w="80" w:type="dxa"/>
            </w:tcMar>
            <w:vAlign w:val="center"/>
          </w:tcPr>
          <w:p>
            <w:pPr>
              <w:jc w:val="left"/>
            </w:pPr>
            <w:r>
              <w:rPr>
                <w:rFonts w:ascii="Arial" w:hAnsi="Arial" w:eastAsia="Arial" w:cs="Arial"/>
                <w:b w:val="0"/>
                <w:bCs w:val="0"/>
                <w:i w:val="0"/>
                <w:iCs w:val="0"/>
                <w:sz w:val="18"/>
                <w:szCs w:val="18"/>
              </w:rPr>
              <w:t>AKT1</w:t>
            </w:r>
          </w:p>
        </w:tc>
        <w:tc>
          <w:tcPr>
            <w:tcW w:w="12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11</w:t>
            </w:r>
          </w:p>
        </w:tc>
        <w:tc>
          <w:tcPr>
            <w:tcW w:w="156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47.46</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0.6782</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2.6667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tcMar>
              <w:top w:w="60" w:type="dxa"/>
              <w:left w:w="80" w:type="dxa"/>
              <w:bottom w:w="60" w:type="dxa"/>
              <w:right w:w="80" w:type="dxa"/>
            </w:tcMar>
            <w:vAlign w:val="center"/>
          </w:tcPr>
          <w:p>
            <w:pPr>
              <w:jc w:val="left"/>
            </w:pPr>
            <w:r>
              <w:rPr>
                <w:rFonts w:ascii="Arial" w:hAnsi="Arial" w:eastAsia="Arial" w:cs="Arial"/>
                <w:b w:val="0"/>
                <w:bCs w:val="0"/>
                <w:i w:val="0"/>
                <w:iCs w:val="0"/>
                <w:sz w:val="18"/>
                <w:szCs w:val="18"/>
              </w:rPr>
              <w:t>NRAS</w:t>
            </w:r>
          </w:p>
        </w:tc>
        <w:tc>
          <w:tcPr>
            <w:tcW w:w="12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11</w:t>
            </w:r>
          </w:p>
        </w:tc>
        <w:tc>
          <w:tcPr>
            <w:tcW w:w="156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51.17</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0.6782</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1.4667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tcMar>
              <w:top w:w="60" w:type="dxa"/>
              <w:left w:w="80" w:type="dxa"/>
              <w:bottom w:w="60" w:type="dxa"/>
              <w:right w:w="80" w:type="dxa"/>
            </w:tcMar>
            <w:vAlign w:val="center"/>
          </w:tcPr>
          <w:p>
            <w:pPr>
              <w:jc w:val="left"/>
            </w:pPr>
            <w:r>
              <w:rPr>
                <w:rFonts w:ascii="Arial" w:hAnsi="Arial" w:eastAsia="Arial" w:cs="Arial"/>
                <w:b w:val="0"/>
                <w:bCs w:val="0"/>
                <w:i w:val="0"/>
                <w:iCs w:val="0"/>
                <w:sz w:val="18"/>
                <w:szCs w:val="18"/>
              </w:rPr>
              <w:t>PTPN11</w:t>
            </w:r>
          </w:p>
        </w:tc>
        <w:tc>
          <w:tcPr>
            <w:tcW w:w="12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11</w:t>
            </w:r>
          </w:p>
        </w:tc>
        <w:tc>
          <w:tcPr>
            <w:tcW w:w="156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51.17</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0.6782</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1.4667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tcMar>
              <w:top w:w="60" w:type="dxa"/>
              <w:left w:w="80" w:type="dxa"/>
              <w:bottom w:w="60" w:type="dxa"/>
              <w:right w:w="80" w:type="dxa"/>
            </w:tcMar>
            <w:vAlign w:val="center"/>
          </w:tcPr>
          <w:p>
            <w:pPr>
              <w:jc w:val="left"/>
            </w:pPr>
            <w:r>
              <w:rPr>
                <w:rFonts w:ascii="Arial" w:hAnsi="Arial" w:eastAsia="Arial" w:cs="Arial"/>
                <w:b w:val="0"/>
                <w:bCs w:val="0"/>
                <w:i w:val="0"/>
                <w:iCs w:val="0"/>
                <w:sz w:val="18"/>
                <w:szCs w:val="18"/>
              </w:rPr>
              <w:t>PTEN</w:t>
            </w:r>
          </w:p>
        </w:tc>
        <w:tc>
          <w:tcPr>
            <w:tcW w:w="12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11</w:t>
            </w:r>
          </w:p>
        </w:tc>
        <w:tc>
          <w:tcPr>
            <w:tcW w:w="156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bCs/>
                <w:i w:val="0"/>
                <w:iCs w:val="0"/>
                <w:sz w:val="18"/>
                <w:szCs w:val="18"/>
              </w:rPr>
              <w:t>56.79</w:t>
            </w:r>
            <w:r>
              <w:rPr>
                <w:rFonts w:ascii="Arial" w:hAnsi="Arial" w:eastAsia="Arial" w:cs="Arial"/>
                <w:b w:val="0"/>
                <w:bCs w:val="0"/>
                <w:i w:val="0"/>
                <w:iCs w:val="0"/>
                <w:sz w:val="16"/>
                <w:szCs w:val="16"/>
                <w:vertAlign w:val="superscript"/>
              </w:rPr>
              <w:t>3</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0.6782</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tcMar>
              <w:top w:w="60" w:type="dxa"/>
              <w:left w:w="80" w:type="dxa"/>
              <w:bottom w:w="60" w:type="dxa"/>
              <w:right w:w="80" w:type="dxa"/>
            </w:tcMar>
            <w:vAlign w:val="center"/>
          </w:tcPr>
          <w:p>
            <w:pPr>
              <w:jc w:val="left"/>
            </w:pPr>
            <w:r>
              <w:rPr>
                <w:rFonts w:ascii="Arial" w:hAnsi="Arial" w:eastAsia="Arial" w:cs="Arial"/>
                <w:b w:val="0"/>
                <w:bCs w:val="0"/>
                <w:i w:val="0"/>
                <w:iCs w:val="0"/>
                <w:sz w:val="18"/>
                <w:szCs w:val="18"/>
              </w:rPr>
              <w:t>ERBB2</w:t>
            </w:r>
          </w:p>
        </w:tc>
        <w:tc>
          <w:tcPr>
            <w:tcW w:w="12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10</w:t>
            </w:r>
          </w:p>
        </w:tc>
        <w:tc>
          <w:tcPr>
            <w:tcW w:w="156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55.07</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0.6405</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0.8667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tcMar>
              <w:top w:w="60" w:type="dxa"/>
              <w:left w:w="80" w:type="dxa"/>
              <w:bottom w:w="60" w:type="dxa"/>
              <w:right w:w="80" w:type="dxa"/>
            </w:tcMar>
            <w:vAlign w:val="center"/>
          </w:tcPr>
          <w:p>
            <w:pPr>
              <w:jc w:val="left"/>
            </w:pPr>
            <w:r>
              <w:rPr>
                <w:rFonts w:ascii="Arial" w:hAnsi="Arial" w:eastAsia="Arial" w:cs="Arial"/>
                <w:b w:val="0"/>
                <w:bCs w:val="0"/>
                <w:i w:val="0"/>
                <w:iCs w:val="0"/>
                <w:sz w:val="18"/>
                <w:szCs w:val="18"/>
              </w:rPr>
              <w:t>BRAF</w:t>
            </w:r>
          </w:p>
        </w:tc>
        <w:tc>
          <w:tcPr>
            <w:tcW w:w="12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9</w:t>
            </w:r>
          </w:p>
        </w:tc>
        <w:tc>
          <w:tcPr>
            <w:tcW w:w="156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bCs/>
                <w:i w:val="0"/>
                <w:iCs w:val="0"/>
                <w:sz w:val="18"/>
                <w:szCs w:val="18"/>
              </w:rPr>
              <w:t>64.26</w:t>
            </w:r>
            <w:r>
              <w:rPr>
                <w:rFonts w:ascii="Arial" w:hAnsi="Arial" w:eastAsia="Arial" w:cs="Arial"/>
                <w:b w:val="0"/>
                <w:bCs w:val="0"/>
                <w:i w:val="0"/>
                <w:iCs w:val="0"/>
                <w:sz w:val="16"/>
                <w:szCs w:val="16"/>
                <w:vertAlign w:val="superscript"/>
              </w:rPr>
              <w:t>1</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0.6068</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tcMar>
              <w:top w:w="60" w:type="dxa"/>
              <w:left w:w="80" w:type="dxa"/>
              <w:bottom w:w="60" w:type="dxa"/>
              <w:right w:w="80" w:type="dxa"/>
            </w:tcMar>
            <w:vAlign w:val="center"/>
          </w:tcPr>
          <w:p>
            <w:pPr>
              <w:jc w:val="left"/>
            </w:pPr>
            <w:r>
              <w:rPr>
                <w:rFonts w:ascii="Arial" w:hAnsi="Arial" w:eastAsia="Arial" w:cs="Arial"/>
                <w:b w:val="0"/>
                <w:bCs w:val="0"/>
                <w:i w:val="0"/>
                <w:iCs w:val="0"/>
                <w:sz w:val="18"/>
                <w:szCs w:val="18"/>
              </w:rPr>
              <w:t>MET</w:t>
            </w:r>
          </w:p>
        </w:tc>
        <w:tc>
          <w:tcPr>
            <w:tcW w:w="12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9</w:t>
            </w:r>
          </w:p>
        </w:tc>
        <w:tc>
          <w:tcPr>
            <w:tcW w:w="156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bCs/>
                <w:i w:val="0"/>
                <w:iCs w:val="0"/>
                <w:sz w:val="18"/>
                <w:szCs w:val="18"/>
              </w:rPr>
              <w:t>62.84</w:t>
            </w:r>
            <w:r>
              <w:rPr>
                <w:rFonts w:ascii="Arial" w:hAnsi="Arial" w:eastAsia="Arial" w:cs="Arial"/>
                <w:b w:val="0"/>
                <w:bCs w:val="0"/>
                <w:i w:val="0"/>
                <w:iCs w:val="0"/>
                <w:sz w:val="16"/>
                <w:szCs w:val="16"/>
                <w:vertAlign w:val="superscript"/>
              </w:rPr>
              <w:t>2</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0.6068</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tcMar>
              <w:top w:w="60" w:type="dxa"/>
              <w:left w:w="80" w:type="dxa"/>
              <w:bottom w:w="60" w:type="dxa"/>
              <w:right w:w="80" w:type="dxa"/>
            </w:tcMar>
            <w:vAlign w:val="center"/>
          </w:tcPr>
          <w:p>
            <w:pPr>
              <w:jc w:val="left"/>
            </w:pPr>
            <w:r>
              <w:rPr>
                <w:rFonts w:ascii="Arial" w:hAnsi="Arial" w:eastAsia="Arial" w:cs="Arial"/>
                <w:b w:val="0"/>
                <w:bCs w:val="0"/>
                <w:i w:val="0"/>
                <w:iCs w:val="0"/>
                <w:sz w:val="18"/>
                <w:szCs w:val="18"/>
              </w:rPr>
              <w:t>FGFR1</w:t>
            </w:r>
          </w:p>
        </w:tc>
        <w:tc>
          <w:tcPr>
            <w:tcW w:w="12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7</w:t>
            </w:r>
          </w:p>
        </w:tc>
        <w:tc>
          <w:tcPr>
            <w:tcW w:w="156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51.47</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0.5490</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1.1167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tcMar>
              <w:top w:w="60" w:type="dxa"/>
              <w:left w:w="80" w:type="dxa"/>
              <w:bottom w:w="60" w:type="dxa"/>
              <w:right w:w="80" w:type="dxa"/>
            </w:tcMar>
            <w:vAlign w:val="center"/>
          </w:tcPr>
          <w:p>
            <w:pPr>
              <w:jc w:val="left"/>
            </w:pPr>
            <w:r>
              <w:rPr>
                <w:rFonts w:ascii="Arial" w:hAnsi="Arial" w:eastAsia="Arial" w:cs="Arial"/>
                <w:b w:val="0"/>
                <w:bCs w:val="0"/>
                <w:i w:val="0"/>
                <w:iCs w:val="0"/>
                <w:sz w:val="18"/>
                <w:szCs w:val="18"/>
              </w:rPr>
              <w:t>CREBBP</w:t>
            </w:r>
          </w:p>
        </w:tc>
        <w:tc>
          <w:tcPr>
            <w:tcW w:w="12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6</w:t>
            </w:r>
          </w:p>
        </w:tc>
        <w:tc>
          <w:tcPr>
            <w:tcW w:w="156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43.60</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0.5241</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0.8333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single" w:color="000000" w:sz="6" w:space="0"/>
              <w:right w:val="nil"/>
            </w:tcBorders>
            <w:tcMar>
              <w:top w:w="60" w:type="dxa"/>
              <w:left w:w="80" w:type="dxa"/>
              <w:bottom w:w="60" w:type="dxa"/>
              <w:right w:w="80" w:type="dxa"/>
            </w:tcMar>
            <w:vAlign w:val="center"/>
          </w:tcPr>
          <w:p>
            <w:pPr>
              <w:jc w:val="left"/>
            </w:pPr>
            <w:r>
              <w:rPr>
                <w:rFonts w:ascii="Arial" w:hAnsi="Arial" w:eastAsia="Arial" w:cs="Arial"/>
                <w:b w:val="0"/>
                <w:bCs w:val="0"/>
                <w:i w:val="0"/>
                <w:iCs w:val="0"/>
                <w:sz w:val="18"/>
                <w:szCs w:val="18"/>
              </w:rPr>
              <w:t>EP300</w:t>
            </w:r>
          </w:p>
        </w:tc>
        <w:tc>
          <w:tcPr>
            <w:tcW w:w="1200" w:type="dxa"/>
            <w:tcBorders>
              <w:top w:val="nil"/>
              <w:left w:val="nil"/>
              <w:bottom w:val="single" w:color="000000" w:sz="6" w:space="0"/>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6</w:t>
            </w:r>
          </w:p>
        </w:tc>
        <w:tc>
          <w:tcPr>
            <w:tcW w:w="1560" w:type="dxa"/>
            <w:tcBorders>
              <w:top w:val="nil"/>
              <w:left w:val="nil"/>
              <w:bottom w:val="single" w:color="000000" w:sz="6" w:space="0"/>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54.26</w:t>
            </w:r>
          </w:p>
        </w:tc>
        <w:tc>
          <w:tcPr>
            <w:tcW w:w="1800" w:type="dxa"/>
            <w:tcBorders>
              <w:top w:val="nil"/>
              <w:left w:val="nil"/>
              <w:bottom w:val="single" w:color="000000" w:sz="6" w:space="0"/>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0.5241</w:t>
            </w:r>
          </w:p>
        </w:tc>
        <w:tc>
          <w:tcPr>
            <w:tcW w:w="1800" w:type="dxa"/>
            <w:tcBorders>
              <w:top w:val="nil"/>
              <w:left w:val="nil"/>
              <w:bottom w:val="single" w:color="000000" w:sz="6" w:space="0"/>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0.1667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tcMar>
              <w:top w:w="60" w:type="dxa"/>
              <w:left w:w="80" w:type="dxa"/>
              <w:bottom w:w="60" w:type="dxa"/>
              <w:right w:w="80" w:type="dxa"/>
            </w:tcMar>
            <w:vAlign w:val="center"/>
          </w:tcPr>
          <w:p>
            <w:pPr>
              <w:jc w:val="left"/>
            </w:pPr>
            <w:r>
              <w:rPr>
                <w:rFonts w:ascii="Arial" w:hAnsi="Arial" w:eastAsia="Arial" w:cs="Arial"/>
                <w:b w:val="0"/>
                <w:bCs w:val="0"/>
                <w:i/>
                <w:iCs/>
                <w:sz w:val="18"/>
                <w:szCs w:val="18"/>
              </w:rPr>
              <w:t>SCN5A</w:t>
            </w:r>
          </w:p>
        </w:tc>
        <w:tc>
          <w:tcPr>
            <w:tcW w:w="12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2</w:t>
            </w:r>
          </w:p>
        </w:tc>
        <w:tc>
          <w:tcPr>
            <w:tcW w:w="156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1.00</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0.1176</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tcMar>
              <w:top w:w="60" w:type="dxa"/>
              <w:left w:w="80" w:type="dxa"/>
              <w:bottom w:w="60" w:type="dxa"/>
              <w:right w:w="80" w:type="dxa"/>
            </w:tcMar>
            <w:vAlign w:val="center"/>
          </w:tcPr>
          <w:p>
            <w:pPr>
              <w:jc w:val="left"/>
            </w:pPr>
            <w:r>
              <w:rPr>
                <w:rFonts w:ascii="Arial" w:hAnsi="Arial" w:eastAsia="Arial" w:cs="Arial"/>
                <w:b w:val="0"/>
                <w:bCs w:val="0"/>
                <w:i/>
                <w:iCs/>
                <w:sz w:val="18"/>
                <w:szCs w:val="18"/>
              </w:rPr>
              <w:t>KCNH2</w:t>
            </w:r>
          </w:p>
        </w:tc>
        <w:tc>
          <w:tcPr>
            <w:tcW w:w="12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1</w:t>
            </w:r>
          </w:p>
        </w:tc>
        <w:tc>
          <w:tcPr>
            <w:tcW w:w="156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1.00</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0.0784</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nil"/>
              <w:left w:val="nil"/>
              <w:bottom w:val="nil"/>
              <w:right w:val="nil"/>
            </w:tcBorders>
            <w:tcMar>
              <w:top w:w="60" w:type="dxa"/>
              <w:left w:w="80" w:type="dxa"/>
              <w:bottom w:w="60" w:type="dxa"/>
              <w:right w:w="80" w:type="dxa"/>
            </w:tcMar>
            <w:vAlign w:val="center"/>
          </w:tcPr>
          <w:p>
            <w:pPr>
              <w:jc w:val="left"/>
            </w:pPr>
            <w:r>
              <w:rPr>
                <w:rFonts w:ascii="Arial" w:hAnsi="Arial" w:eastAsia="Arial" w:cs="Arial"/>
                <w:b w:val="0"/>
                <w:bCs w:val="0"/>
                <w:i/>
                <w:iCs/>
                <w:sz w:val="18"/>
                <w:szCs w:val="18"/>
              </w:rPr>
              <w:t>TNNI3</w:t>
            </w:r>
          </w:p>
        </w:tc>
        <w:tc>
          <w:tcPr>
            <w:tcW w:w="12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1</w:t>
            </w:r>
          </w:p>
        </w:tc>
        <w:tc>
          <w:tcPr>
            <w:tcW w:w="156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1.00</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0.0784</w:t>
            </w:r>
          </w:p>
        </w:tc>
        <w:tc>
          <w:tcPr>
            <w:tcW w:w="1800" w:type="dxa"/>
            <w:tcBorders>
              <w:top w:val="nil"/>
              <w:left w:val="nil"/>
              <w:bottom w:val="nil"/>
              <w:right w:val="nil"/>
            </w:tcBorders>
            <w:tcMar>
              <w:top w:w="60" w:type="dxa"/>
              <w:left w:w="80" w:type="dxa"/>
              <w:bottom w:w="60" w:type="dxa"/>
              <w:right w:w="80" w:type="dxa"/>
            </w:tcMar>
            <w:vAlign w:val="center"/>
          </w:tcPr>
          <w:p>
            <w:pPr>
              <w:jc w:val="right"/>
            </w:pPr>
            <w:r>
              <w:rPr>
                <w:rFonts w:ascii="Arial" w:hAnsi="Arial" w:eastAsia="Arial" w:cs="Arial"/>
                <w:b w:val="0"/>
                <w:bCs w:val="0"/>
                <w:i w:val="0"/>
                <w:iCs w:val="0"/>
                <w:sz w:val="18"/>
                <w:szCs w:val="18"/>
              </w:rPr>
              <w:t>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000000" w:sz="6" w:space="0"/>
              <w:left w:val="nil"/>
              <w:bottom w:val="single" w:color="000000" w:sz="12" w:space="0"/>
              <w:right w:val="nil"/>
            </w:tcBorders>
            <w:tcMar>
              <w:top w:w="60" w:type="dxa"/>
              <w:left w:w="80" w:type="dxa"/>
              <w:bottom w:w="60" w:type="dxa"/>
              <w:right w:w="80" w:type="dxa"/>
            </w:tcMar>
            <w:vAlign w:val="center"/>
          </w:tcPr>
          <w:p>
            <w:pPr>
              <w:jc w:val="right"/>
            </w:pPr>
          </w:p>
        </w:tc>
        <w:tc>
          <w:tcPr>
            <w:tcW w:w="1200" w:type="dxa"/>
            <w:tcBorders>
              <w:top w:val="single" w:color="000000" w:sz="6" w:space="0"/>
              <w:left w:val="nil"/>
              <w:bottom w:val="single" w:color="000000" w:sz="12" w:space="0"/>
              <w:right w:val="nil"/>
            </w:tcBorders>
            <w:tcMar>
              <w:top w:w="60" w:type="dxa"/>
              <w:left w:w="80" w:type="dxa"/>
              <w:bottom w:w="60" w:type="dxa"/>
              <w:right w:w="80" w:type="dxa"/>
            </w:tcMar>
            <w:vAlign w:val="center"/>
          </w:tcPr>
          <w:p>
            <w:pPr>
              <w:jc w:val="right"/>
            </w:pPr>
          </w:p>
        </w:tc>
        <w:tc>
          <w:tcPr>
            <w:tcW w:w="1560" w:type="dxa"/>
            <w:tcBorders>
              <w:top w:val="single" w:color="000000" w:sz="6" w:space="0"/>
              <w:left w:val="nil"/>
              <w:bottom w:val="single" w:color="000000" w:sz="12" w:space="0"/>
              <w:right w:val="nil"/>
            </w:tcBorders>
            <w:tcMar>
              <w:top w:w="60" w:type="dxa"/>
              <w:left w:w="80" w:type="dxa"/>
              <w:bottom w:w="60" w:type="dxa"/>
              <w:right w:w="80" w:type="dxa"/>
            </w:tcMar>
            <w:vAlign w:val="center"/>
          </w:tcPr>
          <w:p>
            <w:pPr>
              <w:jc w:val="right"/>
            </w:pPr>
          </w:p>
        </w:tc>
        <w:tc>
          <w:tcPr>
            <w:tcW w:w="1800" w:type="dxa"/>
            <w:tcBorders>
              <w:top w:val="single" w:color="000000" w:sz="6" w:space="0"/>
              <w:left w:val="nil"/>
              <w:bottom w:val="single" w:color="000000" w:sz="12" w:space="0"/>
              <w:right w:val="nil"/>
            </w:tcBorders>
            <w:tcMar>
              <w:top w:w="60" w:type="dxa"/>
              <w:left w:w="80" w:type="dxa"/>
              <w:bottom w:w="60" w:type="dxa"/>
              <w:right w:w="80" w:type="dxa"/>
            </w:tcMar>
            <w:vAlign w:val="center"/>
          </w:tcPr>
          <w:p>
            <w:pPr>
              <w:jc w:val="right"/>
            </w:pPr>
          </w:p>
        </w:tc>
        <w:tc>
          <w:tcPr>
            <w:tcW w:w="1800" w:type="dxa"/>
            <w:tcBorders>
              <w:top w:val="single" w:color="000000" w:sz="6" w:space="0"/>
              <w:left w:val="nil"/>
              <w:bottom w:val="single" w:color="000000" w:sz="12" w:space="0"/>
              <w:right w:val="nil"/>
            </w:tcBorders>
            <w:tcMar>
              <w:top w:w="60" w:type="dxa"/>
              <w:left w:w="80" w:type="dxa"/>
              <w:bottom w:w="60" w:type="dxa"/>
              <w:right w:w="80" w:type="dxa"/>
            </w:tcMar>
            <w:vAlign w:val="center"/>
          </w:tcPr>
          <w:p>
            <w:pPr>
              <w:jc w:val="right"/>
            </w:pPr>
          </w:p>
        </w:tc>
      </w:tr>
    </w:tbl>
    <w:p>
      <w:pPr>
        <w:spacing w:before="100" w:after="0"/>
        <w:jc w:val="left"/>
      </w:pPr>
      <w:r>
        <w:rPr>
          <w:rFonts w:ascii="Arial" w:hAnsi="Arial" w:eastAsia="Arial" w:cs="Arial"/>
          <w:b w:val="0"/>
          <w:bCs w:val="0"/>
          <w:i w:val="0"/>
          <w:iCs w:val="0"/>
          <w:sz w:val="16"/>
          <w:szCs w:val="16"/>
        </w:rPr>
        <w:t xml:space="preserve">Abbreviations: MCC, Maximal Clique Centrality. Superscripts </w:t>
      </w:r>
      <w:r>
        <w:rPr>
          <w:rFonts w:ascii="Arial" w:hAnsi="Arial" w:eastAsia="Arial" w:cs="Arial"/>
          <w:b w:val="0"/>
          <w:bCs w:val="0"/>
          <w:i w:val="0"/>
          <w:iCs w:val="0"/>
          <w:sz w:val="14"/>
          <w:szCs w:val="14"/>
          <w:vertAlign w:val="superscript"/>
        </w:rPr>
        <w:t>1</w:t>
      </w:r>
      <w:r>
        <w:rPr>
          <w:rFonts w:ascii="Arial" w:hAnsi="Arial" w:eastAsia="Arial" w:cs="Arial"/>
          <w:b w:val="0"/>
          <w:bCs w:val="0"/>
          <w:i w:val="0"/>
          <w:iCs w:val="0"/>
          <w:sz w:val="16"/>
          <w:szCs w:val="16"/>
        </w:rPr>
        <w:t>–</w:t>
      </w:r>
      <w:r>
        <w:rPr>
          <w:rFonts w:ascii="Arial" w:hAnsi="Arial" w:eastAsia="Arial" w:cs="Arial"/>
          <w:b w:val="0"/>
          <w:bCs w:val="0"/>
          <w:i w:val="0"/>
          <w:iCs w:val="0"/>
          <w:sz w:val="14"/>
          <w:szCs w:val="14"/>
          <w:vertAlign w:val="superscript"/>
        </w:rPr>
        <w:t>3</w:t>
      </w:r>
      <w:r>
        <w:rPr>
          <w:rFonts w:ascii="Arial" w:hAnsi="Arial" w:eastAsia="Arial" w:cs="Arial"/>
          <w:b w:val="0"/>
          <w:bCs w:val="0"/>
          <w:i w:val="0"/>
          <w:iCs w:val="0"/>
          <w:sz w:val="16"/>
          <w:szCs w:val="16"/>
        </w:rPr>
        <w:t xml:space="preserve"> denote rank 1–3 for each metric. Bold values indicate top-3 ranked genes per algorithm. Italic gene names (lower section) indicate isolated or near-isolated nodes (Degree ≤ 2) in the PPI network. Hub gene prioritisation: the top 10 genes ranked by Degree are designated as key hub genes.</w:t>
      </w:r>
    </w:p>
    <w:p>
      <w:pPr>
        <w:keepNext w:val="0"/>
        <w:keepLines w:val="0"/>
        <w:widowControl/>
        <w:numPr>
          <w:ilvl w:val="0"/>
          <w:numId w:val="0"/>
        </w:numPr>
        <w:suppressLineNumbers w:val="0"/>
        <w:jc w:val="both"/>
        <w:rPr>
          <w:rFonts w:ascii="宋体" w:hAnsi="宋体" w:eastAsia="宋体" w:cs="宋体"/>
          <w:sz w:val="24"/>
          <w:szCs w:val="24"/>
        </w:rPr>
      </w:pPr>
    </w:p>
    <w:p>
      <w:pPr>
        <w:keepNext w:val="0"/>
        <w:keepLines w:val="0"/>
        <w:widowControl/>
        <w:numPr>
          <w:ilvl w:val="0"/>
          <w:numId w:val="0"/>
        </w:numPr>
        <w:suppressLineNumbers w:val="0"/>
        <w:jc w:val="both"/>
        <w:rPr>
          <w:rFonts w:hint="default" w:ascii="Times New Roman" w:hAnsi="Times New Roman" w:eastAsia="宋体"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00000000"/>
    <w:rsid w:val="03767EB5"/>
    <w:rsid w:val="0DA14AE4"/>
    <w:rsid w:val="1CDC2090"/>
    <w:rsid w:val="37BA49E6"/>
    <w:rsid w:val="4CC637BC"/>
    <w:rsid w:val="52F004CF"/>
    <w:rsid w:val="75997E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2026-03-19T16:37:00Z</dcterms:created>
  <dc:creator>zjq19</dc:creator>
  <cp:lastModifiedBy>月亭</cp:lastModifiedBy>
  <dcterms:modified xsi:type="dcterms:W3CDTF">2026-03-23T16:41:54Z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B2FED246262A4DBE9BC8848A5DDEA5BA_12</vt:lpwstr>
  </property>
</Properties>
</file>