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5A14" w:rsidRPr="00DE5A14" w:rsidRDefault="00DE5A14" w:rsidP="00DE5A14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E5A14">
        <w:rPr>
          <w:rFonts w:ascii="Times New Roman" w:hAnsi="Times New Roman" w:cs="Times New Roman"/>
          <w:b/>
          <w:bCs/>
          <w:sz w:val="20"/>
          <w:szCs w:val="20"/>
        </w:rPr>
        <w:t>Supplementary Material:</w:t>
      </w:r>
    </w:p>
    <w:p w:rsidR="00DE5A14" w:rsidRPr="00DE5A14" w:rsidRDefault="00DE5A14" w:rsidP="00DE5A14">
      <w:pPr>
        <w:pStyle w:val="a8"/>
        <w:spacing w:after="0" w:line="240" w:lineRule="auto"/>
        <w:jc w:val="center"/>
        <w:rPr>
          <w:rFonts w:ascii="Times New Roman" w:hAnsi="Times New Roman"/>
          <w:sz w:val="20"/>
          <w:lang w:eastAsia="en-US"/>
        </w:rPr>
      </w:pPr>
      <w:r w:rsidRPr="00DE5A14">
        <w:rPr>
          <w:rStyle w:val="a4"/>
          <w:rFonts w:ascii="Times New Roman" w:hAnsi="Times New Roman"/>
          <w:sz w:val="20"/>
        </w:rPr>
        <w:t>Supplementary Table S1. Experimental validation details for therapeutic miRNA interventions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4"/>
        <w:gridCol w:w="860"/>
        <w:gridCol w:w="897"/>
        <w:gridCol w:w="2008"/>
        <w:gridCol w:w="640"/>
        <w:gridCol w:w="707"/>
        <w:gridCol w:w="787"/>
        <w:gridCol w:w="965"/>
        <w:gridCol w:w="688"/>
      </w:tblGrid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miRNA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Experimental Intervention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Delivery Platform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Sequence / Guide ID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Model System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Biological Replicates (n)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Primary Assays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Key Readouts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Statistical Test</w:t>
            </w:r>
          </w:p>
        </w:tc>
      </w:tr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miR-21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Anti-</w:t>
            </w:r>
            <w:proofErr w:type="spellStart"/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miR</w:t>
            </w:r>
            <w:proofErr w:type="spellEnd"/>
            <w:r w:rsidRPr="00DE5A14">
              <w:rPr>
                <w:rFonts w:ascii="Times New Roman" w:hAnsi="Times New Roman" w:cs="Times New Roman"/>
                <w:sz w:val="20"/>
                <w:szCs w:val="20"/>
              </w:rPr>
              <w:t xml:space="preserve"> inhibition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LNP-encapsulated antisense oligo (ASO)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Anti-miR-21-ASO: 5’-UCAACAUCAGUCUGAUAAGCUA-3’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MDA-MB-231 cells; NOD-SCID xenograft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3 in-vitro / 3 in-vivo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Ki-67 staining, apoptosis assay, tumor volume tracking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 xml:space="preserve">↓ proliferation 60%; ↓ tumor growth 75%; ↑ </w:t>
            </w:r>
            <w:proofErr w:type="spellStart"/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chemosensitivity</w:t>
            </w:r>
            <w:proofErr w:type="spellEnd"/>
            <w:r w:rsidRPr="00DE5A14">
              <w:rPr>
                <w:rFonts w:ascii="Times New Roman" w:hAnsi="Times New Roman" w:cs="Times New Roman"/>
                <w:sz w:val="20"/>
                <w:szCs w:val="20"/>
              </w:rPr>
              <w:t xml:space="preserve"> 3.2-fold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Two-tailed t-test, ANOVA for tumor curves</w:t>
            </w:r>
          </w:p>
        </w:tc>
      </w:tr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miR-155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CRISPR-dCas9 epigenetic silencing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Lentiviral</w:t>
            </w:r>
            <w:proofErr w:type="spellEnd"/>
            <w:r w:rsidRPr="00DE5A14">
              <w:rPr>
                <w:rFonts w:ascii="Times New Roman" w:hAnsi="Times New Roman" w:cs="Times New Roman"/>
                <w:sz w:val="20"/>
                <w:szCs w:val="20"/>
              </w:rPr>
              <w:t xml:space="preserve"> dCas9-KRAB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gRNA: 5’-GGACTGCCTTACAGAATTA-3’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MDA-MB-468 cells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CD31 angiogenesis assay, migration assay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↓ angiogenesis 40%; ↓ invasion 35%; ↑ immune sensitization 2.1-fold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Two-tailed t-test</w:t>
            </w:r>
          </w:p>
        </w:tc>
      </w:tr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miR-200b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miRNA mimic transfection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Lipofectamine</w:t>
            </w:r>
            <w:proofErr w:type="spellEnd"/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-based delivery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Mimic sequence: 5’-UAAUACUGCCUGGUAAUGAUGA-3’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T47D cells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 xml:space="preserve">EMT markers (E-cadherin, </w:t>
            </w:r>
            <w:proofErr w:type="spellStart"/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vimentin</w:t>
            </w:r>
            <w:proofErr w:type="spellEnd"/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), wound-healing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↑ E-cadherin 2.3-fold; ↓ migration 32%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Two-tailed t-test</w:t>
            </w:r>
          </w:p>
        </w:tc>
      </w:tr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let-7a</w:t>
            </w: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DE5A14">
              <w:rPr>
                <w:rStyle w:val="a7"/>
                <w:rFonts w:ascii="Times New Roman" w:hAnsi="Times New Roman" w:cs="Times New Roman"/>
                <w:sz w:val="20"/>
                <w:szCs w:val="20"/>
              </w:rPr>
              <w:t>(context benchmark)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miRNA restoration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Nanoparticle assisted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5’-UGAGGUAGUAGGUUGUAUAGUU-3’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BT-474 cells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Literature benchmark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Cell viability, colony assay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 xml:space="preserve">Tumor suppressor restoration </w:t>
            </w:r>
            <w:r w:rsidRPr="00DE5A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effects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Literature-referenced contr</w:t>
            </w:r>
            <w:r w:rsidRPr="00DE5A1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ols</w:t>
            </w:r>
          </w:p>
        </w:tc>
      </w:tr>
    </w:tbl>
    <w:p w:rsidR="00DE5A14" w:rsidRPr="00DE5A14" w:rsidRDefault="00DE5A14" w:rsidP="00DE5A14">
      <w:pPr>
        <w:pStyle w:val="a8"/>
        <w:spacing w:after="0" w:line="240" w:lineRule="auto"/>
        <w:rPr>
          <w:rFonts w:ascii="Times New Roman" w:hAnsi="Times New Roman"/>
          <w:sz w:val="20"/>
        </w:rPr>
      </w:pPr>
      <w:r w:rsidRPr="00DE5A14">
        <w:rPr>
          <w:rFonts w:ascii="Times New Roman" w:hAnsi="Times New Roman"/>
          <w:sz w:val="20"/>
        </w:rPr>
        <w:lastRenderedPageBreak/>
        <w:t>Kaplan–Meier plots demonstrating overall survival (OS) and disease-free survival (DFS) stratified by high versus low miR-21, miR-155, and miR-200b expression (median cut-off). Shaded regions represent 95% confidence intervals. Survival differences assessed using the log-rank test. Patients without events were censored at last follow-up.</w:t>
      </w:r>
    </w:p>
    <w:p w:rsidR="00DE5A14" w:rsidRPr="00DE5A14" w:rsidRDefault="00DE5A14" w:rsidP="00DE5A14">
      <w:pPr>
        <w:pStyle w:val="a8"/>
        <w:spacing w:after="0" w:line="240" w:lineRule="auto"/>
        <w:jc w:val="center"/>
        <w:rPr>
          <w:rFonts w:ascii="Times New Roman" w:hAnsi="Times New Roman"/>
          <w:sz w:val="20"/>
          <w:lang w:eastAsia="en-US"/>
        </w:rPr>
      </w:pPr>
      <w:r w:rsidRPr="00DE5A14">
        <w:rPr>
          <w:rStyle w:val="a4"/>
          <w:rFonts w:ascii="Times New Roman" w:hAnsi="Times New Roman"/>
          <w:sz w:val="20"/>
        </w:rPr>
        <w:t>Supplementary Table S2. Multivariable Cox Regression and Survival Event Summary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66"/>
        <w:gridCol w:w="889"/>
        <w:gridCol w:w="510"/>
        <w:gridCol w:w="594"/>
        <w:gridCol w:w="689"/>
        <w:gridCol w:w="1063"/>
        <w:gridCol w:w="1063"/>
        <w:gridCol w:w="767"/>
        <w:gridCol w:w="954"/>
        <w:gridCol w:w="1001"/>
      </w:tblGrid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miRNA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Endpoint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HR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95% CI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p-value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Survival (High Expression)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Median Survival (Low Expression)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Events / Total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Censoring (%)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Schoenfeld</w:t>
            </w:r>
            <w:proofErr w:type="spellEnd"/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p-value</w:t>
            </w:r>
          </w:p>
        </w:tc>
      </w:tr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miR-21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2.18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1.64–2.89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34.8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61.2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198/612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67.6%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0.41</w:t>
            </w:r>
          </w:p>
        </w:tc>
      </w:tr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DFS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1.92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1.48–2.62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&lt;0.001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27.5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52.9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221/612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63.9%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0.37</w:t>
            </w:r>
          </w:p>
        </w:tc>
      </w:tr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miR-155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1.67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1.23–2.21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39.3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59.4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172/612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71.9%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0.53</w:t>
            </w:r>
          </w:p>
        </w:tc>
      </w:tr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DFS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1.51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1.12–2.04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0.008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30.4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49.6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189/612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69.1%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0.48</w:t>
            </w:r>
          </w:p>
        </w:tc>
      </w:tr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Style w:val="a4"/>
                <w:rFonts w:ascii="Times New Roman" w:hAnsi="Times New Roman" w:cs="Times New Roman"/>
                <w:sz w:val="20"/>
                <w:szCs w:val="20"/>
              </w:rPr>
              <w:t>miR-200b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OS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0.61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0.44–0.86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0.004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58.7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41.9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145/612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76.3%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0.44</w:t>
            </w:r>
          </w:p>
        </w:tc>
      </w:tr>
      <w:tr w:rsidR="00DE5A14" w:rsidRPr="00DE5A14" w:rsidTr="008736BD"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DFS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0.67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0.49–0.92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0.014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52.1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36.8 months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162/612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73.5%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</w:rPr>
              <w:t>0.39</w:t>
            </w:r>
          </w:p>
        </w:tc>
      </w:tr>
    </w:tbl>
    <w:p w:rsidR="00DE5A14" w:rsidRPr="00DE5A14" w:rsidRDefault="00DE5A14" w:rsidP="00DE5A14">
      <w:pPr>
        <w:pStyle w:val="a6"/>
        <w:rPr>
          <w:sz w:val="20"/>
          <w:szCs w:val="20"/>
        </w:rPr>
      </w:pPr>
      <w:r w:rsidRPr="00DE5A14">
        <w:rPr>
          <w:rStyle w:val="a4"/>
          <w:sz w:val="20"/>
          <w:szCs w:val="20"/>
        </w:rPr>
        <w:t>Adjusted for</w:t>
      </w:r>
      <w:r w:rsidRPr="00DE5A14">
        <w:rPr>
          <w:sz w:val="20"/>
          <w:szCs w:val="20"/>
        </w:rPr>
        <w:t xml:space="preserve"> age, ER/PR/HER2 status, histological grade, </w:t>
      </w:r>
      <w:proofErr w:type="spellStart"/>
      <w:r w:rsidRPr="00DE5A14">
        <w:rPr>
          <w:sz w:val="20"/>
          <w:szCs w:val="20"/>
        </w:rPr>
        <w:t>tumor</w:t>
      </w:r>
      <w:proofErr w:type="spellEnd"/>
      <w:r w:rsidRPr="00DE5A14">
        <w:rPr>
          <w:sz w:val="20"/>
          <w:szCs w:val="20"/>
        </w:rPr>
        <w:t xml:space="preserve"> stage, and lymph node status.</w:t>
      </w:r>
    </w:p>
    <w:p w:rsidR="00DE5A14" w:rsidRPr="00DE5A14" w:rsidRDefault="00DE5A14" w:rsidP="00DE5A14">
      <w:pPr>
        <w:pStyle w:val="a6"/>
        <w:rPr>
          <w:sz w:val="20"/>
          <w:szCs w:val="20"/>
        </w:rPr>
      </w:pPr>
      <w:r w:rsidRPr="00DE5A14">
        <w:rPr>
          <w:rStyle w:val="a4"/>
          <w:sz w:val="20"/>
          <w:szCs w:val="20"/>
        </w:rPr>
        <w:t>OS</w:t>
      </w:r>
      <w:r w:rsidRPr="00DE5A14">
        <w:rPr>
          <w:sz w:val="20"/>
          <w:szCs w:val="20"/>
        </w:rPr>
        <w:t xml:space="preserve">: Overall Survival • </w:t>
      </w:r>
      <w:r w:rsidRPr="00DE5A14">
        <w:rPr>
          <w:rStyle w:val="a4"/>
          <w:sz w:val="20"/>
          <w:szCs w:val="20"/>
        </w:rPr>
        <w:t>DFS</w:t>
      </w:r>
      <w:r w:rsidRPr="00DE5A14">
        <w:rPr>
          <w:sz w:val="20"/>
          <w:szCs w:val="20"/>
        </w:rPr>
        <w:t>: Disease-Free Survival</w:t>
      </w:r>
      <w:r w:rsidRPr="00DE5A14">
        <w:rPr>
          <w:sz w:val="20"/>
          <w:szCs w:val="20"/>
        </w:rPr>
        <w:br/>
      </w:r>
      <w:r w:rsidRPr="00DE5A14">
        <w:rPr>
          <w:rStyle w:val="a4"/>
          <w:sz w:val="20"/>
          <w:szCs w:val="20"/>
        </w:rPr>
        <w:t>HR &lt; 1</w:t>
      </w:r>
      <w:r w:rsidRPr="00DE5A14">
        <w:rPr>
          <w:sz w:val="20"/>
          <w:szCs w:val="20"/>
        </w:rPr>
        <w:t xml:space="preserve"> = protective, </w:t>
      </w:r>
      <w:r w:rsidRPr="00DE5A14">
        <w:rPr>
          <w:rStyle w:val="a4"/>
          <w:sz w:val="20"/>
          <w:szCs w:val="20"/>
        </w:rPr>
        <w:t>HR &gt; 1</w:t>
      </w:r>
      <w:r w:rsidRPr="00DE5A14">
        <w:rPr>
          <w:sz w:val="20"/>
          <w:szCs w:val="20"/>
        </w:rPr>
        <w:t xml:space="preserve"> = risk association.</w:t>
      </w:r>
      <w:r w:rsidRPr="00DE5A14">
        <w:rPr>
          <w:sz w:val="20"/>
          <w:szCs w:val="20"/>
        </w:rPr>
        <w:br/>
        <w:t xml:space="preserve">Proportional hazards assumption supported by </w:t>
      </w:r>
      <w:proofErr w:type="spellStart"/>
      <w:r w:rsidRPr="00DE5A14">
        <w:rPr>
          <w:sz w:val="20"/>
          <w:szCs w:val="20"/>
        </w:rPr>
        <w:t>Schoenfeld</w:t>
      </w:r>
      <w:proofErr w:type="spellEnd"/>
      <w:r w:rsidRPr="00DE5A14">
        <w:rPr>
          <w:sz w:val="20"/>
          <w:szCs w:val="20"/>
        </w:rPr>
        <w:t xml:space="preserve"> tests (all p &gt; 0.05).</w:t>
      </w:r>
    </w:p>
    <w:p w:rsidR="001C4182" w:rsidRDefault="001C4182" w:rsidP="00DE5A14">
      <w:pPr>
        <w:pStyle w:val="a8"/>
        <w:spacing w:after="0" w:line="240" w:lineRule="auto"/>
        <w:jc w:val="center"/>
        <w:rPr>
          <w:rFonts w:ascii="Times New Roman" w:hAnsi="Times New Roman"/>
          <w:b/>
          <w:bCs/>
          <w:sz w:val="20"/>
        </w:rPr>
      </w:pPr>
    </w:p>
    <w:p w:rsidR="00DE5A14" w:rsidRPr="00DE5A14" w:rsidRDefault="00DE5A14" w:rsidP="00DE5A14">
      <w:pPr>
        <w:pStyle w:val="a8"/>
        <w:spacing w:after="0" w:line="240" w:lineRule="auto"/>
        <w:jc w:val="center"/>
        <w:rPr>
          <w:rFonts w:ascii="Times New Roman" w:hAnsi="Times New Roman"/>
          <w:b/>
          <w:bCs/>
          <w:sz w:val="20"/>
        </w:rPr>
      </w:pPr>
      <w:bookmarkStart w:id="0" w:name="_GoBack"/>
      <w:bookmarkEnd w:id="0"/>
      <w:r w:rsidRPr="00DE5A14">
        <w:rPr>
          <w:rFonts w:ascii="Times New Roman" w:hAnsi="Times New Roman"/>
          <w:b/>
          <w:bCs/>
          <w:sz w:val="20"/>
        </w:rPr>
        <w:t xml:space="preserve">Supplementary Table S3. </w:t>
      </w:r>
      <w:r w:rsidRPr="00DE5A14">
        <w:rPr>
          <w:rFonts w:ascii="Times New Roman" w:hAnsi="Times New Roman"/>
          <w:sz w:val="20"/>
        </w:rPr>
        <w:t>Clinical and demographic characteristics of the TCGA-BRCA cohort used for external validation.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606"/>
        <w:gridCol w:w="2177"/>
        <w:gridCol w:w="1044"/>
        <w:gridCol w:w="1540"/>
      </w:tblGrid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Variable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Category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Count (n)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Percentage (%)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Total patients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—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1,097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Age at diagnosis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&lt; 50 years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321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29.3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≥ 50 years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776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70.7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Tumor subtype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Luminal A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504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45.9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Luminal B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216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19.7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HER2-enriched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116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10.6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Triple-negative (TNBC)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154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14.0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Normal-like/Other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107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9.8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Tumor stage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Stage I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16.3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Stage II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505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46.1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Stage III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266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24.3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Stage IV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4.3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Unknown/NA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9.1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Ethnicity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White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705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64.3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Black/African American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179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16.3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Asian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88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8.0</w:t>
            </w:r>
          </w:p>
        </w:tc>
      </w:tr>
      <w:tr w:rsidR="00DE5A14" w:rsidRPr="00DE5A14" w:rsidTr="008736BD">
        <w:trPr>
          <w:jc w:val="center"/>
        </w:trPr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Other/Unknown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125</w:t>
            </w:r>
          </w:p>
        </w:tc>
        <w:tc>
          <w:tcPr>
            <w:tcW w:w="0" w:type="auto"/>
            <w:hideMark/>
          </w:tcPr>
          <w:p w:rsidR="00DE5A14" w:rsidRPr="00DE5A14" w:rsidRDefault="00DE5A14" w:rsidP="008736BD">
            <w:pPr>
              <w:jc w:val="right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DE5A1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11.4</w:t>
            </w:r>
          </w:p>
        </w:tc>
      </w:tr>
    </w:tbl>
    <w:p w:rsidR="00323425" w:rsidRPr="00DE5A14" w:rsidRDefault="00323425" w:rsidP="00040CDF">
      <w:pPr>
        <w:rPr>
          <w:rFonts w:ascii="Times New Roman" w:hAnsi="Times New Roman" w:cs="Times New Roman"/>
        </w:rPr>
      </w:pPr>
    </w:p>
    <w:p w:rsidR="00040CDF" w:rsidRPr="00DE5A14" w:rsidRDefault="00040CDF" w:rsidP="00040CDF">
      <w:pPr>
        <w:rPr>
          <w:rFonts w:ascii="Times New Roman" w:hAnsi="Times New Roman" w:cs="Times New Roman"/>
        </w:rPr>
      </w:pPr>
    </w:p>
    <w:sectPr w:rsidR="00040CDF" w:rsidRPr="00DE5A1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nion Pro">
    <w:altName w:val="Cambria"/>
    <w:panose1 w:val="00000000000000000000"/>
    <w:charset w:val="00"/>
    <w:family w:val="roman"/>
    <w:notTrueType/>
    <w:pitch w:val="default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857BEA"/>
    <w:multiLevelType w:val="multilevel"/>
    <w:tmpl w:val="0B948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6B778E3"/>
    <w:multiLevelType w:val="multilevel"/>
    <w:tmpl w:val="DEA26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6E119E7"/>
    <w:multiLevelType w:val="multilevel"/>
    <w:tmpl w:val="D98C7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CDF"/>
    <w:rsid w:val="00040CDF"/>
    <w:rsid w:val="001C4182"/>
    <w:rsid w:val="00323425"/>
    <w:rsid w:val="00DE5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753574"/>
  <w15:chartTrackingRefBased/>
  <w15:docId w15:val="{CCFD2CCE-967D-4AC9-B751-901989E33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3">
    <w:name w:val="heading 3"/>
    <w:basedOn w:val="a"/>
    <w:link w:val="30"/>
    <w:uiPriority w:val="9"/>
    <w:qFormat/>
    <w:rsid w:val="00040CD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qFormat/>
    <w:rsid w:val="00040CD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标题 3 字符"/>
    <w:basedOn w:val="a0"/>
    <w:link w:val="3"/>
    <w:uiPriority w:val="9"/>
    <w:rsid w:val="00040CDF"/>
    <w:rPr>
      <w:rFonts w:ascii="宋体" w:eastAsia="宋体" w:hAnsi="宋体" w:cs="宋体"/>
      <w:b/>
      <w:bCs/>
      <w:kern w:val="0"/>
      <w:sz w:val="27"/>
      <w:szCs w:val="27"/>
    </w:rPr>
  </w:style>
  <w:style w:type="paragraph" w:customStyle="1" w:styleId="ds-markdown-paragraph">
    <w:name w:val="ds-markdown-paragraph"/>
    <w:basedOn w:val="a"/>
    <w:rsid w:val="00040CDF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4">
    <w:name w:val="Strong"/>
    <w:basedOn w:val="a0"/>
    <w:uiPriority w:val="22"/>
    <w:qFormat/>
    <w:rsid w:val="00040CDF"/>
    <w:rPr>
      <w:b/>
      <w:bCs/>
    </w:rPr>
  </w:style>
  <w:style w:type="character" w:styleId="a5">
    <w:name w:val="Hyperlink"/>
    <w:basedOn w:val="a0"/>
    <w:uiPriority w:val="99"/>
    <w:semiHidden/>
    <w:unhideWhenUsed/>
    <w:rsid w:val="00040CDF"/>
    <w:rPr>
      <w:color w:val="0000FF"/>
      <w:u w:val="single"/>
    </w:rPr>
  </w:style>
  <w:style w:type="paragraph" w:styleId="a6">
    <w:name w:val="Normal (Web)"/>
    <w:basedOn w:val="a"/>
    <w:uiPriority w:val="99"/>
    <w:qFormat/>
    <w:rsid w:val="00DE5A14"/>
    <w:pPr>
      <w:widowControl/>
      <w:jc w:val="left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</w:rPr>
  </w:style>
  <w:style w:type="character" w:styleId="a7">
    <w:name w:val="Emphasis"/>
    <w:basedOn w:val="a0"/>
    <w:uiPriority w:val="20"/>
    <w:qFormat/>
    <w:rsid w:val="00DE5A14"/>
    <w:rPr>
      <w:i/>
      <w:iCs/>
    </w:rPr>
  </w:style>
  <w:style w:type="paragraph" w:styleId="a8">
    <w:name w:val="Body Text"/>
    <w:link w:val="a9"/>
    <w:qFormat/>
    <w:rsid w:val="00DE5A14"/>
    <w:pPr>
      <w:spacing w:after="120" w:line="340" w:lineRule="atLeast"/>
      <w:jc w:val="both"/>
    </w:pPr>
    <w:rPr>
      <w:rFonts w:ascii="Minion Pro" w:eastAsia="宋体" w:hAnsi="Minion Pro" w:cs="Times New Roman"/>
      <w:color w:val="000000"/>
      <w:kern w:val="0"/>
      <w:sz w:val="24"/>
      <w:szCs w:val="20"/>
      <w:lang w:eastAsia="de-DE"/>
    </w:rPr>
  </w:style>
  <w:style w:type="character" w:customStyle="1" w:styleId="a9">
    <w:name w:val="正文文本 字符"/>
    <w:basedOn w:val="a0"/>
    <w:link w:val="a8"/>
    <w:rsid w:val="00DE5A14"/>
    <w:rPr>
      <w:rFonts w:ascii="Minion Pro" w:eastAsia="宋体" w:hAnsi="Minion Pro" w:cs="Times New Roman"/>
      <w:color w:val="000000"/>
      <w:kern w:val="0"/>
      <w:sz w:val="24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7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476</Words>
  <Characters>2717</Characters>
  <Application>Microsoft Office Word</Application>
  <DocSecurity>0</DocSecurity>
  <Lines>22</Lines>
  <Paragraphs>6</Paragraphs>
  <ScaleCrop>false</ScaleCrop>
  <Company/>
  <LinksUpToDate>false</LinksUpToDate>
  <CharactersWithSpaces>3187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用户</dc:creator>
  <cp:keywords/>
  <dc:description/>
  <cp:lastModifiedBy>Windows 用户</cp:lastModifiedBy>
  <cp:revision>5</cp:revision>
  <dcterms:created xsi:type="dcterms:W3CDTF">2026-04-14T02:43:00Z</dcterms:created>
  <dcterms:modified xsi:type="dcterms:W3CDTF">2026-04-14T03:12:00Z</dcterms:modified>
</cp:coreProperties>
</file>