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82932">
      <w:pPr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List of abbreviations</w:t>
      </w:r>
      <w:r>
        <w:rPr>
          <w:rFonts w:hint="eastAsia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6771"/>
      </w:tblGrid>
      <w:tr w14:paraId="5B558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  <w:tcBorders>
              <w:bottom w:val="single" w:color="auto" w:sz="4" w:space="0"/>
            </w:tcBorders>
          </w:tcPr>
          <w:p w14:paraId="0A6530E8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abbreviations</w:t>
            </w:r>
          </w:p>
        </w:tc>
        <w:tc>
          <w:tcPr>
            <w:tcW w:w="6771" w:type="dxa"/>
            <w:tcBorders>
              <w:bottom w:val="single" w:color="auto" w:sz="4" w:space="0"/>
            </w:tcBorders>
          </w:tcPr>
          <w:p w14:paraId="798917A1">
            <w:pPr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Full name</w:t>
            </w:r>
          </w:p>
        </w:tc>
      </w:tr>
      <w:tr w14:paraId="7674A6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  <w:tcBorders>
              <w:top w:val="single" w:color="auto" w:sz="4" w:space="0"/>
            </w:tcBorders>
          </w:tcPr>
          <w:p w14:paraId="41DFC5CB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HSPs</w:t>
            </w:r>
          </w:p>
        </w:tc>
        <w:tc>
          <w:tcPr>
            <w:tcW w:w="6771" w:type="dxa"/>
            <w:tcBorders>
              <w:top w:val="single" w:color="auto" w:sz="4" w:space="0"/>
            </w:tcBorders>
          </w:tcPr>
          <w:p w14:paraId="442CDB7A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Heat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hock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roteins</w:t>
            </w:r>
          </w:p>
        </w:tc>
      </w:tr>
      <w:tr w14:paraId="0B1CEF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2662F61B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CRC</w:t>
            </w:r>
          </w:p>
        </w:tc>
        <w:tc>
          <w:tcPr>
            <w:tcW w:w="6771" w:type="dxa"/>
          </w:tcPr>
          <w:p w14:paraId="138F5284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olorectal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ancer</w:t>
            </w:r>
          </w:p>
        </w:tc>
      </w:tr>
      <w:tr w14:paraId="23BBF8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46351B66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CNKI</w:t>
            </w:r>
          </w:p>
        </w:tc>
        <w:tc>
          <w:tcPr>
            <w:tcW w:w="6771" w:type="dxa"/>
          </w:tcPr>
          <w:p w14:paraId="6B44EE72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China National Knowledge Infrastructure </w:t>
            </w:r>
          </w:p>
        </w:tc>
      </w:tr>
      <w:tr w14:paraId="523E29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1040BC5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CBM</w:t>
            </w:r>
          </w:p>
        </w:tc>
        <w:tc>
          <w:tcPr>
            <w:tcW w:w="6771" w:type="dxa"/>
          </w:tcPr>
          <w:p w14:paraId="015B5743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China Biology Medicine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2EE8DE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5F810530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HR</w:t>
            </w:r>
          </w:p>
        </w:tc>
        <w:tc>
          <w:tcPr>
            <w:tcW w:w="6771" w:type="dxa"/>
          </w:tcPr>
          <w:p w14:paraId="33B0CE8C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hazard ratio</w:t>
            </w:r>
          </w:p>
        </w:tc>
      </w:tr>
      <w:tr w14:paraId="41EF65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782002F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CI</w:t>
            </w:r>
          </w:p>
        </w:tc>
        <w:tc>
          <w:tcPr>
            <w:tcW w:w="6771" w:type="dxa"/>
          </w:tcPr>
          <w:p w14:paraId="20F47C26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confidence interval </w:t>
            </w:r>
          </w:p>
        </w:tc>
      </w:tr>
      <w:tr w14:paraId="464D6C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77A0103">
            <w:pP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TNM</w:t>
            </w:r>
          </w:p>
        </w:tc>
        <w:tc>
          <w:tcPr>
            <w:tcW w:w="6771" w:type="dxa"/>
          </w:tcPr>
          <w:p w14:paraId="0250F517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umor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ode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etastasis</w:t>
            </w:r>
          </w:p>
        </w:tc>
      </w:tr>
      <w:tr w14:paraId="68D669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689460DD">
            <w:pP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CEA</w:t>
            </w:r>
          </w:p>
        </w:tc>
        <w:tc>
          <w:tcPr>
            <w:tcW w:w="6771" w:type="dxa"/>
          </w:tcPr>
          <w:p w14:paraId="5EDB8EA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carcinoembryonic antigen</w:t>
            </w:r>
          </w:p>
        </w:tc>
      </w:tr>
      <w:tr w14:paraId="17C8EF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77C73B8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sHSPs</w:t>
            </w:r>
          </w:p>
        </w:tc>
        <w:tc>
          <w:tcPr>
            <w:tcW w:w="6771" w:type="dxa"/>
          </w:tcPr>
          <w:p w14:paraId="7B8FB1C0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small heat shock proteins</w:t>
            </w:r>
          </w:p>
        </w:tc>
      </w:tr>
      <w:tr w14:paraId="21D3F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77A03218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PROSPERO</w:t>
            </w:r>
          </w:p>
        </w:tc>
        <w:tc>
          <w:tcPr>
            <w:tcW w:w="6771" w:type="dxa"/>
          </w:tcPr>
          <w:p w14:paraId="1BA6498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Prospective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Register of Systematic Reviews</w:t>
            </w:r>
          </w:p>
        </w:tc>
      </w:tr>
      <w:tr w14:paraId="27C641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7347F0AA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MeSH</w:t>
            </w:r>
          </w:p>
        </w:tc>
        <w:tc>
          <w:tcPr>
            <w:tcW w:w="6771" w:type="dxa"/>
          </w:tcPr>
          <w:p w14:paraId="03DA274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Medical Subject Headings </w:t>
            </w:r>
          </w:p>
        </w:tc>
      </w:tr>
      <w:tr w14:paraId="3C0944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  <w:shd w:val="clear" w:color="auto" w:fill="auto"/>
            <w:vAlign w:val="top"/>
          </w:tcPr>
          <w:p w14:paraId="2C8C0E68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R</w:t>
            </w:r>
          </w:p>
        </w:tc>
        <w:tc>
          <w:tcPr>
            <w:tcW w:w="6771" w:type="dxa"/>
            <w:shd w:val="clear" w:color="auto" w:fill="auto"/>
            <w:vAlign w:val="top"/>
          </w:tcPr>
          <w:p w14:paraId="63F4EEF6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Retrospective Cohort Study</w:t>
            </w:r>
          </w:p>
        </w:tc>
      </w:tr>
      <w:tr w14:paraId="03BAE3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  <w:shd w:val="clear" w:color="auto" w:fill="auto"/>
            <w:vAlign w:val="top"/>
          </w:tcPr>
          <w:p w14:paraId="5348B28E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P</w:t>
            </w:r>
          </w:p>
        </w:tc>
        <w:tc>
          <w:tcPr>
            <w:tcW w:w="6771" w:type="dxa"/>
            <w:shd w:val="clear" w:color="auto" w:fill="auto"/>
            <w:vAlign w:val="top"/>
          </w:tcPr>
          <w:p w14:paraId="3975F29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Prospective Cohort Study</w:t>
            </w:r>
          </w:p>
        </w:tc>
      </w:tr>
      <w:tr w14:paraId="09DCF9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  <w:shd w:val="clear" w:color="auto" w:fill="auto"/>
            <w:vAlign w:val="top"/>
          </w:tcPr>
          <w:p w14:paraId="22C31686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NA</w:t>
            </w:r>
          </w:p>
        </w:tc>
        <w:tc>
          <w:tcPr>
            <w:tcW w:w="6771" w:type="dxa"/>
            <w:shd w:val="clear" w:color="auto" w:fill="auto"/>
            <w:vAlign w:val="top"/>
          </w:tcPr>
          <w:p w14:paraId="12216A12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Not Available</w:t>
            </w:r>
          </w:p>
        </w:tc>
      </w:tr>
      <w:tr w14:paraId="102C0C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10F172E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OS</w:t>
            </w:r>
          </w:p>
        </w:tc>
        <w:tc>
          <w:tcPr>
            <w:tcW w:w="6771" w:type="dxa"/>
          </w:tcPr>
          <w:p w14:paraId="415389B2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overall survival </w:t>
            </w:r>
          </w:p>
        </w:tc>
      </w:tr>
      <w:tr w14:paraId="7F8A5C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7E9946D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DFS</w:t>
            </w:r>
          </w:p>
        </w:tc>
        <w:tc>
          <w:tcPr>
            <w:tcW w:w="6771" w:type="dxa"/>
          </w:tcPr>
          <w:p w14:paraId="769A583E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disease-free survival </w:t>
            </w:r>
          </w:p>
        </w:tc>
      </w:tr>
      <w:tr w14:paraId="4FD318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40608C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EFS</w:t>
            </w:r>
          </w:p>
        </w:tc>
        <w:tc>
          <w:tcPr>
            <w:tcW w:w="6771" w:type="dxa"/>
          </w:tcPr>
          <w:p w14:paraId="4BFA214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Event-Free Survival</w:t>
            </w:r>
          </w:p>
        </w:tc>
      </w:tr>
      <w:tr w14:paraId="4DC6B2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5934DC6A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DSS</w:t>
            </w:r>
          </w:p>
        </w:tc>
        <w:tc>
          <w:tcPr>
            <w:tcW w:w="6771" w:type="dxa"/>
          </w:tcPr>
          <w:p w14:paraId="7AA22E8F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Disease Specific Survival Period</w:t>
            </w:r>
          </w:p>
        </w:tc>
      </w:tr>
      <w:tr w14:paraId="58FD0B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3F5C564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TTR</w:t>
            </w:r>
          </w:p>
        </w:tc>
        <w:tc>
          <w:tcPr>
            <w:tcW w:w="6771" w:type="dxa"/>
          </w:tcPr>
          <w:p w14:paraId="2B374EAA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Time to Recurrence</w:t>
            </w:r>
          </w:p>
        </w:tc>
      </w:tr>
      <w:tr w14:paraId="67B764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EE699E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IPD</w:t>
            </w:r>
          </w:p>
        </w:tc>
        <w:tc>
          <w:tcPr>
            <w:tcW w:w="6771" w:type="dxa"/>
          </w:tcPr>
          <w:p w14:paraId="6CBA3D4F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ndividual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atient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ata</w:t>
            </w:r>
          </w:p>
        </w:tc>
      </w:tr>
      <w:tr w14:paraId="33EBBC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73648B4F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NOS</w:t>
            </w:r>
          </w:p>
        </w:tc>
        <w:tc>
          <w:tcPr>
            <w:tcW w:w="6771" w:type="dxa"/>
          </w:tcPr>
          <w:p w14:paraId="7BBE390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Newcastle-Ottawa Scale </w:t>
            </w:r>
          </w:p>
        </w:tc>
      </w:tr>
      <w:tr w14:paraId="4CF22D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1265D47E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IHC</w:t>
            </w:r>
          </w:p>
        </w:tc>
        <w:tc>
          <w:tcPr>
            <w:tcW w:w="6771" w:type="dxa"/>
          </w:tcPr>
          <w:p w14:paraId="37066184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immunohistochemistry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</w:p>
        </w:tc>
      </w:tr>
      <w:tr w14:paraId="3B0110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1E33367E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ELISA</w:t>
            </w:r>
          </w:p>
        </w:tc>
        <w:tc>
          <w:tcPr>
            <w:tcW w:w="6771" w:type="dxa"/>
          </w:tcPr>
          <w:p w14:paraId="0609475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nzyme-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 xml:space="preserve">inked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 xml:space="preserve">mmunosorbent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ssay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 xml:space="preserve"> </w:t>
            </w:r>
          </w:p>
        </w:tc>
      </w:tr>
      <w:tr w14:paraId="7488B8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618C5F7E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PCR</w:t>
            </w:r>
          </w:p>
        </w:tc>
        <w:tc>
          <w:tcPr>
            <w:tcW w:w="6771" w:type="dxa"/>
          </w:tcPr>
          <w:p w14:paraId="6BF126D2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 xml:space="preserve">olymerase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 xml:space="preserve">hain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eaction</w:t>
            </w:r>
          </w:p>
        </w:tc>
      </w:tr>
      <w:tr w14:paraId="39E7EF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6CEB9386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mRNA</w:t>
            </w:r>
          </w:p>
        </w:tc>
        <w:tc>
          <w:tcPr>
            <w:tcW w:w="6771" w:type="dxa"/>
          </w:tcPr>
          <w:p w14:paraId="68D4CA4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messenger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  <w:t>ibonucleic acid</w:t>
            </w:r>
          </w:p>
        </w:tc>
      </w:tr>
      <w:tr w14:paraId="3AA793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1BB182F0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MSI</w:t>
            </w:r>
          </w:p>
        </w:tc>
        <w:tc>
          <w:tcPr>
            <w:tcW w:w="6771" w:type="dxa"/>
          </w:tcPr>
          <w:p w14:paraId="3A6D34CF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microsatellite instability</w:t>
            </w:r>
          </w:p>
        </w:tc>
      </w:tr>
      <w:tr w14:paraId="31A301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31626657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MSI-H</w:t>
            </w:r>
          </w:p>
        </w:tc>
        <w:tc>
          <w:tcPr>
            <w:tcW w:w="6771" w:type="dxa"/>
          </w:tcPr>
          <w:p w14:paraId="21C3FBE0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microsatellite instability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-hight</w:t>
            </w:r>
          </w:p>
        </w:tc>
      </w:tr>
      <w:tr w14:paraId="66F353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674E5E8A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MSS</w:t>
            </w:r>
          </w:p>
        </w:tc>
        <w:tc>
          <w:tcPr>
            <w:tcW w:w="6771" w:type="dxa"/>
          </w:tcPr>
          <w:p w14:paraId="6799A4B0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microsatellite stable</w:t>
            </w:r>
          </w:p>
        </w:tc>
      </w:tr>
      <w:tr w14:paraId="2F96C2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4222118B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GRPs</w:t>
            </w:r>
          </w:p>
        </w:tc>
        <w:tc>
          <w:tcPr>
            <w:tcW w:w="6771" w:type="dxa"/>
          </w:tcPr>
          <w:p w14:paraId="59321B34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Glucose-regulated proteins</w:t>
            </w:r>
          </w:p>
        </w:tc>
      </w:tr>
      <w:tr w14:paraId="768CD9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751" w:type="dxa"/>
          </w:tcPr>
          <w:p w14:paraId="038AC514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TME</w:t>
            </w:r>
          </w:p>
        </w:tc>
        <w:tc>
          <w:tcPr>
            <w:tcW w:w="6771" w:type="dxa"/>
          </w:tcPr>
          <w:p w14:paraId="72FAA56B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192338"/>
                <w:spacing w:val="3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tumor microenvironment</w:t>
            </w:r>
          </w:p>
        </w:tc>
      </w:tr>
      <w:tr w14:paraId="554C64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3CF162B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CAFs</w:t>
            </w:r>
          </w:p>
        </w:tc>
        <w:tc>
          <w:tcPr>
            <w:tcW w:w="6771" w:type="dxa"/>
          </w:tcPr>
          <w:p w14:paraId="51901C67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cancer-associated fibroblasts </w:t>
            </w:r>
          </w:p>
        </w:tc>
      </w:tr>
      <w:tr w14:paraId="5B660F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1D277BF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DCs</w:t>
            </w:r>
          </w:p>
        </w:tc>
        <w:tc>
          <w:tcPr>
            <w:tcW w:w="6771" w:type="dxa"/>
          </w:tcPr>
          <w:p w14:paraId="4A5EDA10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dendritic cells </w:t>
            </w:r>
          </w:p>
        </w:tc>
      </w:tr>
      <w:tr w14:paraId="104B74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1C378B3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CTLs</w:t>
            </w:r>
          </w:p>
        </w:tc>
        <w:tc>
          <w:tcPr>
            <w:tcW w:w="6771" w:type="dxa"/>
          </w:tcPr>
          <w:p w14:paraId="1D92613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cytotoxic T lymphocytes </w:t>
            </w:r>
          </w:p>
        </w:tc>
      </w:tr>
      <w:tr w14:paraId="71B4D0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20345E3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GICs</w:t>
            </w:r>
          </w:p>
        </w:tc>
        <w:tc>
          <w:tcPr>
            <w:tcW w:w="6771" w:type="dxa"/>
          </w:tcPr>
          <w:p w14:paraId="0031FD70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gastrointestinal cancers </w:t>
            </w:r>
          </w:p>
        </w:tc>
      </w:tr>
      <w:tr w14:paraId="008B0D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134CCE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ECM</w:t>
            </w:r>
          </w:p>
        </w:tc>
        <w:tc>
          <w:tcPr>
            <w:tcW w:w="6771" w:type="dxa"/>
          </w:tcPr>
          <w:p w14:paraId="52472744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extracellular matrix</w:t>
            </w:r>
          </w:p>
        </w:tc>
      </w:tr>
      <w:tr w14:paraId="694F7B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496591FC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5-FU</w:t>
            </w:r>
          </w:p>
        </w:tc>
        <w:tc>
          <w:tcPr>
            <w:tcW w:w="6771" w:type="dxa"/>
          </w:tcPr>
          <w:p w14:paraId="7663183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5-fluorouracil </w:t>
            </w:r>
          </w:p>
        </w:tc>
      </w:tr>
      <w:tr w14:paraId="26B5B3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5DA0D99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IRGs</w:t>
            </w:r>
          </w:p>
        </w:tc>
        <w:tc>
          <w:tcPr>
            <w:tcW w:w="6771" w:type="dxa"/>
          </w:tcPr>
          <w:p w14:paraId="66EB670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immune-related genes</w:t>
            </w:r>
          </w:p>
        </w:tc>
      </w:tr>
      <w:tr w14:paraId="67AE70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7C5B1CA2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hnRNP K</w:t>
            </w:r>
          </w:p>
        </w:tc>
        <w:tc>
          <w:tcPr>
            <w:tcW w:w="6771" w:type="dxa"/>
          </w:tcPr>
          <w:p w14:paraId="5D6BF720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heterogeneous nuclear ribonucleoprotein K </w:t>
            </w:r>
          </w:p>
        </w:tc>
      </w:tr>
      <w:tr w14:paraId="278868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691F98E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lncRNA</w:t>
            </w:r>
          </w:p>
        </w:tc>
        <w:tc>
          <w:tcPr>
            <w:tcW w:w="6771" w:type="dxa"/>
          </w:tcPr>
          <w:p w14:paraId="4C701901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long non-coding RNA</w:t>
            </w:r>
          </w:p>
        </w:tc>
      </w:tr>
      <w:tr w14:paraId="280121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71AA44B8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EVs</w:t>
            </w:r>
          </w:p>
        </w:tc>
        <w:tc>
          <w:tcPr>
            <w:tcW w:w="6771" w:type="dxa"/>
          </w:tcPr>
          <w:p w14:paraId="4D798E4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extracellular vesicles</w:t>
            </w:r>
          </w:p>
        </w:tc>
      </w:tr>
      <w:tr w14:paraId="2839DC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6683F9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CRP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s</w:t>
            </w:r>
          </w:p>
        </w:tc>
        <w:tc>
          <w:tcPr>
            <w:tcW w:w="6771" w:type="dxa"/>
          </w:tcPr>
          <w:p w14:paraId="7AB9AF9A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acute-phase proteins</w:t>
            </w:r>
          </w:p>
        </w:tc>
      </w:tr>
      <w:tr w14:paraId="5BEED2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752253C2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TRAP1</w:t>
            </w:r>
          </w:p>
        </w:tc>
        <w:tc>
          <w:tcPr>
            <w:tcW w:w="6771" w:type="dxa"/>
          </w:tcPr>
          <w:p w14:paraId="01712D4E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tumor necrosis factor receptor-associated protein 1 </w:t>
            </w:r>
          </w:p>
        </w:tc>
      </w:tr>
      <w:tr w14:paraId="502E6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3CA15A5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EMT</w:t>
            </w:r>
          </w:p>
        </w:tc>
        <w:tc>
          <w:tcPr>
            <w:tcW w:w="6771" w:type="dxa"/>
          </w:tcPr>
          <w:p w14:paraId="2A4C145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epithelial-mesenchymal transition </w:t>
            </w:r>
          </w:p>
        </w:tc>
      </w:tr>
      <w:tr w14:paraId="4D6440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DFD827A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DNA</w:t>
            </w:r>
          </w:p>
        </w:tc>
        <w:tc>
          <w:tcPr>
            <w:tcW w:w="6771" w:type="dxa"/>
          </w:tcPr>
          <w:p w14:paraId="6B8430E0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eoxyribose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ucleic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cid</w:t>
            </w:r>
          </w:p>
        </w:tc>
      </w:tr>
      <w:tr w14:paraId="5CEFE2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4B609BD1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NEF</w:t>
            </w:r>
          </w:p>
        </w:tc>
        <w:tc>
          <w:tcPr>
            <w:tcW w:w="6771" w:type="dxa"/>
          </w:tcPr>
          <w:p w14:paraId="1C859B68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nucleotide exchange factor </w:t>
            </w:r>
          </w:p>
        </w:tc>
      </w:tr>
      <w:tr w14:paraId="699422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176AF21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TAA</w:t>
            </w:r>
          </w:p>
        </w:tc>
        <w:tc>
          <w:tcPr>
            <w:tcW w:w="6771" w:type="dxa"/>
          </w:tcPr>
          <w:p w14:paraId="031060DC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tumor-associated antigen</w:t>
            </w:r>
          </w:p>
        </w:tc>
      </w:tr>
      <w:tr w14:paraId="797294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188D9E8C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PKB</w:t>
            </w:r>
          </w:p>
        </w:tc>
        <w:tc>
          <w:tcPr>
            <w:tcW w:w="6771" w:type="dxa"/>
          </w:tcPr>
          <w:p w14:paraId="0BB50A9A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Protein kinase B </w:t>
            </w:r>
          </w:p>
        </w:tc>
      </w:tr>
      <w:tr w14:paraId="14FF70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5344CCFA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TLRs</w:t>
            </w:r>
          </w:p>
        </w:tc>
        <w:tc>
          <w:tcPr>
            <w:tcW w:w="6771" w:type="dxa"/>
          </w:tcPr>
          <w:p w14:paraId="74380AB2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toll-like receptors</w:t>
            </w:r>
          </w:p>
        </w:tc>
      </w:tr>
      <w:tr w14:paraId="3DB250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A057FFC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MHC-I</w:t>
            </w:r>
          </w:p>
        </w:tc>
        <w:tc>
          <w:tcPr>
            <w:tcW w:w="6771" w:type="dxa"/>
          </w:tcPr>
          <w:p w14:paraId="692CE56E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major histocompatibility complex class I</w:t>
            </w:r>
          </w:p>
        </w:tc>
      </w:tr>
      <w:tr w14:paraId="551264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43ABF5B4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ER</w:t>
            </w:r>
          </w:p>
        </w:tc>
        <w:tc>
          <w:tcPr>
            <w:tcW w:w="6771" w:type="dxa"/>
          </w:tcPr>
          <w:p w14:paraId="6A566724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endoplasmic reticulum </w:t>
            </w:r>
          </w:p>
        </w:tc>
      </w:tr>
      <w:tr w14:paraId="4338FE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3DBA0B01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RCC</w:t>
            </w:r>
          </w:p>
        </w:tc>
        <w:tc>
          <w:tcPr>
            <w:tcW w:w="6771" w:type="dxa"/>
          </w:tcPr>
          <w:p w14:paraId="238FE0D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right-sided colon cancer</w:t>
            </w:r>
          </w:p>
        </w:tc>
      </w:tr>
      <w:tr w14:paraId="511BA0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4CB0821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LCC</w:t>
            </w:r>
          </w:p>
        </w:tc>
        <w:tc>
          <w:tcPr>
            <w:tcW w:w="6771" w:type="dxa"/>
          </w:tcPr>
          <w:p w14:paraId="06651B48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left-sided colon cancer </w:t>
            </w:r>
          </w:p>
        </w:tc>
      </w:tr>
      <w:tr w14:paraId="65278B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028A6515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RC</w:t>
            </w:r>
          </w:p>
        </w:tc>
        <w:tc>
          <w:tcPr>
            <w:tcW w:w="6771" w:type="dxa"/>
          </w:tcPr>
          <w:p w14:paraId="306F066D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rectal cancer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7DC691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3E53B0D1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IRS</w:t>
            </w:r>
          </w:p>
        </w:tc>
        <w:tc>
          <w:tcPr>
            <w:tcW w:w="6771" w:type="dxa"/>
          </w:tcPr>
          <w:p w14:paraId="432D82E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 xml:space="preserve">mmunoreactive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core</w:t>
            </w:r>
          </w:p>
        </w:tc>
      </w:tr>
      <w:tr w14:paraId="0A0693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174978BB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CA19-9</w:t>
            </w:r>
          </w:p>
        </w:tc>
        <w:tc>
          <w:tcPr>
            <w:tcW w:w="6771" w:type="dxa"/>
          </w:tcPr>
          <w:p w14:paraId="1B1AD46F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carbohydrate antigen 19-9</w:t>
            </w:r>
          </w:p>
        </w:tc>
      </w:tr>
      <w:tr w14:paraId="52C752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5406B907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  <w:t>TCGA</w:t>
            </w:r>
          </w:p>
        </w:tc>
        <w:tc>
          <w:tcPr>
            <w:tcW w:w="6771" w:type="dxa"/>
          </w:tcPr>
          <w:p w14:paraId="72DF4E76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The Cancer Genome Atlas</w:t>
            </w:r>
          </w:p>
        </w:tc>
      </w:tr>
      <w:tr w14:paraId="45BD61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</w:tcPr>
          <w:p w14:paraId="47F9AA43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>GEO</w:t>
            </w:r>
          </w:p>
        </w:tc>
        <w:tc>
          <w:tcPr>
            <w:tcW w:w="6771" w:type="dxa"/>
          </w:tcPr>
          <w:p w14:paraId="04B8AA81">
            <w:pPr>
              <w:rPr>
                <w:rFonts w:hint="default" w:ascii="Times New Roman" w:hAnsi="Times New Roman" w:eastAsia="宋体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2"/>
                <w:szCs w:val="22"/>
                <w:lang w:val="en-US" w:eastAsia="zh-CN"/>
              </w:rPr>
              <w:t xml:space="preserve">Gene Expression Omnibus </w:t>
            </w:r>
          </w:p>
        </w:tc>
      </w:tr>
    </w:tbl>
    <w:p w14:paraId="663849DE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B4123"/>
    <w:rsid w:val="006C6038"/>
    <w:rsid w:val="102A14AD"/>
    <w:rsid w:val="1FF12436"/>
    <w:rsid w:val="3F6125C4"/>
    <w:rsid w:val="53DB4123"/>
    <w:rsid w:val="67A466C3"/>
    <w:rsid w:val="74A5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1508</Characters>
  <Lines>0</Lines>
  <Paragraphs>0</Paragraphs>
  <TotalTime>1</TotalTime>
  <ScaleCrop>false</ScaleCrop>
  <LinksUpToDate>false</LinksUpToDate>
  <CharactersWithSpaces>1634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2026-03-21T08:27:00Z</dcterms:created>
  <dc:creator>张凌娟</dc:creator>
  <cp:lastModifiedBy>张凌娟</cp:lastModifiedBy>
  <dcterms:modified xsi:type="dcterms:W3CDTF">2026-03-24T13:16:34Z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33FCA1CE04534F3BA378029FF63CC4BE_11</vt:lpwstr>
  </property>
  <property fmtid="{D5CDD505-2E9C-101B-9397-08002B2CF9AE}" pid="4" name="KSOTemplateDocerSaveRecord">
    <vt:lpwstr>eyJoZGlkIjoiZTk3ZWVmNTk2MDEyY2Y3NTk0MDYxYmM1MmYxYWQ0ZmMiLCJ1c2VySWQiOiI0NDc4NDUyNzQifQ==</vt:lpwstr>
  </property>
</Properties>
</file>