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43759B">
      <w:pPr>
        <w:rPr>
          <w:rFonts w:hint="default" w:ascii="Times New Roman Regular" w:hAnsi="Times New Roman Regular" w:cs="Times New Roman Regular"/>
          <w:b/>
          <w:bCs/>
          <w:sz w:val="22"/>
          <w:szCs w:val="22"/>
          <w:lang w:val="en-US"/>
        </w:rPr>
      </w:pPr>
      <w:r>
        <w:rPr>
          <w:rFonts w:hint="default" w:ascii="Times New Roman Bold" w:hAnsi="Times New Roman Bold" w:cs="Times New Roman Bold"/>
          <w:b w:val="0"/>
          <w:bCs/>
          <w:color w:val="000000"/>
          <w:sz w:val="22"/>
          <w:szCs w:val="22"/>
          <w:vertAlign w:val="baseline"/>
          <w:lang w:val="en-US" w:eastAsia="zh-CN"/>
        </w:rPr>
        <w:t>Supplementary Table 1 Responses of patients with EGFR-mutant NSCLC and BMs。</w:t>
      </w:r>
      <w:r>
        <w:rPr>
          <w:rFonts w:hint="default" w:ascii="Times New Roman Regular" w:hAnsi="Times New Roman Regular" w:cs="Times New Roman Regular"/>
          <w:b/>
          <w:bCs/>
          <w:sz w:val="22"/>
          <w:szCs w:val="22"/>
          <w:lang w:val="en-US"/>
        </w:rPr>
        <w:t xml:space="preserve">  </w:t>
      </w:r>
    </w:p>
    <w:p w14:paraId="43397B2F">
      <w:pPr>
        <w:rPr>
          <w:rFonts w:hint="default"/>
          <w:lang w:val="en-US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2045"/>
        <w:gridCol w:w="1731"/>
        <w:gridCol w:w="2023"/>
        <w:gridCol w:w="1665"/>
        <w:gridCol w:w="1307"/>
      </w:tblGrid>
      <w:tr w14:paraId="18555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6" w:hRule="atLeast"/>
        </w:trPr>
        <w:tc>
          <w:tcPr>
            <w:tcW w:w="137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56CA99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Bold" w:hAnsi="Times New Roman Bold" w:cs="Times New Roman Bold" w:eastAsiaTheme="minorEastAsia"/>
                <w:b w:val="0"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Bold" w:hAnsi="Times New Roman Bold" w:cs="Times New Roman Bold"/>
                <w:b w:val="0"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  <w:t>Response</w:t>
            </w:r>
          </w:p>
        </w:tc>
        <w:tc>
          <w:tcPr>
            <w:tcW w:w="204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B2D79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  <w:t>TKI alone</w:t>
            </w:r>
          </w:p>
        </w:tc>
        <w:tc>
          <w:tcPr>
            <w:tcW w:w="173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75CA1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  <w:t>TKI+BRT</w:t>
            </w:r>
          </w:p>
        </w:tc>
        <w:tc>
          <w:tcPr>
            <w:tcW w:w="202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2E3ED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  <w:t>TKI+BEV</w:t>
            </w:r>
          </w:p>
        </w:tc>
        <w:tc>
          <w:tcPr>
            <w:tcW w:w="166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8B19C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  <w:t>TKI+CT</w:t>
            </w:r>
          </w:p>
        </w:tc>
        <w:tc>
          <w:tcPr>
            <w:tcW w:w="130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9187B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Italic" w:hAnsi="Times New Roman Italic" w:cs="Times New Roman Italic"/>
                <w:b/>
                <w:bCs w:val="0"/>
                <w:i/>
                <w:iCs/>
                <w:color w:val="000000"/>
                <w:sz w:val="22"/>
                <w:szCs w:val="22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 Regular" w:hAnsi="Times New Roman Regular" w:cs="Times New Roman Regular"/>
                <w:b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  <w:t>-value</w:t>
            </w:r>
          </w:p>
        </w:tc>
      </w:tr>
      <w:tr w14:paraId="6368A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6" w:hRule="atLeast"/>
        </w:trPr>
        <w:tc>
          <w:tcPr>
            <w:tcW w:w="137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06A514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20" w:firstLineChars="100"/>
              <w:rPr>
                <w:rFonts w:hint="default" w:ascii="Times New Roman Bold" w:hAnsi="Times New Roman Bold" w:cs="Times New Roman Bold" w:eastAsiaTheme="minorEastAsia"/>
                <w:b w:val="0"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Bold" w:hAnsi="Times New Roman Bold" w:cs="Times New Roman Bold"/>
                <w:b w:val="0"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  <w:t>iORR</w:t>
            </w:r>
          </w:p>
        </w:tc>
        <w:tc>
          <w:tcPr>
            <w:tcW w:w="204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7FB717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61.6% (45/73)</w:t>
            </w:r>
          </w:p>
        </w:tc>
        <w:tc>
          <w:tcPr>
            <w:tcW w:w="173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500BDF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88.0% (22/25)</w:t>
            </w:r>
          </w:p>
        </w:tc>
        <w:tc>
          <w:tcPr>
            <w:tcW w:w="202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146BE9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81.6% (31/38)</w:t>
            </w:r>
          </w:p>
        </w:tc>
        <w:tc>
          <w:tcPr>
            <w:tcW w:w="166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03D032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71.4% (10/14)</w:t>
            </w:r>
          </w:p>
        </w:tc>
        <w:tc>
          <w:tcPr>
            <w:tcW w:w="130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377056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0.032</w:t>
            </w:r>
          </w:p>
        </w:tc>
      </w:tr>
      <w:tr w14:paraId="3B306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6" w:hRule="atLeast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6A9E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20" w:firstLineChars="100"/>
              <w:rPr>
                <w:rFonts w:hint="default" w:ascii="Times New Roman Bold" w:hAnsi="Times New Roman Bold" w:cs="Times New Roman Bold" w:eastAsiaTheme="minorEastAsia"/>
                <w:b w:val="0"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Bold" w:hAnsi="Times New Roman Bold" w:cs="Times New Roman Bold"/>
                <w:b w:val="0"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  <w:t xml:space="preserve">iDCR 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70EC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98.6% (72/73)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B416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100.0% (25/25)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BD53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100.0% (38/38)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CA31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92.9% (13/14)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2461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0.353</w:t>
            </w:r>
          </w:p>
        </w:tc>
      </w:tr>
      <w:tr w14:paraId="59AF1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6" w:hRule="atLeast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E8BB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20" w:firstLineChars="100"/>
              <w:rPr>
                <w:rFonts w:hint="default" w:ascii="Times New Roman Bold" w:hAnsi="Times New Roman Bold" w:cs="Times New Roman Bold" w:eastAsiaTheme="minorEastAsia"/>
                <w:b w:val="0"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Bold" w:hAnsi="Times New Roman Bold" w:cs="Times New Roman Bold"/>
                <w:b w:val="0"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  <w:t>eORR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E1B5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67.1% (49/73)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B44C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76.0% (19/25)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F6D5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60.5% (23/38)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F9DB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64.3% (9/14)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F9F4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0.649</w:t>
            </w:r>
          </w:p>
        </w:tc>
      </w:tr>
      <w:tr w14:paraId="18029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6" w:hRule="atLeast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2417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20" w:firstLineChars="100"/>
              <w:rPr>
                <w:rFonts w:hint="default" w:ascii="Times New Roman Bold" w:hAnsi="Times New Roman Bold" w:cs="Times New Roman Bold" w:eastAsiaTheme="minorEastAsia"/>
                <w:b w:val="0"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Bold" w:hAnsi="Times New Roman Bold" w:cs="Times New Roman Bold"/>
                <w:b w:val="0"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  <w:t>eDCR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4764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93.2% (68/73)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9D24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100.0% (25/25)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9A8E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100.0% (38/38)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5BAA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100.0% (14/14)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7A46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0.209</w:t>
            </w:r>
          </w:p>
        </w:tc>
      </w:tr>
      <w:tr w14:paraId="6C2A1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6" w:hRule="atLeast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5D45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20" w:firstLineChars="100"/>
              <w:rPr>
                <w:rFonts w:hint="default" w:ascii="Times New Roman Bold" w:hAnsi="Times New Roman Bold" w:cs="Times New Roman Bold"/>
                <w:b w:val="0"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Bold" w:hAnsi="Times New Roman Bold" w:cs="Times New Roman Bold"/>
                <w:b w:val="0"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  <w:t>ORR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09C4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72.6% (53/73)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A949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92.0% (23/25)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4BE9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84.2% (32/38)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6724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78.6% (11/14)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0817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0.178</w:t>
            </w:r>
          </w:p>
        </w:tc>
      </w:tr>
      <w:tr w14:paraId="2666A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9" w:hRule="atLeast"/>
        </w:trPr>
        <w:tc>
          <w:tcPr>
            <w:tcW w:w="137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1AE18B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20" w:firstLineChars="100"/>
              <w:rPr>
                <w:rFonts w:hint="default" w:ascii="Times New Roman Bold" w:hAnsi="Times New Roman Bold" w:cs="Times New Roman Bold"/>
                <w:b w:val="0"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Bold" w:hAnsi="Times New Roman Bold" w:cs="Times New Roman Bold"/>
                <w:b w:val="0"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  <w:t>DCR</w:t>
            </w:r>
          </w:p>
        </w:tc>
        <w:tc>
          <w:tcPr>
            <w:tcW w:w="204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532032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93.2% (68/73)</w:t>
            </w:r>
          </w:p>
        </w:tc>
        <w:tc>
          <w:tcPr>
            <w:tcW w:w="173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4EEDA3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100.0% (25/25)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28C8D7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100.0% (38/38)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33A28E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92.9% (13/14)</w:t>
            </w:r>
          </w:p>
        </w:tc>
        <w:tc>
          <w:tcPr>
            <w:tcW w:w="130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08CB5F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0.185</w:t>
            </w:r>
          </w:p>
        </w:tc>
      </w:tr>
    </w:tbl>
    <w:p w14:paraId="08EE904B"/>
    <w:p w14:paraId="66FFCFDB"/>
    <w:p w14:paraId="521D3F0D"/>
    <w:p w14:paraId="745D6F1A"/>
    <w:p w14:paraId="4205FDAC"/>
    <w:p w14:paraId="013DBBC6"/>
    <w:p w14:paraId="5787DAAF"/>
    <w:p w14:paraId="5A6D4CD3"/>
    <w:p w14:paraId="1286C559"/>
    <w:p w14:paraId="51209148"/>
    <w:p w14:paraId="4006ACDC"/>
    <w:p w14:paraId="535B368F"/>
    <w:p w14:paraId="6EED540A"/>
    <w:p w14:paraId="0944ABD3"/>
    <w:p w14:paraId="0E9AF415"/>
    <w:p w14:paraId="7C636343">
      <w:pPr>
        <w:rPr>
          <w:rFonts w:hint="default" w:ascii="Times New Roman Bold" w:hAnsi="Times New Roman Bold" w:cs="Times New Roman Bold"/>
          <w:b/>
          <w:bCs/>
          <w:sz w:val="22"/>
          <w:szCs w:val="28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2"/>
          <w:szCs w:val="28"/>
          <w:lang w:val="en-US"/>
        </w:rPr>
        <w:t>S</w:t>
      </w:r>
      <w:r>
        <w:rPr>
          <w:rFonts w:hint="default" w:ascii="Times New Roman Bold" w:hAnsi="Times New Roman Bold" w:cs="Times New Roman Bold"/>
          <w:b/>
          <w:bCs/>
          <w:sz w:val="22"/>
          <w:szCs w:val="28"/>
          <w:lang w:val="en-US" w:eastAsia="zh-CN"/>
        </w:rPr>
        <w:t>upplementary Table 2 Treatment-related adverse events.</w:t>
      </w:r>
    </w:p>
    <w:p w14:paraId="3ED6873B">
      <w:pPr>
        <w:rPr>
          <w:rFonts w:hint="default" w:ascii="Times New Roman Bold" w:hAnsi="Times New Roman Bold" w:cs="Times New Roman Bold"/>
          <w:b/>
          <w:bCs/>
          <w:sz w:val="22"/>
          <w:szCs w:val="28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1430"/>
        <w:gridCol w:w="1408"/>
        <w:gridCol w:w="1396"/>
        <w:gridCol w:w="1576"/>
        <w:gridCol w:w="1128"/>
      </w:tblGrid>
      <w:tr w14:paraId="6A487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201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17BCB2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Bold" w:hAnsi="Times New Roman Bold" w:cs="Times New Roman Bold"/>
                <w:b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  <w:t>Adverse event</w:t>
            </w:r>
          </w:p>
        </w:tc>
        <w:tc>
          <w:tcPr>
            <w:tcW w:w="143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560B9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  <w:t>TKI alone</w:t>
            </w:r>
          </w:p>
        </w:tc>
        <w:tc>
          <w:tcPr>
            <w:tcW w:w="140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78007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  <w:t>TKI+BRT</w:t>
            </w:r>
          </w:p>
        </w:tc>
        <w:tc>
          <w:tcPr>
            <w:tcW w:w="139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12AD7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  <w:t>TKI+BEV</w:t>
            </w:r>
          </w:p>
        </w:tc>
        <w:tc>
          <w:tcPr>
            <w:tcW w:w="157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F4C13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  <w:t>TKI+CT</w:t>
            </w:r>
          </w:p>
        </w:tc>
        <w:tc>
          <w:tcPr>
            <w:tcW w:w="112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3D363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Italic" w:hAnsi="Times New Roman Italic" w:cs="Times New Roman Italic"/>
                <w:b/>
                <w:bCs/>
                <w:i/>
                <w:iCs/>
                <w:color w:val="000000"/>
                <w:sz w:val="22"/>
                <w:szCs w:val="22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  <w:t>-value</w:t>
            </w:r>
          </w:p>
        </w:tc>
      </w:tr>
      <w:tr w14:paraId="57DDA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8" w:hRule="atLeast"/>
        </w:trPr>
        <w:tc>
          <w:tcPr>
            <w:tcW w:w="201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7B7D83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Bold" w:hAnsi="Times New Roman Bold" w:cs="Times New Roman Bold"/>
                <w:b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  <w:t>Rash</w:t>
            </w:r>
          </w:p>
        </w:tc>
        <w:tc>
          <w:tcPr>
            <w:tcW w:w="143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704748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0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2E1B2E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457595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57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5FBD8A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779716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55B47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8" w:hRule="atLeast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0ADD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20" w:firstLineChars="100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  <w:t>G1-2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C3C7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10 (13.7%)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8DAF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3 (12.0%)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5DD9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5 (13.2%)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0E7C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 (7.1%)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C44E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0.982</w:t>
            </w:r>
          </w:p>
        </w:tc>
      </w:tr>
      <w:tr w14:paraId="67090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8" w:hRule="atLeast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B680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20" w:firstLineChars="100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  <w:t>G3-4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3B25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2 (2.7%)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1C65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9159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B6FC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2 (14.3%)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8DC9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0.084</w:t>
            </w:r>
          </w:p>
        </w:tc>
      </w:tr>
      <w:tr w14:paraId="3ADAD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8" w:hRule="atLeast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71E1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Bold" w:hAnsi="Times New Roman Bold" w:cs="Times New Roman Bold"/>
                <w:b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  <w:t xml:space="preserve">Paronychia 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BAA9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6803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4373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7D2E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F458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6A075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8" w:hRule="atLeast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69CC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20" w:firstLineChars="100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  <w:t>G1-2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D58C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9 (12.3%)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C4C8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2 (8.0%)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EBF4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3 (7.9%)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C9B8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 (7.1%)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3534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0.928</w:t>
            </w:r>
          </w:p>
        </w:tc>
      </w:tr>
      <w:tr w14:paraId="7EC22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8" w:hRule="atLeast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F9E5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20" w:firstLineChars="100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  <w:t>G3-4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2B09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9182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8DEC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332E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C622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1.000</w:t>
            </w:r>
          </w:p>
        </w:tc>
      </w:tr>
      <w:tr w14:paraId="228AA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8" w:hRule="atLeast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E41F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Bold" w:hAnsi="Times New Roman Bold" w:cs="Times New Roman Bold"/>
                <w:b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  <w:t>Diarrhea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6785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7ABC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15C4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F2A1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2EF8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220C6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8" w:hRule="atLeast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5820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20" w:firstLineChars="100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  <w:t>G1-2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2E48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5 (6.8%)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B12D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 (4.0%)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87CA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3 (7.9%)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5150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 (7.1%)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E0A3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1.000</w:t>
            </w:r>
          </w:p>
        </w:tc>
      </w:tr>
      <w:tr w14:paraId="6730B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8" w:hRule="atLeast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B082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20" w:firstLineChars="100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  <w:t>G3-4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3A61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DF57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2A12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2AAF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2EF9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1.000</w:t>
            </w:r>
          </w:p>
        </w:tc>
      </w:tr>
      <w:tr w14:paraId="0C8C3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8" w:hRule="atLeast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2CB4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Bold" w:hAnsi="Times New Roman Bold" w:cs="Times New Roman Bold"/>
                <w:b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  <w:t>Liver dysfunction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272A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5947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BCE8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CE34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ACC3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54579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8" w:hRule="atLeast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1314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20" w:firstLineChars="100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  <w:t>G1-2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8B76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9 (12.3%)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91CD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2 (8.0%)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5056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5 (13.2%)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07E2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2 (14.3%)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A1E0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0.925</w:t>
            </w:r>
          </w:p>
        </w:tc>
      </w:tr>
      <w:tr w14:paraId="57D5F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8" w:hRule="atLeast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80BE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20" w:firstLineChars="100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  <w:t>G3-4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C09F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D5AC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3C89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2E8B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DB45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1.000</w:t>
            </w:r>
          </w:p>
        </w:tc>
      </w:tr>
      <w:tr w14:paraId="57BC1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8" w:hRule="atLeast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19CB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Bold" w:hAnsi="Times New Roman Bold" w:cs="Times New Roman Bold"/>
                <w:b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  <w:t>Neutropenia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14A8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B68C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4C18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4756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345A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6A696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8" w:hRule="atLeast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9E80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20" w:firstLineChars="100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  <w:t>G1-2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B75D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8 (11.0%)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BF55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3870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4 (10.5%)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33B5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3 (21.4%)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D8B6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0.132</w:t>
            </w:r>
          </w:p>
        </w:tc>
      </w:tr>
      <w:tr w14:paraId="4DC1E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8" w:hRule="atLeast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07B0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20" w:firstLineChars="100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  <w:t>G3-4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BAEB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0D9F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6FE4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F5DC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 (7.1%)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BDC6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0.093</w:t>
            </w:r>
          </w:p>
        </w:tc>
      </w:tr>
      <w:tr w14:paraId="60C20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8" w:hRule="atLeast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B4A4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Bold" w:hAnsi="Times New Roman Bold" w:cs="Times New Roman Bold"/>
                <w:b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color w:val="000000"/>
                <w:sz w:val="22"/>
                <w:szCs w:val="22"/>
                <w:vertAlign w:val="baseline"/>
                <w:lang w:val="en-US" w:eastAsia="zh-CN"/>
              </w:rPr>
              <w:t>Anemia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6A31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206F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2E73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C770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0C4B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74A1A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8" w:hRule="atLeast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D141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20" w:firstLineChars="100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  <w:t>G1-2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D019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5 (6.8%)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57F6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63E2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4 (10.5%)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0250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2 (14.3%)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02D6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0.228</w:t>
            </w:r>
          </w:p>
        </w:tc>
      </w:tr>
      <w:tr w14:paraId="2518C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8" w:hRule="atLeast"/>
        </w:trPr>
        <w:tc>
          <w:tcPr>
            <w:tcW w:w="201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2A7BE5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20" w:firstLineChars="100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  <w:t>G3-4</w:t>
            </w:r>
          </w:p>
        </w:tc>
        <w:tc>
          <w:tcPr>
            <w:tcW w:w="143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24A791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140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7DEB10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501FD2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157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4A06AC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0EDBD1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1.000</w:t>
            </w:r>
          </w:p>
        </w:tc>
      </w:tr>
    </w:tbl>
    <w:p w14:paraId="62BDBBD5"/>
    <w:p w14:paraId="6495CAE6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DengXian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lOGQwZDRmODE1N2ViMWZhM2YxNWU2N2E2NmNjZmYifQ=="/>
  </w:docVars>
  <w:rsids>
    <w:rsidRoot w:val="FFE78AB7"/>
    <w:rsid w:val="FFE78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Office_6.10.1.8873_F1E327BC-269C-435d-A152-05C5408002CA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2024-11-17T18:04:00Z</dcterms:created>
  <dc:creator>菲</dc:creator>
  <cp:lastModifiedBy>菲</cp:lastModifiedBy>
  <dcterms:modified xsi:type="dcterms:W3CDTF">2024-11-17T18:04:48Z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2052-6.10.1.8873</vt:lpwstr>
  </property>
  <property fmtid="{D5CDD505-2E9C-101B-9397-08002B2CF9AE}" pid="3" name="ICV">
    <vt:lpwstr>E2378916123A4DC5B0BF3967577E0AA3_41</vt:lpwstr>
  </property>
</Properties>
</file>