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EC6DAD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Supplementary Table S1. Comparison of baseline characteristics between included and excluded patients</w:t>
      </w:r>
    </w:p>
    <w:p w14:paraId="2F6B671B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</w:pPr>
    </w:p>
    <w:tbl>
      <w:tblPr>
        <w:tblStyle w:val="3"/>
        <w:tblW w:w="7769" w:type="dxa"/>
        <w:tblInd w:w="0" w:type="dxa"/>
        <w:tblBorders>
          <w:top w:val="single" w:color="auto" w:sz="4" w:space="0"/>
          <w:left w:val="none" w:color="auto" w:sz="4" w:space="0"/>
          <w:bottom w:val="singl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0"/>
        <w:gridCol w:w="1649"/>
        <w:gridCol w:w="1514"/>
        <w:gridCol w:w="1186"/>
        <w:gridCol w:w="1350"/>
      </w:tblGrid>
      <w:tr w14:paraId="0C0D104C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2070" w:type="dxa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vAlign w:val="center"/>
          </w:tcPr>
          <w:p w14:paraId="530B78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Variables</w:t>
            </w:r>
          </w:p>
        </w:tc>
        <w:tc>
          <w:tcPr>
            <w:tcW w:w="1649" w:type="dxa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vAlign w:val="center"/>
          </w:tcPr>
          <w:p w14:paraId="15818E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Included (n=674)</w:t>
            </w:r>
          </w:p>
        </w:tc>
        <w:tc>
          <w:tcPr>
            <w:tcW w:w="1514" w:type="dxa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vAlign w:val="center"/>
          </w:tcPr>
          <w:p w14:paraId="74B385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Excluded (n=92)</w:t>
            </w:r>
          </w:p>
        </w:tc>
        <w:tc>
          <w:tcPr>
            <w:tcW w:w="1186" w:type="dxa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vAlign w:val="center"/>
          </w:tcPr>
          <w:p w14:paraId="752CDA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sym w:font="Symbol" w:char="0063"/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vertAlign w:val="superscript"/>
                <w:lang w:val="en-US" w:eastAsia="zh-CN" w:bidi="ar-SA"/>
              </w:rPr>
              <w:t>2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BE6CA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value</w:t>
            </w:r>
          </w:p>
        </w:tc>
      </w:tr>
      <w:tr w14:paraId="783EA358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CAF7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Sex</w:t>
            </w:r>
          </w:p>
        </w:tc>
        <w:tc>
          <w:tcPr>
            <w:tcW w:w="1649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8CBF7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14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F7E8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84FC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0.321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C293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0.571</w:t>
            </w:r>
          </w:p>
        </w:tc>
      </w:tr>
      <w:tr w14:paraId="438DBF46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52FA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Male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5E44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479 (87.6%)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4B2A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 (12.4%)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9821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5600C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750B418D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2BBC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Female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F745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(89.0%)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E847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 (11.0%)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4400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BE9B7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37BE8192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0EEB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Age/year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201BD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D48A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3B15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5.979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D499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0.014</w:t>
            </w:r>
          </w:p>
        </w:tc>
      </w:tr>
      <w:tr w14:paraId="0EF532C7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F61D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&lt;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46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0845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326 (85.1%)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3DEC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 (14.9%)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E4C4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ADD7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03F55A85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8313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≥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46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C2BD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 (90.9%)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F435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 (9.1%)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3F3F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30E82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48FC298C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8B7A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T stage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0A229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2140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7F04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0.957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A271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0.812</w:t>
            </w:r>
          </w:p>
        </w:tc>
      </w:tr>
      <w:tr w14:paraId="45B76687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C86F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T1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9164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 (100.0%)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C128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 (0.0%)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94BA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14078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038624DB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5FD5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T2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4CB6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 (87.2%)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3FD9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 (12.8%)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6485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321E6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605F11A8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4CA2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T3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0E05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291 (87.4%)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0394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 (12.6%)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E3ED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7F6C5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36162C9F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087F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T4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51EA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 (88.6%)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9744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 (11.4%)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A49E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0CF30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08D95A5E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B55B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N stage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FF6AF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BA57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818A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1.167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284B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0.761</w:t>
            </w:r>
          </w:p>
        </w:tc>
      </w:tr>
      <w:tr w14:paraId="4EA6FB54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5459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N0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E87D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 (90.9%)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B82C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 (9.1%)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3013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409B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04AD06D8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C437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N1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7484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193 (86.9%)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75C5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 (13.1%)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9FB9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403AB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5B049F12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0BDC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N2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9BD7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292 (87.4%)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FFF9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 (12.6%)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29B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EA3A6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72968E8A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CCFC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N3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CCFE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 (89.8%)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D0F4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 (10.2%)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8F59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A43F7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3D7D8EEC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79DC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Clinical stage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1CB3F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A349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2C3F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1.751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DFAB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0.417</w:t>
            </w:r>
          </w:p>
        </w:tc>
      </w:tr>
      <w:tr w14:paraId="6A7518A8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6354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I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5745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 (100.0%)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232A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 (0.0%)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B527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29C9C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095A31C3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CABE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II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7975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273 (86.4%)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1997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 (13.6%)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D630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096D3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27EDA63E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C060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III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04D9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397 (89.0%)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1BC0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 (11.0%)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2826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1093B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3EF75614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74A8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Serum albumin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2F66C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1895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70C7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4.214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C7AF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0.04</w:t>
            </w:r>
          </w:p>
        </w:tc>
      </w:tr>
      <w:tr w14:paraId="4354185E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81D5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&lt;35g/l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84E9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167 (83.9%)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722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 (16.1%)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A269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55822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094EB88A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C9E9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≥35g/l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7D60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507 (89.4%)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787C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 (10.6%)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43B9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FB8CC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585F5CD7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115A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"/>
              </w:rPr>
              <w:t>B</w:t>
            </w: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>ody mass index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B679C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EF88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E3D9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5.171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AA53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0.16</w:t>
            </w:r>
          </w:p>
        </w:tc>
      </w:tr>
      <w:tr w14:paraId="505C162D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6B20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Normal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D0B5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 (88.3%)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5DB5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 (11.7%)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323C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7D0B6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662759EC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E465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Overweight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7799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244 (85.3%)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2DEB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 (14.7%)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FFCE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74961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764CD884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32A4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Obese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FDE8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 (91.8%)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1F24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 (8.2%)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737C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555B4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33B923B8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9BAEB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Underweight</w:t>
            </w: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651E9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 (93.8%)</w:t>
            </w:r>
          </w:p>
        </w:tc>
        <w:tc>
          <w:tcPr>
            <w:tcW w:w="151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91E2C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 (6.3%)</w:t>
            </w: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A2FE2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bookmarkStart w:id="0" w:name="_GoBack"/>
            <w:bookmarkEnd w:id="0"/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B74B41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1C35DD27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</w:pPr>
    </w:p>
    <w:p w14:paraId="7BFEBD45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</w:pPr>
    </w:p>
    <w:p w14:paraId="761565F9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</w:pPr>
    </w:p>
    <w:p w14:paraId="0CEEF8B1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</w:pPr>
    </w:p>
    <w:p w14:paraId="58D73D81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</w:pPr>
    </w:p>
    <w:p w14:paraId="01B47FE7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</w:pPr>
    </w:p>
    <w:p w14:paraId="3E0130E7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</w:pPr>
    </w:p>
    <w:p w14:paraId="63DBD1F9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</w:pPr>
    </w:p>
    <w:p w14:paraId="5B105F5F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Supplementary Table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cs="Times New Roman"/>
          <w:sz w:val="24"/>
          <w:szCs w:val="24"/>
        </w:rPr>
        <w:t>. Interaction between age and BMI in Cox models for survival outcomes in non-metastatic nasopharyngeal carcinoma.</w:t>
      </w:r>
    </w:p>
    <w:tbl>
      <w:tblPr>
        <w:tblStyle w:val="3"/>
        <w:tblW w:w="8625" w:type="dxa"/>
        <w:tblInd w:w="136" w:type="dxa"/>
        <w:tblBorders>
          <w:top w:val="single" w:color="auto" w:sz="4" w:space="0"/>
          <w:left w:val="none" w:color="auto" w:sz="4" w:space="0"/>
          <w:bottom w:val="singl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0"/>
        <w:gridCol w:w="1425"/>
        <w:gridCol w:w="1335"/>
        <w:gridCol w:w="2460"/>
        <w:gridCol w:w="1605"/>
      </w:tblGrid>
      <w:tr w14:paraId="2474A737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6D230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Variables</w:t>
            </w:r>
          </w:p>
        </w:tc>
        <w:tc>
          <w:tcPr>
            <w:tcW w:w="142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4F6D21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  <w:tc>
          <w:tcPr>
            <w:tcW w:w="133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5F7D6B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</w:t>
            </w:r>
          </w:p>
        </w:tc>
        <w:tc>
          <w:tcPr>
            <w:tcW w:w="246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20D15D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HR (95% CI)</w:t>
            </w:r>
          </w:p>
        </w:tc>
        <w:tc>
          <w:tcPr>
            <w:tcW w:w="16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3BA47B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value</w:t>
            </w:r>
          </w:p>
        </w:tc>
      </w:tr>
      <w:tr w14:paraId="2D8D80C7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center"/>
          </w:tcPr>
          <w:p w14:paraId="7B3F26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OS</w:t>
            </w:r>
          </w:p>
        </w:tc>
        <w:tc>
          <w:tcPr>
            <w:tcW w:w="1425" w:type="dxa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center"/>
          </w:tcPr>
          <w:p w14:paraId="6F8AF12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5" w:type="dxa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center"/>
          </w:tcPr>
          <w:p w14:paraId="55A1E1B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center"/>
          </w:tcPr>
          <w:p w14:paraId="5336E48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center"/>
          </w:tcPr>
          <w:p w14:paraId="725E6A5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430F3792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1DA68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Age/year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4013A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F5AEDA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81DC24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center"/>
          </w:tcPr>
          <w:p w14:paraId="68B3E5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0.058</w:t>
            </w:r>
          </w:p>
        </w:tc>
      </w:tr>
      <w:tr w14:paraId="368889F3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8A0A0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18-39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7EB06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Ref.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DFF3A8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FE399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819239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49D100F3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AB6D0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40-59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FC32C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-1.116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0DA54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0.505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9E05C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0.328 (0.122–0.881)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057E9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0.027</w:t>
            </w:r>
          </w:p>
        </w:tc>
      </w:tr>
      <w:tr w14:paraId="22AD074A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777C6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≥60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30272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-0.65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3242B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0.283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9DFD6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0.522 (0.300–0.909)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0A538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0.022</w:t>
            </w:r>
          </w:p>
        </w:tc>
      </w:tr>
      <w:tr w14:paraId="1612E5F8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BBA34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BMI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1CABE8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94AD00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E5D2EC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C0AF6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&lt; 0.001</w:t>
            </w:r>
          </w:p>
        </w:tc>
      </w:tr>
      <w:tr w14:paraId="6A59E848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EE297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ormal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07EDE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Ref.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436E8B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C0B10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4577AC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22A2F4C9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85D23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verweight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13364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-0.741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E8132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0.27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7FAE6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 (0.281–0.809)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819CE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0.006</w:t>
            </w:r>
          </w:p>
        </w:tc>
      </w:tr>
      <w:tr w14:paraId="07E6A824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AC0E1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bese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D4A8C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-1.405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67A6C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0.356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96F9A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0.245 (0.122–0.493)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E0C15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&lt;0.001</w:t>
            </w:r>
          </w:p>
        </w:tc>
      </w:tr>
      <w:tr w14:paraId="558384EB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D343F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nderweight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1B452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-0.744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D9B44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1AC0E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 (0.168–1.344)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64F01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0.161</w:t>
            </w:r>
          </w:p>
        </w:tc>
      </w:tr>
      <w:tr w14:paraId="729DFE54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69DDC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Age*BMI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DA83F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0.001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3F08B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0.001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3EC94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1.001 (1.000–1.002)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9E564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0.178</w:t>
            </w:r>
          </w:p>
        </w:tc>
      </w:tr>
      <w:tr w14:paraId="00F99E18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1720F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omorbidity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28806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F3A0B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0.183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B27B6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1.994 (1.393–2.855)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0ACA5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&lt;0.001</w:t>
            </w:r>
          </w:p>
        </w:tc>
      </w:tr>
      <w:tr w14:paraId="7F4720D5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DD42F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linical stage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3AEAD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0.976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04ECA2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0.204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0041C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2.655 (1.779–3.962)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98643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&lt;0.001</w:t>
            </w:r>
          </w:p>
        </w:tc>
      </w:tr>
      <w:tr w14:paraId="787C86E3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5B4B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EFS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E97E42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48FD92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2B3D1A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9FF58E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36BB8480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E1BD6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Age/year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4D3535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DF4A1B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DD4F47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center"/>
          </w:tcPr>
          <w:p w14:paraId="1E044B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0.064</w:t>
            </w:r>
          </w:p>
        </w:tc>
      </w:tr>
      <w:tr w14:paraId="1659BDEF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7CAA0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18-39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09B68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Ref.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9655EA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47BC2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DDF595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5971ADB7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D5D4D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40-59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0DDB9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-0.994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E9C33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0.483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7234D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0.370 (0.144–0.953)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E3F76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0.039</w:t>
            </w:r>
          </w:p>
        </w:tc>
      </w:tr>
      <w:tr w14:paraId="24992B40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00864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≥60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D6C14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-0.643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490FE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0.277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13E6E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0.526 (0.305–0.905)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7AC34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 w14:paraId="107505D3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23D08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BMI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0315B3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EF4B51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B864E3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5EAFA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0.002</w:t>
            </w:r>
          </w:p>
        </w:tc>
      </w:tr>
      <w:tr w14:paraId="0208BC81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695EF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ormal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9689E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Ref.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C6CDF9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09258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5D47FD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48725A0C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5310C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verweight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14BAF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-0.657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A8018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0.26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ABFFD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0.519 (0.311–0.863)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95E9A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0.012</w:t>
            </w:r>
          </w:p>
        </w:tc>
      </w:tr>
      <w:tr w14:paraId="34D89C4F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7E57B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bese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3DF52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-1.055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CC088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0.333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626B4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0.348 (0.181–0.669)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01460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0.002</w:t>
            </w:r>
          </w:p>
        </w:tc>
      </w:tr>
      <w:tr w14:paraId="4DB5EC70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487C3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nderweight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28A68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-0.366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A9CD5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5B9DD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0.693 (0.269–1.789)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BCA69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</w:t>
            </w:r>
          </w:p>
        </w:tc>
      </w:tr>
      <w:tr w14:paraId="4B6AE82E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A2AEA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Age*BMI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242F7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99CE8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0.001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72522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1.000 (0.999–1.002)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EC318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0.447</w:t>
            </w:r>
          </w:p>
        </w:tc>
      </w:tr>
      <w:tr w14:paraId="40A7A4E8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9DB3D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ex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359CE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-0.340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E6BCF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0.196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65FA4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0.712 (0.485–1.044)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1EFE6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0.082</w:t>
            </w:r>
          </w:p>
        </w:tc>
      </w:tr>
      <w:tr w14:paraId="1351F47F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8E784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omorbidity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0395B9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0.592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8A779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0.178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64C85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1.808 (1.275–2.563)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835ED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0.001</w:t>
            </w:r>
          </w:p>
        </w:tc>
      </w:tr>
      <w:tr w14:paraId="0BBA07C0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6BB0F3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linical stage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5D0D50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0.957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3F00CC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0.193</w:t>
            </w:r>
          </w:p>
        </w:tc>
        <w:tc>
          <w:tcPr>
            <w:tcW w:w="2460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54DF14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2.605 (1.783–3.806)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253741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&lt;0.001</w:t>
            </w:r>
          </w:p>
        </w:tc>
      </w:tr>
    </w:tbl>
    <w:p w14:paraId="190F5BBD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 xml:space="preserve">Abbreviations: </w:t>
      </w:r>
      <w:r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 xml:space="preserve">OS,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overall surviva</w:t>
      </w:r>
      <w:r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 xml:space="preserve">l; EFS, event-free survival;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BMI, body mass index</w:t>
      </w:r>
      <w:r>
        <w:rPr>
          <w:rFonts w:hint="eastAsia" w:ascii="Times New Roman" w:hAnsi="Times New Roman" w:cs="Times New Roman"/>
          <w:kern w:val="2"/>
          <w:sz w:val="24"/>
          <w:szCs w:val="24"/>
          <w:lang w:val="en-US" w:eastAsia="zh-CN" w:bidi="ar"/>
        </w:rPr>
        <w:t>.</w:t>
      </w:r>
    </w:p>
    <w:p w14:paraId="7632C15B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</w:pPr>
    </w:p>
    <w:p w14:paraId="3F3F2073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</w:pPr>
    </w:p>
    <w:p w14:paraId="3B0E4671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</w:pPr>
    </w:p>
    <w:p w14:paraId="13DB5BED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</w:pPr>
    </w:p>
    <w:p w14:paraId="42999AB0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</w:pPr>
    </w:p>
    <w:p w14:paraId="65135478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Supplementary Table S</w:t>
      </w:r>
      <w:r>
        <w:rPr>
          <w:rFonts w:hint="eastAsia" w:ascii="Times New Roman" w:hAnsi="Times New Roman" w:cs="Times New Roman"/>
          <w:kern w:val="2"/>
          <w:sz w:val="24"/>
          <w:szCs w:val="24"/>
          <w:lang w:val="en-US" w:eastAsia="zh-CN" w:bidi="ar"/>
        </w:rPr>
        <w:t>3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 xml:space="preserve">. </w:t>
      </w:r>
      <w:r>
        <w:rPr>
          <w:rFonts w:hint="eastAsia" w:ascii="Times New Roman" w:hAnsi="Times New Roman" w:cs="Times New Roman"/>
          <w:kern w:val="2"/>
          <w:sz w:val="24"/>
          <w:szCs w:val="24"/>
          <w:lang w:val="en-US" w:eastAsia="zh-CN" w:bidi="ar"/>
        </w:rPr>
        <w:t>Sensitivity analysis of Cox regression after excluding patients with a follow-up duration of &lt;12 months</w:t>
      </w:r>
    </w:p>
    <w:tbl>
      <w:tblPr>
        <w:tblStyle w:val="3"/>
        <w:tblW w:w="8625" w:type="dxa"/>
        <w:tblInd w:w="136" w:type="dxa"/>
        <w:tblBorders>
          <w:top w:val="single" w:color="auto" w:sz="4" w:space="0"/>
          <w:left w:val="none" w:color="auto" w:sz="4" w:space="0"/>
          <w:bottom w:val="singl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0"/>
        <w:gridCol w:w="1425"/>
        <w:gridCol w:w="1335"/>
        <w:gridCol w:w="2460"/>
        <w:gridCol w:w="1605"/>
      </w:tblGrid>
      <w:tr w14:paraId="536F5B16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50E045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Variables</w:t>
            </w:r>
          </w:p>
        </w:tc>
        <w:tc>
          <w:tcPr>
            <w:tcW w:w="142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08C418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  <w:tc>
          <w:tcPr>
            <w:tcW w:w="133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317AD6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</w:t>
            </w:r>
          </w:p>
        </w:tc>
        <w:tc>
          <w:tcPr>
            <w:tcW w:w="246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6303C5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HR (95% CI)</w:t>
            </w:r>
          </w:p>
        </w:tc>
        <w:tc>
          <w:tcPr>
            <w:tcW w:w="16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3E2728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value</w:t>
            </w:r>
          </w:p>
        </w:tc>
      </w:tr>
      <w:tr w14:paraId="2F5B1B6B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center"/>
          </w:tcPr>
          <w:p w14:paraId="16809A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OS</w:t>
            </w:r>
          </w:p>
        </w:tc>
        <w:tc>
          <w:tcPr>
            <w:tcW w:w="1425" w:type="dxa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center"/>
          </w:tcPr>
          <w:p w14:paraId="7025F73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5" w:type="dxa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center"/>
          </w:tcPr>
          <w:p w14:paraId="13F2927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center"/>
          </w:tcPr>
          <w:p w14:paraId="6E36AAC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center"/>
          </w:tcPr>
          <w:p w14:paraId="774C084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1DC0A95F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C814A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Age/year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4ABDF7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AE4199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34C71F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38730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&lt; 0.001</w:t>
            </w:r>
          </w:p>
        </w:tc>
      </w:tr>
      <w:tr w14:paraId="07CFE898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FBDD3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18-39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8E6C7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Ref.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2304F5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0F468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1767BF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2B622A8F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69EDD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40-59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1C9D6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0.738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BDE27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0.243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FF97B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2.092 (1.300–3.367)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09FBB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0.002</w:t>
            </w:r>
          </w:p>
        </w:tc>
      </w:tr>
      <w:tr w14:paraId="60E9987A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08F0F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≥60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526CD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1.676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B9011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0.282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87FB2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5.345 (3.077–9.285)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43DBF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&lt; 0.001</w:t>
            </w:r>
          </w:p>
        </w:tc>
      </w:tr>
      <w:tr w14:paraId="61427367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8D047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BMI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A23FA9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9CB66D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9A1575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70FB4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0.007</w:t>
            </w:r>
          </w:p>
        </w:tc>
      </w:tr>
      <w:tr w14:paraId="4CF1C084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CAEC7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ormal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FBF3F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Ref.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FC879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17835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85A5A3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4A135E95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DF294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verweight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4438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-0.488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62D25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0.207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BDA06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0.614 (0.410–0.920)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FA457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0.018</w:t>
            </w:r>
          </w:p>
        </w:tc>
      </w:tr>
      <w:tr w14:paraId="609D3749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EBD3D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bese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98FF5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0.296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A6879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0.345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B899D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1.345 (0.683–2.648)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2B93C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0.391</w:t>
            </w:r>
          </w:p>
        </w:tc>
      </w:tr>
      <w:tr w14:paraId="566CE53C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75399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nderweight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8FC75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5CB4F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0.265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BD867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1.520 (0.903–2.556)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0DCBC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0.115</w:t>
            </w:r>
          </w:p>
        </w:tc>
      </w:tr>
      <w:tr w14:paraId="50F7DBA8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D8593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omorbidity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3E22E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0.647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45710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0.189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79A92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1.909 (1.319–2.762)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8F901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0.001</w:t>
            </w:r>
          </w:p>
        </w:tc>
      </w:tr>
      <w:tr w14:paraId="5DD9B0AA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10FD1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linical stage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D7875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1.012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74A71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0.211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6C0F3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2.750 (1.819–4.156)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C9D78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&lt; 0.001</w:t>
            </w:r>
          </w:p>
        </w:tc>
      </w:tr>
      <w:tr w14:paraId="79BC59BD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500AD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EFS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FF0E34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281220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F63D5E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E61191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1C9554D1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E334C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Age/year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24526A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8142A0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53A68A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831A0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&lt; 0.001</w:t>
            </w:r>
          </w:p>
        </w:tc>
      </w:tr>
      <w:tr w14:paraId="7F4E4EFF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8776E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18-39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BC154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Ref.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CD56D8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4741E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CE2786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421A4997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79518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40-59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C3492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BB0A9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0.215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2B26F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1.610 (1.056–2.456)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835E1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0.027</w:t>
            </w:r>
          </w:p>
        </w:tc>
      </w:tr>
      <w:tr w14:paraId="082D4E69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61E63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≥60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412A0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1.287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AD49D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0.260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9A9F2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3.620 (2.173–6.031)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4CB36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&lt; 0.001</w:t>
            </w:r>
          </w:p>
        </w:tc>
      </w:tr>
      <w:tr w14:paraId="532746DC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A7D5B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BMI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4C9F70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968827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288D02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57AD0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</w:tr>
      <w:tr w14:paraId="767C6844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570A6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ormal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8F92A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Ref.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53E421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E037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BECA9A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5262F33C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C0542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verweight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DC769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-0.299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B757F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0.192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8F19C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0.742 (0.509–1.081)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844A1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 w14:paraId="7AD8CFCE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6E185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bese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46158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104A3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0.320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F2E91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1.531 (0.818–2.865)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DF3B5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0.183</w:t>
            </w:r>
          </w:p>
        </w:tc>
      </w:tr>
      <w:tr w14:paraId="4BA55EEA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5A742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nderweight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C6D7F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0.416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38F83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0.255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346F19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1.516 (0.920–2.498)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4BFC6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0.103</w:t>
            </w:r>
          </w:p>
        </w:tc>
      </w:tr>
      <w:tr w14:paraId="7D06164F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945ED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ex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40F55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-0.362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F2FFF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0.201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064EA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0.696 (0.470–1.033)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4B51A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0.072</w:t>
            </w:r>
          </w:p>
        </w:tc>
      </w:tr>
      <w:tr w14:paraId="434613B6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222F5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omorbidity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A731D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0.543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10A35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0.183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2C6A4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1.722 (1.202–2.465)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C0533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0.003</w:t>
            </w:r>
          </w:p>
        </w:tc>
      </w:tr>
      <w:tr w14:paraId="465DE732">
        <w:tblPrEx>
          <w:tblBorders>
            <w:top w:val="single" w:color="auto" w:sz="4" w:space="0"/>
            <w:left w:val="none" w:color="auto" w:sz="4" w:space="0"/>
            <w:bottom w:val="singl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6F8A0F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linical stage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4E175E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0.991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2E2398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0.199</w:t>
            </w:r>
          </w:p>
        </w:tc>
        <w:tc>
          <w:tcPr>
            <w:tcW w:w="2460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5C40F7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2.693 (1.825–3.975)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25097F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&lt; 0.001</w:t>
            </w:r>
          </w:p>
        </w:tc>
      </w:tr>
    </w:tbl>
    <w:p w14:paraId="6BFEF773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 xml:space="preserve">Abbreviations: </w:t>
      </w:r>
      <w:r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 xml:space="preserve">OS,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overall surviva</w:t>
      </w:r>
      <w:r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 xml:space="preserve">l; EFS, event-free survival;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BMI, body mass index</w:t>
      </w:r>
      <w:r>
        <w:rPr>
          <w:rFonts w:hint="eastAsia" w:ascii="Times New Roman" w:hAnsi="Times New Roman" w:cs="Times New Roman"/>
          <w:kern w:val="2"/>
          <w:sz w:val="24"/>
          <w:szCs w:val="24"/>
          <w:lang w:val="en-US" w:eastAsia="zh-CN" w:bidi="ar"/>
        </w:rPr>
        <w:t>.</w:t>
      </w:r>
    </w:p>
    <w:p w14:paraId="783BFE8C"/>
    <w:p w14:paraId="36DAD918"/>
    <w:p w14:paraId="7CBCF11B">
      <w:pPr>
        <w:rPr>
          <w:rFonts w:hint="default" w:ascii="Times New Roman" w:hAnsi="Times New Roman" w:cs="Times New Roman"/>
          <w:sz w:val="24"/>
          <w:szCs w:val="24"/>
        </w:rPr>
      </w:pPr>
    </w:p>
    <w:sectPr>
      <w:pgSz w:w="12240" w:h="15840"/>
      <w:pgMar w:top="1440" w:right="1800" w:bottom="1440" w:left="1800" w:header="720" w:footer="720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EB184C"/>
    <w:rsid w:val="00DA26AD"/>
    <w:rsid w:val="11BD735F"/>
    <w:rsid w:val="155949BE"/>
    <w:rsid w:val="15A05265"/>
    <w:rsid w:val="1B9E2E42"/>
    <w:rsid w:val="1BFC0F78"/>
    <w:rsid w:val="1C5D7A0C"/>
    <w:rsid w:val="274D1422"/>
    <w:rsid w:val="29AA1DB7"/>
    <w:rsid w:val="3D0366FC"/>
    <w:rsid w:val="50EB184C"/>
    <w:rsid w:val="5CA949CF"/>
    <w:rsid w:val="64A04099"/>
    <w:rsid w:val="69C92897"/>
    <w:rsid w:val="75784746"/>
    <w:rsid w:val="7C15244C"/>
    <w:rsid w:val="7D285B4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459</Words>
  <Characters>2560</Characters>
  <Lines>0</Lines>
  <Paragraphs>0</Paragraphs>
  <TotalTime>1</TotalTime>
  <ScaleCrop>false</ScaleCrop>
  <LinksUpToDate>false</LinksUpToDate>
  <CharactersWithSpaces>2712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2025-03-25T02:22:00Z</dcterms:created>
  <dc:creator>白杨</dc:creator>
  <cp:lastModifiedBy>白杨</cp:lastModifiedBy>
  <dcterms:modified xsi:type="dcterms:W3CDTF">2026-05-22T15:12:03Z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CF4BECBD28754D83B0F405AFC61453D7_13</vt:lpwstr>
  </property>
  <property fmtid="{D5CDD505-2E9C-101B-9397-08002B2CF9AE}" pid="4" name="KSOTemplateDocerSaveRecord">
    <vt:lpwstr>eyJoZGlkIjoiY2I5NDQxNTBiMDk3YjQ4NmFkNzBlZmU2NWUxNThmYzMiLCJ1c2VySWQiOiI0NjE4OTc3MjIifQ==</vt:lpwstr>
  </property>
</Properties>
</file>