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ADA" w:rsidRDefault="00E40ADA" w:rsidP="00E40ADA">
      <w:pPr>
        <w:widowControl/>
        <w:adjustRightInd w:val="0"/>
        <w:snapToGrid w:val="0"/>
        <w:spacing w:after="0" w:line="480" w:lineRule="auto"/>
        <w:jc w:val="both"/>
        <w:rPr>
          <w:rFonts w:ascii="Times New Roman" w:eastAsia="MyriadPro-Light" w:hAnsi="Times New Roman" w:cs="Times New Roman"/>
          <w:color w:val="000000" w:themeColor="text1"/>
          <w:kern w:val="0"/>
          <w:sz w:val="24"/>
        </w:rPr>
      </w:pPr>
      <w:r>
        <w:rPr>
          <w:rFonts w:ascii="Times New Roman" w:eastAsia="MyriadPro-Light" w:hAnsi="Times New Roman" w:cs="Times New Roman"/>
          <w:b/>
          <w:bCs/>
          <w:color w:val="000000" w:themeColor="text1"/>
          <w:kern w:val="0"/>
          <w:sz w:val="24"/>
        </w:rPr>
        <w:t xml:space="preserve">Supplementary Fig.1 Survival Curves Showing the Relationship Between Hub Genes and Overall Survival. </w:t>
      </w:r>
      <w:r>
        <w:rPr>
          <w:rFonts w:ascii="Times New Roman" w:eastAsia="MyriadPro-Light" w:hAnsi="Times New Roman" w:cs="Times New Roman"/>
          <w:color w:val="000000" w:themeColor="text1"/>
          <w:kern w:val="0"/>
          <w:sz w:val="24"/>
        </w:rPr>
        <w:t>a) BLOC1S2 (p=0.008192, &lt;0.01); b) CIB1 (p=0.04835, &lt;0.05); c) CREB3L1 (p=0.001558, &lt;0.01); d) IL6R (p=0.001546, &lt;0.01); e) TGFB2 (p=0.0691,&gt;0.05); f) TNFRSF10C (p=0.1223,&gt;0.05).</w:t>
      </w:r>
    </w:p>
    <w:p w:rsidR="00E40ADA" w:rsidRDefault="00E40ADA" w:rsidP="00E40ADA">
      <w:pPr>
        <w:widowControl/>
        <w:adjustRightInd w:val="0"/>
        <w:snapToGrid w:val="0"/>
        <w:spacing w:after="0" w:line="480" w:lineRule="auto"/>
        <w:jc w:val="both"/>
        <w:rPr>
          <w:rFonts w:ascii="Times New Roman" w:eastAsia="MyriadPro-Light" w:hAnsi="Times New Roman" w:cs="Times New Roman"/>
          <w:color w:val="000000" w:themeColor="text1"/>
          <w:kern w:val="0"/>
          <w:sz w:val="24"/>
        </w:rPr>
      </w:pPr>
      <w:r>
        <w:rPr>
          <w:rFonts w:ascii="Times New Roman" w:eastAsia="MyriadPro-Light" w:hAnsi="Times New Roman" w:cs="Times New Roman"/>
          <w:b/>
          <w:bCs/>
          <w:color w:val="000000" w:themeColor="text1"/>
          <w:kern w:val="0"/>
          <w:sz w:val="24"/>
        </w:rPr>
        <w:t xml:space="preserve">Supplementary Fig.2 Analysis of Immune Checkpoints and TME Scores. </w:t>
      </w:r>
      <w:r>
        <w:rPr>
          <w:rFonts w:ascii="Times New Roman" w:eastAsia="MyriadPro-Light" w:hAnsi="Times New Roman" w:cs="Times New Roman"/>
          <w:color w:val="000000" w:themeColor="text1"/>
          <w:kern w:val="0"/>
          <w:sz w:val="24"/>
        </w:rPr>
        <w:t>a-l) Relationship between risk score and immune checkpoint expression. m) Correlation analysis of immune checkpoint expression. n) Violin plots showing differences in Stromal Score, Immune Score, and ESTIMATE Score between risk groups.</w:t>
      </w:r>
    </w:p>
    <w:p w:rsidR="00A9116D" w:rsidRPr="00E40ADA" w:rsidRDefault="00E40ADA" w:rsidP="00E40ADA">
      <w:pPr>
        <w:widowControl/>
        <w:adjustRightInd w:val="0"/>
        <w:snapToGrid w:val="0"/>
        <w:spacing w:after="0" w:line="480" w:lineRule="auto"/>
        <w:jc w:val="both"/>
        <w:rPr>
          <w:rFonts w:ascii="Times New Roman" w:eastAsia="MyriadPro-Light" w:hAnsi="Times New Roman" w:cs="Times New Roman" w:hint="eastAsia"/>
          <w:color w:val="000000" w:themeColor="text1"/>
          <w:kern w:val="0"/>
          <w:sz w:val="24"/>
        </w:rPr>
      </w:pPr>
      <w:r>
        <w:rPr>
          <w:rFonts w:ascii="Times New Roman" w:eastAsia="MyriadPro-Light" w:hAnsi="Times New Roman" w:cs="Times New Roman"/>
          <w:b/>
          <w:bCs/>
          <w:color w:val="000000" w:themeColor="text1"/>
          <w:kern w:val="0"/>
          <w:sz w:val="24"/>
        </w:rPr>
        <w:t xml:space="preserve">Supplementary Fig.3 Identification of Potential Therapeutic Drugs. </w:t>
      </w:r>
      <w:r>
        <w:rPr>
          <w:rFonts w:ascii="Times New Roman" w:eastAsia="MyriadPro-Light" w:hAnsi="Times New Roman" w:cs="Times New Roman"/>
          <w:color w:val="000000" w:themeColor="text1"/>
          <w:kern w:val="0"/>
          <w:sz w:val="24"/>
        </w:rPr>
        <w:t>Susceptibility analysis for drugs a) ABT737, b) Axitinib, c) AZD8055, d) AZD8186, e) BI-2536, f) BMS-754807, g) Cisplatin, h) GDC0810, i) I-BRD9, j) JQ1, k) Lapatinib, l) Linsitinib, m) MIRA-1, n) Navitoclax, o) Olaparib, p) PD0325901, q) PF-4708671, r) Ribociclib, s) SB216763, t) SB505124, u) SCH772984, v) Selumetinib, w) Sinularin, x) Telomerase Inhibitor IX, y) Trametinib, z) Ulixertinib, β) UMI-77, γ) Uprosertib and δ) WEHI-539 in high- and low-risk group.</w:t>
      </w:r>
      <w:bookmarkStart w:id="0" w:name="_GoBack"/>
      <w:bookmarkEnd w:id="0"/>
    </w:p>
    <w:sectPr w:rsidR="00A9116D" w:rsidRPr="00E40A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CA8" w:rsidRDefault="00236CA8" w:rsidP="00E40ADA">
      <w:pPr>
        <w:spacing w:after="0" w:line="240" w:lineRule="auto"/>
      </w:pPr>
      <w:r>
        <w:separator/>
      </w:r>
    </w:p>
  </w:endnote>
  <w:endnote w:type="continuationSeparator" w:id="0">
    <w:p w:rsidR="00236CA8" w:rsidRDefault="00236CA8" w:rsidP="00E40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yriadPro-Light">
    <w:altName w:val="微软雅黑"/>
    <w:charset w:val="00"/>
    <w:family w:val="auto"/>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CA8" w:rsidRDefault="00236CA8" w:rsidP="00E40ADA">
      <w:pPr>
        <w:spacing w:after="0" w:line="240" w:lineRule="auto"/>
      </w:pPr>
      <w:r>
        <w:separator/>
      </w:r>
    </w:p>
  </w:footnote>
  <w:footnote w:type="continuationSeparator" w:id="0">
    <w:p w:rsidR="00236CA8" w:rsidRDefault="00236CA8" w:rsidP="00E40A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1E2"/>
    <w:rsid w:val="00236CA8"/>
    <w:rsid w:val="00242A92"/>
    <w:rsid w:val="006941E2"/>
    <w:rsid w:val="00A9116D"/>
    <w:rsid w:val="00E40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D05CB44-C7F9-418C-B7CC-B5E496E8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ADA"/>
    <w:pPr>
      <w:widowControl w:val="0"/>
      <w:spacing w:after="160" w:line="278" w:lineRule="auto"/>
    </w:pPr>
    <w:rPr>
      <w:sz w:val="22"/>
      <w:szCs w:val="24"/>
      <w14:ligatures w14:val="standardContextual"/>
    </w:rPr>
  </w:style>
  <w:style w:type="paragraph" w:styleId="1">
    <w:name w:val="heading 1"/>
    <w:basedOn w:val="a"/>
    <w:next w:val="a"/>
    <w:link w:val="1Char"/>
    <w:uiPriority w:val="9"/>
    <w:qFormat/>
    <w:rsid w:val="00242A92"/>
    <w:pPr>
      <w:keepNext/>
      <w:keepLines/>
      <w:spacing w:before="340" w:after="330" w:line="578" w:lineRule="auto"/>
      <w:jc w:val="both"/>
      <w:outlineLvl w:val="0"/>
    </w:pPr>
    <w:rPr>
      <w:b/>
      <w:bCs/>
      <w:kern w:val="44"/>
      <w:sz w:val="44"/>
      <w:szCs w:val="4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42A92"/>
    <w:rPr>
      <w:b/>
      <w:bCs/>
      <w:kern w:val="44"/>
      <w:sz w:val="44"/>
      <w:szCs w:val="44"/>
    </w:rPr>
  </w:style>
  <w:style w:type="paragraph" w:styleId="a3">
    <w:name w:val="header"/>
    <w:basedOn w:val="a"/>
    <w:link w:val="Char"/>
    <w:uiPriority w:val="99"/>
    <w:unhideWhenUsed/>
    <w:rsid w:val="00E40ADA"/>
    <w:pPr>
      <w:pBdr>
        <w:bottom w:val="single" w:sz="6" w:space="1" w:color="auto"/>
      </w:pBdr>
      <w:tabs>
        <w:tab w:val="center" w:pos="4153"/>
        <w:tab w:val="right" w:pos="8306"/>
      </w:tabs>
      <w:snapToGrid w:val="0"/>
      <w:spacing w:after="0" w:line="240" w:lineRule="auto"/>
      <w:jc w:val="center"/>
    </w:pPr>
    <w:rPr>
      <w:sz w:val="18"/>
      <w:szCs w:val="18"/>
      <w14:ligatures w14:val="none"/>
    </w:rPr>
  </w:style>
  <w:style w:type="character" w:customStyle="1" w:styleId="Char">
    <w:name w:val="页眉 Char"/>
    <w:basedOn w:val="a0"/>
    <w:link w:val="a3"/>
    <w:uiPriority w:val="99"/>
    <w:rsid w:val="00E40ADA"/>
    <w:rPr>
      <w:sz w:val="18"/>
      <w:szCs w:val="18"/>
    </w:rPr>
  </w:style>
  <w:style w:type="paragraph" w:styleId="a4">
    <w:name w:val="footer"/>
    <w:basedOn w:val="a"/>
    <w:link w:val="Char0"/>
    <w:uiPriority w:val="99"/>
    <w:unhideWhenUsed/>
    <w:rsid w:val="00E40ADA"/>
    <w:pPr>
      <w:tabs>
        <w:tab w:val="center" w:pos="4153"/>
        <w:tab w:val="right" w:pos="8306"/>
      </w:tabs>
      <w:snapToGrid w:val="0"/>
      <w:spacing w:after="0" w:line="240" w:lineRule="auto"/>
    </w:pPr>
    <w:rPr>
      <w:sz w:val="18"/>
      <w:szCs w:val="18"/>
      <w14:ligatures w14:val="none"/>
    </w:rPr>
  </w:style>
  <w:style w:type="character" w:customStyle="1" w:styleId="Char0">
    <w:name w:val="页脚 Char"/>
    <w:basedOn w:val="a0"/>
    <w:link w:val="a4"/>
    <w:uiPriority w:val="99"/>
    <w:rsid w:val="00E40AD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949</Characters>
  <Application>Microsoft Office Word</Application>
  <DocSecurity>0</DocSecurity>
  <Lines>7</Lines>
  <Paragraphs>2</Paragraphs>
  <ScaleCrop>false</ScaleCrop>
  <Company/>
  <LinksUpToDate>false</LinksUpToDate>
  <CharactersWithSpaces>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2026-04-21T09:23:00Z</dcterms:created>
  <dcterms:modified xsi:type="dcterms:W3CDTF">2026-04-21T09:23:00Z</dcterms:modified>
</cp:coreProperties>
</file>