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240"/>
        <w:jc w:val="left"/>
        <w:rPr>
          <w:sz w:val="21"/>
          <w:szCs w:val="21"/>
        </w:rPr>
      </w:pPr>
      <w:r>
        <w:rPr/>
      </w:r>
    </w:p>
    <w:p>
      <w:pPr>
        <w:pStyle w:val="Normal"/>
        <w:bidi w:val="0"/>
        <w:spacing w:lineRule="auto" w:line="360" w:before="0" w:after="240"/>
        <w:jc w:val="left"/>
        <w:rPr>
          <w:sz w:val="21"/>
          <w:szCs w:val="21"/>
        </w:rPr>
      </w:pPr>
      <w:r>
        <w:rPr/>
        <w:drawing>
          <wp:inline distT="0" distB="0" distL="0" distR="0">
            <wp:extent cx="5268595" cy="4453255"/>
            <wp:effectExtent l="0" t="0" r="0" b="0"/>
            <wp:docPr id="1" name="图片 4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Figure S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445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spacing w:lineRule="auto" w:line="360" w:before="0" w:after="240"/>
        <w:jc w:val="lef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Supplementary Figure 1. Cumulative incidence of leukemic transformation by FAB classification. </w:t>
      </w:r>
      <w:r>
        <w:rPr>
          <w:sz w:val="21"/>
          <w:szCs w:val="21"/>
        </w:rPr>
        <w:t>Cumulative incidence functions for MD-CMML (blue, n=42) and MP-CMML (red, n=60) are shown. The curves were largely overlapping throughout follow-up, with no significant difference between FAB subtypes, suggesting limited discriminatory power for transformation risk compared to WHO classification and cytogenetic risk.</w:t>
      </w:r>
    </w:p>
    <w:p>
      <w:pPr>
        <w:pStyle w:val="Normal"/>
        <w:bidi w:val="0"/>
        <w:spacing w:lineRule="auto" w:line="360" w:before="0" w:after="240"/>
        <w:jc w:val="left"/>
        <w:rPr>
          <w:sz w:val="21"/>
          <w:szCs w:val="21"/>
        </w:rPr>
      </w:pPr>
      <w:r>
        <w:rPr/>
      </w:r>
    </w:p>
    <w:p>
      <w:pPr>
        <w:pStyle w:val="Heading1"/>
        <w:rPr/>
      </w:pPr>
      <w:r>
        <w:rPr/>
        <w:t>Supplementary Tables</w:t>
      </w:r>
    </w:p>
    <w:p>
      <w:pPr>
        <w:pStyle w:val="Normal"/>
        <w:bidi w:val="0"/>
        <w:jc w:val="left"/>
        <w:rPr>
          <w:rFonts w:ascii="Times New Roman" w:hAnsi="Times New Roman" w:eastAsia="宋体" w:cs="Times New Roman"/>
          <w:i/>
          <w:i/>
          <w:iCs/>
          <w:color w:themeColor="text1" w:val="000000"/>
          <w:sz w:val="19"/>
          <w:szCs w:val="19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eastAsia="宋体" w:cs="Times New Roman"/>
          <w:b/>
          <w:bCs/>
          <w:color w:themeColor="text1" w:val="00000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T</w:t>
      </w:r>
      <w:r>
        <w:rPr>
          <w:rFonts w:eastAsia="宋体" w:cs="Times New Roman" w:ascii="Times New Roman" w:hAnsi="Times New Roman"/>
          <w:b/>
          <w:bCs/>
          <w:color w:themeColor="text1" w:val="00000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able </w:t>
      </w:r>
      <w:r>
        <w:rPr>
          <w:rFonts w:eastAsia="宋体" w:cs="Times New Roman"/>
          <w:b/>
          <w:bCs/>
          <w:color w:themeColor="text1" w:val="00000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eastAsia="宋体" w:cs="Times New Roman" w:ascii="Times New Roman" w:hAnsi="Times New Roman"/>
          <w:b/>
          <w:bCs/>
          <w:color w:themeColor="text1" w:val="00000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1. </w:t>
      </w:r>
      <w:r>
        <w:rPr>
          <w:rFonts w:eastAsia="宋体" w:cs="Times New Roman" w:ascii="Times New Roman" w:hAnsi="Times New Roman"/>
          <w:color w:themeColor="text1" w:val="000000"/>
          <w:sz w:val="24"/>
          <w:szCs w:val="24"/>
          <w14:textFill>
            <w14:solidFill>
              <w14:schemeClr w14:val="tx1"/>
            </w14:solidFill>
          </w14:textFill>
        </w:rPr>
        <w:t>Test of the proportional hazards assumption for covariates included in the final multivariable model</w:t>
      </w:r>
      <w:r>
        <w:rPr>
          <w:rFonts w:eastAsia="宋体" w:cs="Times New Roman" w:ascii="Times New Roman" w:hAnsi="Times New Roman"/>
          <w:color w:themeColor="text1" w:val="00000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.</w:t>
      </w:r>
    </w:p>
    <w:tbl>
      <w:tblPr>
        <w:tblStyle w:val="TableNormal"/>
        <w:tblW w:w="9360" w:type="dxa"/>
        <w:jc w:val="left"/>
        <w:tblInd w:w="-15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599"/>
        <w:gridCol w:w="1900"/>
        <w:gridCol w:w="1930"/>
        <w:gridCol w:w="1930"/>
      </w:tblGrid>
      <w:tr>
        <w:trPr>
          <w:tblHeader w:val="true"/>
        </w:trPr>
        <w:tc>
          <w:tcPr>
            <w:tcW w:w="3599" w:type="dxa"/>
            <w:tcBorders>
              <w:top w:val="single" w:sz="4" w:space="0" w:color="4D9CDF"/>
              <w:left w:val="dotted" w:sz="4" w:space="0" w:color="000000"/>
              <w:bottom w:val="single" w:sz="4" w:space="0" w:color="4D9CDF"/>
              <w:right w:val="dotted" w:sz="4" w:space="0" w:color="000000"/>
            </w:tcBorders>
            <w:shd w:color="auto" w:fill="9BC6ED" w:val="clear"/>
          </w:tcPr>
          <w:p>
            <w:pPr>
              <w:pStyle w:val="Normal"/>
              <w:bidi w:val="0"/>
              <w:spacing w:before="0" w:after="0"/>
              <w:jc w:val="center"/>
              <w:rPr>
                <w:color w:val="000000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kern w:val="0"/>
                <w:sz w:val="20"/>
                <w:szCs w:val="20"/>
                <w:lang w:val="en-US" w:eastAsia="en-US" w:bidi="ar-SA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4D9CDF"/>
              <w:left w:val="dotted" w:sz="4" w:space="0" w:color="000000"/>
              <w:bottom w:val="single" w:sz="4" w:space="0" w:color="4D9CDF"/>
              <w:right w:val="dotted" w:sz="4" w:space="0" w:color="000000"/>
            </w:tcBorders>
            <w:shd w:color="auto" w:fill="9BC6ED" w:val="clear"/>
          </w:tcPr>
          <w:p>
            <w:pPr>
              <w:pStyle w:val="Normal"/>
              <w:bidi w:val="0"/>
              <w:spacing w:before="0" w:after="0"/>
              <w:jc w:val="center"/>
              <w:rPr>
                <w:color w:val="000000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kern w:val="0"/>
                <w:sz w:val="20"/>
                <w:szCs w:val="20"/>
                <w:lang w:val="en-US" w:eastAsia="en-US" w:bidi="ar-SA"/>
              </w:rPr>
              <w:t>χ² statistic</w:t>
            </w:r>
          </w:p>
        </w:tc>
        <w:tc>
          <w:tcPr>
            <w:tcW w:w="1930" w:type="dxa"/>
            <w:tcBorders>
              <w:top w:val="single" w:sz="4" w:space="0" w:color="4D9CDF"/>
              <w:left w:val="dotted" w:sz="4" w:space="0" w:color="000000"/>
              <w:bottom w:val="single" w:sz="4" w:space="0" w:color="4D9CDF"/>
              <w:right w:val="dotted" w:sz="4" w:space="0" w:color="000000"/>
            </w:tcBorders>
            <w:shd w:color="auto" w:fill="9BC6ED" w:val="clear"/>
          </w:tcPr>
          <w:p>
            <w:pPr>
              <w:pStyle w:val="Normal"/>
              <w:bidi w:val="0"/>
              <w:spacing w:before="0" w:after="0"/>
              <w:jc w:val="center"/>
              <w:rPr>
                <w:color w:val="000000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kern w:val="0"/>
                <w:sz w:val="20"/>
                <w:szCs w:val="20"/>
                <w:lang w:val="en-US" w:eastAsia="en-US" w:bidi="ar-SA"/>
              </w:rPr>
              <w:t>df</w:t>
            </w:r>
          </w:p>
        </w:tc>
        <w:tc>
          <w:tcPr>
            <w:tcW w:w="1930" w:type="dxa"/>
            <w:tcBorders>
              <w:top w:val="single" w:sz="4" w:space="0" w:color="4D9CDF"/>
              <w:left w:val="dotted" w:sz="4" w:space="0" w:color="000000"/>
              <w:bottom w:val="single" w:sz="4" w:space="0" w:color="4D9CDF"/>
              <w:right w:val="dotted" w:sz="4" w:space="0" w:color="000000"/>
            </w:tcBorders>
            <w:shd w:color="auto" w:fill="9BC6ED" w:val="clear"/>
          </w:tcPr>
          <w:p>
            <w:pPr>
              <w:pStyle w:val="Normal"/>
              <w:bidi w:val="0"/>
              <w:spacing w:before="0" w:after="0"/>
              <w:jc w:val="center"/>
              <w:rPr>
                <w:color w:val="000000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kern w:val="0"/>
                <w:sz w:val="20"/>
                <w:szCs w:val="20"/>
                <w:lang w:val="en-US" w:eastAsia="en-US" w:bidi="ar-SA"/>
              </w:rPr>
              <w:t>p-value</w:t>
            </w:r>
          </w:p>
        </w:tc>
      </w:tr>
      <w:tr>
        <w:trPr/>
        <w:tc>
          <w:tcPr>
            <w:tcW w:w="359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2F2F2" w:val="clear"/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WHO classification</w:t>
            </w:r>
          </w:p>
        </w:tc>
        <w:tc>
          <w:tcPr>
            <w:tcW w:w="1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2F2F2" w:val="clear"/>
          </w:tcPr>
          <w:p>
            <w:pPr>
              <w:pStyle w:val="Normal"/>
              <w:bidi w:val="0"/>
              <w:spacing w:before="0" w:after="0"/>
              <w:jc w:val="center"/>
              <w:rPr>
                <w:rFonts w:eastAsia="宋体"/>
                <w:lang w:val="en-US" w:eastAsia="zh-CN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0.</w:t>
            </w:r>
            <w:r>
              <w:rPr>
                <w:rFonts w:eastAsia="宋体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zh-CN" w:bidi="ar-SA"/>
              </w:rPr>
              <w:t>34</w:t>
            </w:r>
          </w:p>
        </w:tc>
        <w:tc>
          <w:tcPr>
            <w:tcW w:w="19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2F2F2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9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2F2F2" w:val="clear"/>
          </w:tcPr>
          <w:p>
            <w:pPr>
              <w:pStyle w:val="Normal"/>
              <w:bidi w:val="0"/>
              <w:spacing w:before="0" w:after="0"/>
              <w:jc w:val="center"/>
              <w:rPr>
                <w:rFonts w:eastAsia="宋体"/>
                <w:lang w:val="en-US" w:eastAsia="zh-CN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0.</w:t>
            </w:r>
            <w:r>
              <w:rPr>
                <w:rFonts w:eastAsia="宋体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zh-CN" w:bidi="ar-SA"/>
              </w:rPr>
              <w:t>56</w:t>
            </w:r>
          </w:p>
        </w:tc>
      </w:tr>
      <w:tr>
        <w:trPr/>
        <w:tc>
          <w:tcPr>
            <w:tcW w:w="359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FFFFF" w:val="clear"/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Karyotype risk (intermediate)</w:t>
            </w:r>
          </w:p>
        </w:tc>
        <w:tc>
          <w:tcPr>
            <w:tcW w:w="1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FFFFF" w:val="clear"/>
          </w:tcPr>
          <w:p>
            <w:pPr>
              <w:pStyle w:val="Normal"/>
              <w:bidi w:val="0"/>
              <w:spacing w:before="0" w:after="0"/>
              <w:jc w:val="center"/>
              <w:rPr>
                <w:rFonts w:eastAsia="宋体"/>
                <w:lang w:val="en-US" w:eastAsia="zh-CN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0.</w:t>
            </w:r>
            <w:r>
              <w:rPr>
                <w:rFonts w:eastAsia="宋体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zh-CN" w:bidi="ar-SA"/>
              </w:rPr>
              <w:t>24</w:t>
            </w:r>
          </w:p>
        </w:tc>
        <w:tc>
          <w:tcPr>
            <w:tcW w:w="19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FFFFF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9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FFFFF" w:val="clear"/>
          </w:tcPr>
          <w:p>
            <w:pPr>
              <w:pStyle w:val="Normal"/>
              <w:bidi w:val="0"/>
              <w:spacing w:before="0" w:after="0"/>
              <w:jc w:val="center"/>
              <w:rPr>
                <w:rFonts w:eastAsia="宋体"/>
                <w:lang w:val="en-US" w:eastAsia="zh-CN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0.</w:t>
            </w:r>
            <w:r>
              <w:rPr>
                <w:rFonts w:eastAsia="宋体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zh-CN" w:bidi="ar-SA"/>
              </w:rPr>
              <w:t>63</w:t>
            </w:r>
          </w:p>
        </w:tc>
      </w:tr>
      <w:tr>
        <w:trPr/>
        <w:tc>
          <w:tcPr>
            <w:tcW w:w="359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2F2F2" w:val="clear"/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Karyotype risk (high)</w:t>
            </w:r>
          </w:p>
        </w:tc>
        <w:tc>
          <w:tcPr>
            <w:tcW w:w="1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2F2F2" w:val="clear"/>
          </w:tcPr>
          <w:p>
            <w:pPr>
              <w:pStyle w:val="Normal"/>
              <w:bidi w:val="0"/>
              <w:spacing w:before="0" w:after="0"/>
              <w:jc w:val="center"/>
              <w:rPr>
                <w:rFonts w:eastAsia="宋体"/>
                <w:lang w:val="en-US" w:eastAsia="zh-CN"/>
              </w:rPr>
            </w:pPr>
            <w:r>
              <w:rPr>
                <w:rFonts w:eastAsia="宋体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zh-CN" w:bidi="ar-SA"/>
              </w:rPr>
              <w:t>1.91</w:t>
            </w:r>
          </w:p>
        </w:tc>
        <w:tc>
          <w:tcPr>
            <w:tcW w:w="19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2F2F2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9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2F2F2" w:val="clear"/>
          </w:tcPr>
          <w:p>
            <w:pPr>
              <w:pStyle w:val="Normal"/>
              <w:bidi w:val="0"/>
              <w:spacing w:before="0" w:after="0"/>
              <w:jc w:val="center"/>
              <w:rPr>
                <w:rFonts w:eastAsia="宋体"/>
                <w:lang w:val="en-US" w:eastAsia="zh-CN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0.</w:t>
            </w:r>
            <w:r>
              <w:rPr>
                <w:rFonts w:eastAsia="宋体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zh-CN" w:bidi="ar-SA"/>
              </w:rPr>
              <w:t>17</w:t>
            </w:r>
          </w:p>
        </w:tc>
      </w:tr>
      <w:tr>
        <w:trPr/>
        <w:tc>
          <w:tcPr>
            <w:tcW w:w="359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FFFFF" w:val="clear"/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Treatment: chemotherapy</w:t>
            </w:r>
          </w:p>
        </w:tc>
        <w:tc>
          <w:tcPr>
            <w:tcW w:w="1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FFFFF" w:val="clear"/>
          </w:tcPr>
          <w:p>
            <w:pPr>
              <w:pStyle w:val="Normal"/>
              <w:bidi w:val="0"/>
              <w:spacing w:before="0" w:after="0"/>
              <w:jc w:val="center"/>
              <w:rPr>
                <w:rFonts w:eastAsia="宋体"/>
                <w:lang w:eastAsia="zh-CN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0.0</w:t>
            </w:r>
            <w:r>
              <w:rPr>
                <w:rFonts w:eastAsia="宋体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19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FFFFF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9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FFFFF" w:val="clear"/>
          </w:tcPr>
          <w:p>
            <w:pPr>
              <w:pStyle w:val="Normal"/>
              <w:bidi w:val="0"/>
              <w:spacing w:before="0" w:after="0"/>
              <w:jc w:val="center"/>
              <w:rPr>
                <w:rFonts w:eastAsia="宋体"/>
                <w:lang w:val="en-US" w:eastAsia="zh-CN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0.</w:t>
            </w:r>
            <w:r>
              <w:rPr>
                <w:rFonts w:eastAsia="宋体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zh-CN" w:bidi="ar-SA"/>
              </w:rPr>
              <w:t>82</w:t>
            </w:r>
          </w:p>
        </w:tc>
      </w:tr>
      <w:tr>
        <w:trPr/>
        <w:tc>
          <w:tcPr>
            <w:tcW w:w="359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2F2F2" w:val="clear"/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Treatment: BSC</w:t>
            </w:r>
          </w:p>
        </w:tc>
        <w:tc>
          <w:tcPr>
            <w:tcW w:w="1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2F2F2" w:val="clear"/>
          </w:tcPr>
          <w:p>
            <w:pPr>
              <w:pStyle w:val="Normal"/>
              <w:bidi w:val="0"/>
              <w:spacing w:before="0" w:after="0"/>
              <w:jc w:val="center"/>
              <w:rPr>
                <w:rFonts w:eastAsia="宋体"/>
                <w:lang w:val="en-US" w:eastAsia="zh-CN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0.</w:t>
            </w:r>
            <w:r>
              <w:rPr>
                <w:rFonts w:eastAsia="宋体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zh-CN" w:bidi="ar-SA"/>
              </w:rPr>
              <w:t>01</w:t>
            </w:r>
          </w:p>
        </w:tc>
        <w:tc>
          <w:tcPr>
            <w:tcW w:w="19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2F2F2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9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2F2F2" w:val="clear"/>
          </w:tcPr>
          <w:p>
            <w:pPr>
              <w:pStyle w:val="Normal"/>
              <w:bidi w:val="0"/>
              <w:spacing w:before="0" w:after="0"/>
              <w:jc w:val="center"/>
              <w:rPr>
                <w:rFonts w:eastAsia="宋体"/>
                <w:lang w:val="en-US" w:eastAsia="zh-CN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0.</w:t>
            </w:r>
            <w:r>
              <w:rPr>
                <w:rFonts w:eastAsia="宋体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zh-CN" w:bidi="ar-SA"/>
              </w:rPr>
              <w:t>92</w:t>
            </w:r>
          </w:p>
        </w:tc>
      </w:tr>
      <w:tr>
        <w:trPr/>
        <w:tc>
          <w:tcPr>
            <w:tcW w:w="359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FFFFF" w:val="clear"/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Treatment: allo-HSCT</w:t>
            </w:r>
          </w:p>
        </w:tc>
        <w:tc>
          <w:tcPr>
            <w:tcW w:w="1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FFFFF" w:val="clear"/>
          </w:tcPr>
          <w:p>
            <w:pPr>
              <w:pStyle w:val="Normal"/>
              <w:bidi w:val="0"/>
              <w:spacing w:before="0" w:after="0"/>
              <w:jc w:val="center"/>
              <w:rPr>
                <w:rFonts w:eastAsia="宋体"/>
                <w:lang w:val="en-US" w:eastAsia="zh-CN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0.</w:t>
            </w:r>
            <w:r>
              <w:rPr>
                <w:rFonts w:eastAsia="宋体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zh-CN" w:bidi="ar-SA"/>
              </w:rPr>
              <w:t>13</w:t>
            </w:r>
          </w:p>
        </w:tc>
        <w:tc>
          <w:tcPr>
            <w:tcW w:w="19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FFFFF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9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FFFFF" w:val="clear"/>
          </w:tcPr>
          <w:p>
            <w:pPr>
              <w:pStyle w:val="Normal"/>
              <w:bidi w:val="0"/>
              <w:spacing w:before="0" w:after="0"/>
              <w:jc w:val="center"/>
              <w:rPr>
                <w:rFonts w:eastAsia="宋体"/>
                <w:lang w:val="en-US" w:eastAsia="zh-CN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0.</w:t>
            </w:r>
            <w:r>
              <w:rPr>
                <w:rFonts w:eastAsia="宋体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zh-CN" w:bidi="ar-SA"/>
              </w:rPr>
              <w:t>72</w:t>
            </w:r>
          </w:p>
        </w:tc>
      </w:tr>
      <w:tr>
        <w:trPr/>
        <w:tc>
          <w:tcPr>
            <w:tcW w:w="359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2F2F2" w:val="clear"/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BM blast percentage</w:t>
            </w:r>
          </w:p>
        </w:tc>
        <w:tc>
          <w:tcPr>
            <w:tcW w:w="1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2F2F2" w:val="clear"/>
          </w:tcPr>
          <w:p>
            <w:pPr>
              <w:pStyle w:val="Normal"/>
              <w:bidi w:val="0"/>
              <w:spacing w:before="0" w:after="0"/>
              <w:jc w:val="center"/>
              <w:rPr>
                <w:rFonts w:eastAsia="宋体"/>
                <w:lang w:val="en-US" w:eastAsia="zh-CN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0.</w:t>
            </w:r>
            <w:r>
              <w:rPr>
                <w:rFonts w:eastAsia="宋体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zh-CN" w:bidi="ar-SA"/>
              </w:rPr>
              <w:t>83</w:t>
            </w:r>
          </w:p>
        </w:tc>
        <w:tc>
          <w:tcPr>
            <w:tcW w:w="19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2F2F2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9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2F2F2" w:val="clear"/>
          </w:tcPr>
          <w:p>
            <w:pPr>
              <w:pStyle w:val="Normal"/>
              <w:bidi w:val="0"/>
              <w:spacing w:before="0" w:after="0"/>
              <w:jc w:val="center"/>
              <w:rPr>
                <w:rFonts w:eastAsia="宋体"/>
                <w:lang w:val="en-US" w:eastAsia="zh-CN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0.</w:t>
            </w:r>
            <w:r>
              <w:rPr>
                <w:rFonts w:eastAsia="宋体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zh-CN" w:bidi="ar-SA"/>
              </w:rPr>
              <w:t>36</w:t>
            </w:r>
          </w:p>
        </w:tc>
      </w:tr>
      <w:tr>
        <w:trPr/>
        <w:tc>
          <w:tcPr>
            <w:tcW w:w="359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FFFFF" w:val="clear"/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WBC count</w:t>
            </w:r>
          </w:p>
        </w:tc>
        <w:tc>
          <w:tcPr>
            <w:tcW w:w="1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FFFFF" w:val="clear"/>
          </w:tcPr>
          <w:p>
            <w:pPr>
              <w:pStyle w:val="Normal"/>
              <w:bidi w:val="0"/>
              <w:spacing w:before="0" w:after="0"/>
              <w:jc w:val="center"/>
              <w:rPr>
                <w:rFonts w:eastAsia="宋体"/>
                <w:lang w:eastAsia="zh-CN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0.0</w:t>
            </w:r>
            <w:r>
              <w:rPr>
                <w:rFonts w:eastAsia="宋体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19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FFFFF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19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FFFFF" w:val="clear"/>
          </w:tcPr>
          <w:p>
            <w:pPr>
              <w:pStyle w:val="Normal"/>
              <w:bidi w:val="0"/>
              <w:spacing w:before="0" w:after="0"/>
              <w:jc w:val="center"/>
              <w:rPr>
                <w:rFonts w:eastAsia="宋体"/>
                <w:lang w:val="en-US" w:eastAsia="zh-CN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0.</w:t>
            </w:r>
            <w:r>
              <w:rPr>
                <w:rFonts w:eastAsia="宋体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zh-CN" w:bidi="ar-SA"/>
              </w:rPr>
              <w:t>93</w:t>
            </w:r>
          </w:p>
        </w:tc>
      </w:tr>
      <w:tr>
        <w:trPr/>
        <w:tc>
          <w:tcPr>
            <w:tcW w:w="359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FFFFF" w:val="clear"/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Global test</w:t>
            </w:r>
          </w:p>
        </w:tc>
        <w:tc>
          <w:tcPr>
            <w:tcW w:w="19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FFFFF" w:val="clear"/>
          </w:tcPr>
          <w:p>
            <w:pPr>
              <w:pStyle w:val="Normal"/>
              <w:bidi w:val="0"/>
              <w:spacing w:before="0" w:after="0"/>
              <w:jc w:val="center"/>
              <w:rPr>
                <w:rFonts w:eastAsia="宋体"/>
                <w:lang w:val="en-US" w:eastAsia="zh-CN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3.</w:t>
            </w:r>
            <w:r>
              <w:rPr>
                <w:rFonts w:eastAsia="宋体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zh-CN" w:bidi="ar-SA"/>
              </w:rPr>
              <w:t>42</w:t>
            </w:r>
          </w:p>
        </w:tc>
        <w:tc>
          <w:tcPr>
            <w:tcW w:w="19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FFFFF" w:val="clear"/>
          </w:tcPr>
          <w:p>
            <w:pPr>
              <w:pStyle w:val="Normal"/>
              <w:bidi w:val="0"/>
              <w:spacing w:before="0" w:after="0"/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zh-CN" w:bidi="ar-SA"/>
              </w:rPr>
              <w:t>8</w:t>
            </w:r>
          </w:p>
        </w:tc>
        <w:tc>
          <w:tcPr>
            <w:tcW w:w="19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FFFFFF" w:val="clear"/>
          </w:tcPr>
          <w:p>
            <w:pPr>
              <w:pStyle w:val="Normal"/>
              <w:bidi w:val="0"/>
              <w:spacing w:before="0" w:after="0"/>
              <w:jc w:val="center"/>
              <w:rPr>
                <w:rFonts w:eastAsia="宋体"/>
                <w:lang w:val="en-US" w:eastAsia="zh-CN"/>
              </w:rPr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en-US" w:bidi="ar-SA"/>
              </w:rPr>
              <w:t>0.</w:t>
            </w:r>
            <w:r>
              <w:rPr>
                <w:rFonts w:eastAsia="宋体" w:cs="Arial" w:ascii="Arial" w:hAnsi="Arial"/>
                <w:b w:val="false"/>
                <w:bCs w:val="false"/>
                <w:color w:val="000000"/>
                <w:kern w:val="0"/>
                <w:sz w:val="20"/>
                <w:szCs w:val="20"/>
                <w:lang w:val="en-US" w:eastAsia="zh-CN" w:bidi="ar-SA"/>
              </w:rPr>
              <w:t>91</w:t>
            </w:r>
          </w:p>
        </w:tc>
      </w:tr>
    </w:tbl>
    <w:p>
      <w:pPr>
        <w:pStyle w:val="Normal"/>
        <w:bidi w:val="0"/>
        <w:jc w:val="left"/>
        <w:rPr>
          <w:rFonts w:eastAsia="宋体" w:cs="Times New Roman"/>
          <w:b w:val="false"/>
          <w:bCs w:val="false"/>
          <w:color w:themeColor="text1" w:val="00000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eastAsia="宋体" w:cs="Times New Roman" w:ascii="Times New Roman" w:hAnsi="Times New Roman"/>
          <w:b w:val="false"/>
          <w:bCs w:val="false"/>
          <w:color w:themeColor="text1" w:val="00000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Proportional hazards were tested using scaled Schoenfeld residuals from the cause-specific Cox model, with the time transformation g(t) = 1 − Kaplan–Meier(t), following the approach of Grambsch and Therneau.¹ For each covariate, the chi-square statistic tests the null hypothesis of a zero slope of scaled Schoenfeld residuals against g(t)—a non-zero slope would indicate a time-dependent effect. The global test is the joint chi-square statistic from all covariates. Reference categories were CMML-1 for WHO classification, low-risk karyotype, and hypomethylating agents (HMA) for treatment. Bone-marrow blast percentage and white blood cell count were modelled as continuous variables. P values &gt;0.05 indicate that the proportional hazards assumption is not violated. No covariate showed a significant departure from proportionality (all individual P &gt;0.10, global χ² = 3.42, df = 8, P = 0.91), supporting the use of time-fixed coefficients in the multivariable analysis.</w:t>
      </w:r>
    </w:p>
    <w:p>
      <w:pPr>
        <w:pStyle w:val="Normal"/>
        <w:bidi w:val="0"/>
        <w:jc w:val="left"/>
        <w:rPr>
          <w:rFonts w:ascii="Times New Roman" w:hAnsi="Times New Roman" w:eastAsia="宋体" w:cs="Times New Roman"/>
          <w:b w:val="false"/>
          <w:bCs w:val="false"/>
          <w:color w:themeColor="text1" w:val="00000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Emphasis"/>
          <w:rFonts w:eastAsia="宋体" w:cs="Times New Roman" w:ascii="Times New Roman" w:hAnsi="Times New Roman"/>
          <w:b w:val="false"/>
          <w:bCs w:val="false"/>
          <w:color w:themeColor="text1" w:val="000000"/>
          <w:sz w:val="21"/>
          <w:szCs w:val="21"/>
          <w14:textFill>
            <w14:solidFill>
              <w14:schemeClr w14:val="tx1"/>
            </w14:solidFill>
          </w14:textFill>
        </w:rPr>
        <w:t>Abbreviations:</w:t>
      </w:r>
      <w:r>
        <w:rPr>
          <w:rFonts w:eastAsia="宋体" w:cs="Times New Roman" w:ascii="Times New Roman" w:hAnsi="Times New Roman"/>
          <w:b w:val="false"/>
          <w:bCs w:val="false"/>
          <w:color w:themeColor="text1" w:val="000000"/>
          <w:sz w:val="21"/>
          <w:szCs w:val="21"/>
          <w14:textFill>
            <w14:solidFill>
              <w14:schemeClr w14:val="tx1"/>
            </w14:solidFill>
          </w14:textFill>
        </w:rPr>
        <w:t xml:space="preserve"> allo-HSCT, allogeneic haematopoietic stem-cell transplantation; BM, bone marrow; BSC, best supportive care; df, degrees of freedom; HMA, hypomethylating agent(s); WBC, white blood cell count; WHO, World Health Organization.</w:t>
      </w:r>
    </w:p>
    <w:p>
      <w:pPr>
        <w:pStyle w:val="Normal"/>
        <w:bidi w:val="0"/>
        <w:jc w:val="left"/>
        <w:rPr>
          <w:rFonts w:ascii="Times New Roman" w:hAnsi="Times New Roman" w:eastAsia="Times New Roman" w:cs="Times New Roman"/>
          <w:b/>
          <w:bCs/>
          <w:color w:themeColor="text1" w:val="00000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eastAsia="宋体" w:cs="Times New Roman"/>
          <w:b/>
          <w:bCs/>
          <w:color w:themeColor="text1" w:val="00000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T</w:t>
      </w:r>
      <w:r>
        <w:rPr>
          <w:rFonts w:eastAsia="宋体" w:cs="Times New Roman" w:ascii="Times New Roman" w:hAnsi="Times New Roman"/>
          <w:b/>
          <w:bCs/>
          <w:color w:themeColor="text1" w:val="00000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able </w:t>
      </w:r>
      <w:r>
        <w:rPr>
          <w:rFonts w:eastAsia="宋体" w:cs="Times New Roman"/>
          <w:b/>
          <w:bCs/>
          <w:color w:themeColor="text1" w:val="00000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S2</w:t>
      </w:r>
      <w:r>
        <w:rPr>
          <w:rFonts w:eastAsia="宋体" w:cs="Times New Roman" w:ascii="Times New Roman" w:hAnsi="Times New Roman"/>
          <w:b/>
          <w:bCs/>
          <w:color w:themeColor="text1" w:val="00000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eastAsia="Times New Roman" w:cs="Times New Roman" w:ascii="Times New Roman" w:hAnsi="Times New Roman"/>
          <w:b/>
          <w:bCs/>
          <w:color w:themeColor="text1" w:val="000000"/>
          <w:sz w:val="21"/>
          <w:szCs w:val="21"/>
          <w14:textFill>
            <w14:solidFill>
              <w14:schemeClr w14:val="tx1"/>
            </w14:solidFill>
          </w14:textFill>
        </w:rPr>
        <w:t>Baseline characteristics by NGS testing status (n=102).</w:t>
      </w:r>
    </w:p>
    <w:tbl>
      <w:tblPr>
        <w:tblStyle w:val="TableNormal"/>
        <w:tblW w:w="9360" w:type="dxa"/>
        <w:jc w:val="left"/>
        <w:tblInd w:w="-15" w:type="dxa"/>
        <w:tblLayout w:type="fixed"/>
        <w:tblCellMar>
          <w:top w:w="70" w:type="dxa"/>
          <w:left w:w="100" w:type="dxa"/>
          <w:bottom w:w="70" w:type="dxa"/>
          <w:right w:w="100" w:type="dxa"/>
        </w:tblCellMar>
      </w:tblPr>
      <w:tblGrid>
        <w:gridCol w:w="2899"/>
        <w:gridCol w:w="2231"/>
        <w:gridCol w:w="2229"/>
        <w:gridCol w:w="2000"/>
      </w:tblGrid>
      <w:tr>
        <w:trPr>
          <w:tblHeader w:val="true"/>
        </w:trPr>
        <w:tc>
          <w:tcPr>
            <w:tcW w:w="28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D9E2F3" w:val="clear"/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Characteristic</w:t>
            </w:r>
          </w:p>
        </w:tc>
        <w:tc>
          <w:tcPr>
            <w:tcW w:w="22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D9E2F3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NGS performed (n=62)</w:t>
            </w:r>
          </w:p>
        </w:tc>
        <w:tc>
          <w:tcPr>
            <w:tcW w:w="222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D9E2F3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NGS not performed (n=40)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D9E2F3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P value</w:t>
            </w:r>
          </w:p>
        </w:tc>
      </w:tr>
      <w:tr>
        <w:trPr/>
        <w:tc>
          <w:tcPr>
            <w:tcW w:w="28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Age, years — mean</w:t>
            </w:r>
          </w:p>
        </w:tc>
        <w:tc>
          <w:tcPr>
            <w:tcW w:w="22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63.5</w:t>
            </w:r>
          </w:p>
        </w:tc>
        <w:tc>
          <w:tcPr>
            <w:tcW w:w="222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62.7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0.75</w:t>
            </w:r>
          </w:p>
        </w:tc>
      </w:tr>
      <w:tr>
        <w:trPr/>
        <w:tc>
          <w:tcPr>
            <w:tcW w:w="28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Female sex, n (%)</w:t>
            </w:r>
          </w:p>
        </w:tc>
        <w:tc>
          <w:tcPr>
            <w:tcW w:w="22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48 (77.4%)</w:t>
            </w:r>
          </w:p>
        </w:tc>
        <w:tc>
          <w:tcPr>
            <w:tcW w:w="222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27 (67.5%)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0.38</w:t>
            </w:r>
          </w:p>
        </w:tc>
      </w:tr>
      <w:tr>
        <w:trPr/>
        <w:tc>
          <w:tcPr>
            <w:tcW w:w="28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WHO CMML-2, n (%)</w:t>
            </w:r>
          </w:p>
        </w:tc>
        <w:tc>
          <w:tcPr>
            <w:tcW w:w="22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28 (45.2%)</w:t>
            </w:r>
          </w:p>
        </w:tc>
        <w:tc>
          <w:tcPr>
            <w:tcW w:w="222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21 (52.5%)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0.60</w:t>
            </w:r>
          </w:p>
        </w:tc>
      </w:tr>
      <w:tr>
        <w:trPr/>
        <w:tc>
          <w:tcPr>
            <w:tcW w:w="28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FAB MP-CMML, n (%)</w:t>
            </w:r>
          </w:p>
        </w:tc>
        <w:tc>
          <w:tcPr>
            <w:tcW w:w="22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35 (56.5%)</w:t>
            </w:r>
          </w:p>
        </w:tc>
        <w:tc>
          <w:tcPr>
            <w:tcW w:w="222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25 (62.5%)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0.69</w:t>
            </w:r>
          </w:p>
        </w:tc>
      </w:tr>
      <w:tr>
        <w:trPr/>
        <w:tc>
          <w:tcPr>
            <w:tcW w:w="28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Bone-marrow blast %, mean</w:t>
            </w:r>
          </w:p>
        </w:tc>
        <w:tc>
          <w:tcPr>
            <w:tcW w:w="22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9.1</w:t>
            </w:r>
          </w:p>
        </w:tc>
        <w:tc>
          <w:tcPr>
            <w:tcW w:w="222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9.4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0.81</w:t>
            </w:r>
          </w:p>
        </w:tc>
      </w:tr>
      <w:tr>
        <w:trPr/>
        <w:tc>
          <w:tcPr>
            <w:tcW w:w="28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High-risk karyotype, n (%)</w:t>
            </w:r>
          </w:p>
        </w:tc>
        <w:tc>
          <w:tcPr>
            <w:tcW w:w="22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9 (14.5%)</w:t>
            </w:r>
          </w:p>
        </w:tc>
        <w:tc>
          <w:tcPr>
            <w:tcW w:w="222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6 (15.0%)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0.17 (overall)</w:t>
            </w:r>
          </w:p>
        </w:tc>
      </w:tr>
      <w:tr>
        <w:trPr/>
        <w:tc>
          <w:tcPr>
            <w:tcW w:w="28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CPSS Intermediate-2 / High, n (%)</w:t>
            </w:r>
          </w:p>
        </w:tc>
        <w:tc>
          <w:tcPr>
            <w:tcW w:w="22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29 (46.8%)</w:t>
            </w:r>
          </w:p>
        </w:tc>
        <w:tc>
          <w:tcPr>
            <w:tcW w:w="222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21 (52.5%)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0.93</w:t>
            </w:r>
          </w:p>
        </w:tc>
      </w:tr>
      <w:tr>
        <w:trPr/>
        <w:tc>
          <w:tcPr>
            <w:tcW w:w="28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HMA as first-line, n (%)</w:t>
            </w:r>
          </w:p>
        </w:tc>
        <w:tc>
          <w:tcPr>
            <w:tcW w:w="22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27 (43.5%)</w:t>
            </w:r>
          </w:p>
        </w:tc>
        <w:tc>
          <w:tcPr>
            <w:tcW w:w="222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16 (40.0%)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0.16 (overall)</w:t>
            </w:r>
          </w:p>
        </w:tc>
      </w:tr>
      <w:tr>
        <w:trPr/>
        <w:tc>
          <w:tcPr>
            <w:tcW w:w="28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allo-HSCT as first-line, n (%)</w:t>
            </w:r>
          </w:p>
        </w:tc>
        <w:tc>
          <w:tcPr>
            <w:tcW w:w="22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9 (14.5%)</w:t>
            </w:r>
          </w:p>
        </w:tc>
        <w:tc>
          <w:tcPr>
            <w:tcW w:w="222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4 (10.0%)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—</w:t>
            </w:r>
          </w:p>
        </w:tc>
      </w:tr>
      <w:tr>
        <w:trPr/>
        <w:tc>
          <w:tcPr>
            <w:tcW w:w="28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FFF2CC" w:val="clear"/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AML transformation, n (%)</w:t>
            </w:r>
          </w:p>
        </w:tc>
        <w:tc>
          <w:tcPr>
            <w:tcW w:w="22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FFF2CC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33 (53.2%)</w:t>
            </w:r>
          </w:p>
        </w:tc>
        <w:tc>
          <w:tcPr>
            <w:tcW w:w="222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FFF2CC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21 (52.5%)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FFF2CC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1.00</w:t>
            </w:r>
          </w:p>
        </w:tc>
      </w:tr>
      <w:tr>
        <w:trPr/>
        <w:tc>
          <w:tcPr>
            <w:tcW w:w="28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Death (any cause), n (%)</w:t>
            </w:r>
          </w:p>
        </w:tc>
        <w:tc>
          <w:tcPr>
            <w:tcW w:w="22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27 (43.5%)</w:t>
            </w:r>
          </w:p>
        </w:tc>
        <w:tc>
          <w:tcPr>
            <w:tcW w:w="222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14 (35.0%)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0.51</w:t>
            </w:r>
          </w:p>
        </w:tc>
      </w:tr>
      <w:tr>
        <w:trPr/>
        <w:tc>
          <w:tcPr>
            <w:tcW w:w="28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12-month CIF for transformation</w:t>
            </w:r>
          </w:p>
        </w:tc>
        <w:tc>
          <w:tcPr>
            <w:tcW w:w="22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46.2%</w:t>
            </w:r>
          </w:p>
        </w:tc>
        <w:tc>
          <w:tcPr>
            <w:tcW w:w="222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44.7%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0.26 (Gray)</w:t>
            </w:r>
          </w:p>
        </w:tc>
      </w:tr>
      <w:tr>
        <w:trPr/>
        <w:tc>
          <w:tcPr>
            <w:tcW w:w="28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24-month CIF for transformation</w:t>
            </w:r>
          </w:p>
        </w:tc>
        <w:tc>
          <w:tcPr>
            <w:tcW w:w="223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63.2%</w:t>
            </w:r>
          </w:p>
        </w:tc>
        <w:tc>
          <w:tcPr>
            <w:tcW w:w="222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61.1%</w:t>
            </w:r>
          </w:p>
        </w:tc>
        <w:tc>
          <w:tcPr>
            <w:tcW w:w="2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—</w:t>
            </w:r>
          </w:p>
        </w:tc>
      </w:tr>
    </w:tbl>
    <w:p>
      <w:pPr>
        <w:pStyle w:val="Normal"/>
        <w:bidi w:val="0"/>
        <w:spacing w:lineRule="auto" w:line="259" w:before="60" w:after="200"/>
        <w:jc w:val="left"/>
        <w:rPr>
          <w:rFonts w:ascii="Times New Roman" w:hAnsi="Times New Roman" w:eastAsia="Times New Roman" w:cs="Times New Roman"/>
          <w:i/>
          <w:i/>
          <w:iCs/>
          <w:color w:val="555555"/>
          <w:sz w:val="19"/>
          <w:szCs w:val="19"/>
        </w:rPr>
      </w:pPr>
      <w:r>
        <w:rPr>
          <w:rFonts w:eastAsia="Times New Roman" w:cs="Times New Roman" w:ascii="Times New Roman" w:hAnsi="Times New Roman"/>
          <w:i/>
          <w:iCs/>
          <w:color w:val="555555"/>
          <w:sz w:val="19"/>
          <w:szCs w:val="19"/>
        </w:rPr>
        <w:t>Continuous variables compared by t-test or Mann–Whitney U; categorical variables by chi-square or Fisher exact test. CIF, cumulative incidence function (Aalen–Johansen). Gray’s test by permutation (2 000 replicates) on the integrated squared difference of CIFs.</w:t>
      </w:r>
    </w:p>
    <w:p>
      <w:pPr>
        <w:pStyle w:val="Normal"/>
        <w:bidi w:val="0"/>
        <w:spacing w:lineRule="auto" w:line="259" w:before="60" w:after="200"/>
        <w:jc w:val="left"/>
        <w:rPr>
          <w:color w:themeColor="text1" w:val="000000"/>
          <w14:textFill>
            <w14:solidFill>
              <w14:schemeClr w14:val="tx1"/>
            </w14:solidFill>
          </w14:textFill>
        </w:rPr>
      </w:pPr>
      <w:r>
        <w:rPr>
          <w:rFonts w:eastAsia="宋体" w:cs="Times New Roman"/>
          <w:b/>
          <w:bCs/>
          <w:color w:themeColor="text1" w:val="00000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Table S3</w:t>
      </w:r>
      <w:r>
        <w:rPr>
          <w:rFonts w:eastAsia="宋体" w:cs="Times New Roman" w:ascii="Times New Roman" w:hAnsi="Times New Roman"/>
          <w:b/>
          <w:bCs/>
          <w:color w:themeColor="text1" w:val="00000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eastAsia="Times New Roman" w:cs="Times New Roman" w:ascii="Times New Roman" w:hAnsi="Times New Roman"/>
          <w:b/>
          <w:bCs/>
          <w:color w:themeColor="text1" w:val="000000"/>
          <w:sz w:val="21"/>
          <w:szCs w:val="21"/>
          <w14:textFill>
            <w14:solidFill>
              <w14:schemeClr w14:val="tx1"/>
            </w14:solidFill>
          </w14:textFill>
        </w:rPr>
        <w:t>Multivariable Fine-Gray model in the full cohort (n=102), with NGS-testing status added as a sensitivity covariate.</w:t>
      </w:r>
    </w:p>
    <w:tbl>
      <w:tblPr>
        <w:tblStyle w:val="TableNormal"/>
        <w:tblW w:w="9360" w:type="dxa"/>
        <w:jc w:val="left"/>
        <w:tblInd w:w="-15" w:type="dxa"/>
        <w:tblLayout w:type="fixed"/>
        <w:tblCellMar>
          <w:top w:w="70" w:type="dxa"/>
          <w:left w:w="100" w:type="dxa"/>
          <w:bottom w:w="70" w:type="dxa"/>
          <w:right w:w="100" w:type="dxa"/>
        </w:tblCellMar>
      </w:tblPr>
      <w:tblGrid>
        <w:gridCol w:w="3700"/>
        <w:gridCol w:w="1699"/>
        <w:gridCol w:w="2300"/>
        <w:gridCol w:w="1660"/>
      </w:tblGrid>
      <w:tr>
        <w:trPr>
          <w:tblHeader w:val="true"/>
        </w:trPr>
        <w:tc>
          <w:tcPr>
            <w:tcW w:w="3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D9E2F3" w:val="clear"/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Variable</w:t>
            </w:r>
          </w:p>
        </w:tc>
        <w:tc>
          <w:tcPr>
            <w:tcW w:w="16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D9E2F3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SHR</w:t>
            </w: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D9E2F3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95% CI</w:t>
            </w:r>
          </w:p>
        </w:tc>
        <w:tc>
          <w:tcPr>
            <w:tcW w:w="16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D9E2F3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P value</w:t>
            </w:r>
          </w:p>
        </w:tc>
      </w:tr>
      <w:tr>
        <w:trPr/>
        <w:tc>
          <w:tcPr>
            <w:tcW w:w="3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WHO CMML-2 vs CMML-1</w:t>
            </w:r>
          </w:p>
        </w:tc>
        <w:tc>
          <w:tcPr>
            <w:tcW w:w="16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1.27</w:t>
            </w: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0.55–2.93</w:t>
            </w:r>
          </w:p>
        </w:tc>
        <w:tc>
          <w:tcPr>
            <w:tcW w:w="16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0.58</w:t>
            </w:r>
          </w:p>
        </w:tc>
      </w:tr>
      <w:tr>
        <w:trPr/>
        <w:tc>
          <w:tcPr>
            <w:tcW w:w="3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Karyotype: high vs low</w:t>
            </w:r>
          </w:p>
        </w:tc>
        <w:tc>
          <w:tcPr>
            <w:tcW w:w="16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3.00</w:t>
            </w: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1.43–6.30</w:t>
            </w:r>
          </w:p>
        </w:tc>
        <w:tc>
          <w:tcPr>
            <w:tcW w:w="16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0.004</w:t>
            </w:r>
          </w:p>
        </w:tc>
      </w:tr>
      <w:tr>
        <w:trPr/>
        <w:tc>
          <w:tcPr>
            <w:tcW w:w="3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Karyotype: intermediate vs low</w:t>
            </w:r>
          </w:p>
        </w:tc>
        <w:tc>
          <w:tcPr>
            <w:tcW w:w="16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3.61</w:t>
            </w: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1.43–9.14</w:t>
            </w:r>
          </w:p>
        </w:tc>
        <w:tc>
          <w:tcPr>
            <w:tcW w:w="16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0.007</w:t>
            </w:r>
          </w:p>
        </w:tc>
      </w:tr>
      <w:tr>
        <w:trPr/>
        <w:tc>
          <w:tcPr>
            <w:tcW w:w="3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Bone-marrow blast (per %)</w:t>
            </w:r>
          </w:p>
        </w:tc>
        <w:tc>
          <w:tcPr>
            <w:tcW w:w="16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1.08</w:t>
            </w: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0.99–1.18</w:t>
            </w:r>
          </w:p>
        </w:tc>
        <w:tc>
          <w:tcPr>
            <w:tcW w:w="16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0.08</w:t>
            </w:r>
          </w:p>
        </w:tc>
      </w:tr>
      <w:tr>
        <w:trPr/>
        <w:tc>
          <w:tcPr>
            <w:tcW w:w="3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Chemotherapy vs HMA</w:t>
            </w:r>
          </w:p>
        </w:tc>
        <w:tc>
          <w:tcPr>
            <w:tcW w:w="16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1.94</w:t>
            </w: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0.98–3.82</w:t>
            </w:r>
          </w:p>
        </w:tc>
        <w:tc>
          <w:tcPr>
            <w:tcW w:w="16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0.057</w:t>
            </w:r>
          </w:p>
        </w:tc>
      </w:tr>
      <w:tr>
        <w:trPr/>
        <w:tc>
          <w:tcPr>
            <w:tcW w:w="3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BSC vs HMA</w:t>
            </w:r>
          </w:p>
        </w:tc>
        <w:tc>
          <w:tcPr>
            <w:tcW w:w="16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2.21</w:t>
            </w: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0.96–5.08</w:t>
            </w:r>
          </w:p>
        </w:tc>
        <w:tc>
          <w:tcPr>
            <w:tcW w:w="16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0.063</w:t>
            </w:r>
          </w:p>
        </w:tc>
      </w:tr>
      <w:tr>
        <w:trPr/>
        <w:tc>
          <w:tcPr>
            <w:tcW w:w="3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allo-HSCT vs HMA</w:t>
            </w:r>
          </w:p>
        </w:tc>
        <w:tc>
          <w:tcPr>
            <w:tcW w:w="16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0.38</w:t>
            </w: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0.12–1.16</w:t>
            </w:r>
          </w:p>
        </w:tc>
        <w:tc>
          <w:tcPr>
            <w:tcW w:w="16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0.089</w:t>
            </w:r>
          </w:p>
        </w:tc>
      </w:tr>
      <w:tr>
        <w:trPr/>
        <w:tc>
          <w:tcPr>
            <w:tcW w:w="3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FFF2CC" w:val="clear"/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NGS performed (yes vs no) — sensitivity covariate</w:t>
            </w:r>
          </w:p>
        </w:tc>
        <w:tc>
          <w:tcPr>
            <w:tcW w:w="16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FFF2CC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0.95</w:t>
            </w: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FFF2CC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0.50–1.79</w:t>
            </w:r>
          </w:p>
        </w:tc>
        <w:tc>
          <w:tcPr>
            <w:tcW w:w="16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FFF2CC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0.87</w:t>
            </w:r>
          </w:p>
        </w:tc>
      </w:tr>
    </w:tbl>
    <w:p>
      <w:pPr>
        <w:pStyle w:val="Normal"/>
        <w:bidi w:val="0"/>
        <w:spacing w:lineRule="auto" w:line="259" w:before="60" w:after="200"/>
        <w:jc w:val="left"/>
        <w:rPr/>
      </w:pPr>
      <w:r>
        <w:rPr>
          <w:rFonts w:eastAsia="Times New Roman" w:cs="Times New Roman" w:ascii="Times New Roman" w:hAnsi="Times New Roman"/>
          <w:i/>
          <w:iCs/>
          <w:color w:val="555555"/>
          <w:sz w:val="19"/>
          <w:szCs w:val="19"/>
        </w:rPr>
        <w:t>SHR, subdistribution hazard ratio (Fine-Gray model). The indicator for NGS-testing status is not associated with transformation and does not materially shift the other coefficients.</w:t>
      </w:r>
    </w:p>
    <w:p>
      <w:pPr>
        <w:pStyle w:val="Normal"/>
        <w:bidi w:val="0"/>
        <w:spacing w:lineRule="auto" w:line="278" w:before="240" w:after="60"/>
        <w:jc w:val="left"/>
        <w:rPr>
          <w:color w:themeColor="text1" w:val="000000"/>
          <w14:textFill>
            <w14:solidFill>
              <w14:schemeClr w14:val="tx1"/>
            </w14:solidFill>
          </w14:textFill>
        </w:rPr>
      </w:pPr>
      <w:r>
        <w:rPr>
          <w:rFonts w:eastAsia="宋体" w:cs="Times New Roman"/>
          <w:b/>
          <w:bCs/>
          <w:color w:themeColor="text1" w:val="00000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Table S4</w:t>
      </w:r>
      <w:r>
        <w:rPr>
          <w:rFonts w:eastAsia="Times New Roman" w:cs="Times New Roman" w:ascii="Times New Roman" w:hAnsi="Times New Roman"/>
          <w:b/>
          <w:bCs/>
          <w:color w:themeColor="text1" w:val="000000"/>
          <w:sz w:val="21"/>
          <w:szCs w:val="21"/>
          <w14:textFill>
            <w14:solidFill>
              <w14:schemeClr w14:val="tx1"/>
            </w14:solidFill>
          </w14:textFill>
        </w:rPr>
        <w:t>. Mutation prevalence and association with leukemic transformation (NGS-tested subgroup, n=62).</w:t>
      </w:r>
    </w:p>
    <w:tbl>
      <w:tblPr>
        <w:tblStyle w:val="TableNormal"/>
        <w:tblW w:w="9360" w:type="dxa"/>
        <w:jc w:val="left"/>
        <w:tblInd w:w="-15" w:type="dxa"/>
        <w:tblLayout w:type="fixed"/>
        <w:tblCellMar>
          <w:top w:w="70" w:type="dxa"/>
          <w:left w:w="100" w:type="dxa"/>
          <w:bottom w:w="70" w:type="dxa"/>
          <w:right w:w="100" w:type="dxa"/>
        </w:tblCellMar>
      </w:tblPr>
      <w:tblGrid>
        <w:gridCol w:w="1699"/>
        <w:gridCol w:w="1501"/>
        <w:gridCol w:w="1659"/>
        <w:gridCol w:w="1400"/>
        <w:gridCol w:w="1700"/>
        <w:gridCol w:w="1400"/>
      </w:tblGrid>
      <w:tr>
        <w:trPr>
          <w:tblHeader w:val="true"/>
        </w:trPr>
        <w:tc>
          <w:tcPr>
            <w:tcW w:w="16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D9E2F3" w:val="clear"/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Gene</w:t>
            </w:r>
          </w:p>
        </w:tc>
        <w:tc>
          <w:tcPr>
            <w:tcW w:w="150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D9E2F3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Mutated, n (%)</w:t>
            </w:r>
          </w:p>
        </w:tc>
        <w:tc>
          <w:tcPr>
            <w:tcW w:w="165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D9E2F3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Transformed / mutated, n</w:t>
            </w:r>
          </w:p>
        </w:tc>
        <w:tc>
          <w:tcPr>
            <w:tcW w:w="1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D9E2F3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SHR</w:t>
            </w: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D9E2F3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95% CI</w:t>
            </w:r>
          </w:p>
        </w:tc>
        <w:tc>
          <w:tcPr>
            <w:tcW w:w="1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D9E2F3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P value</w:t>
            </w:r>
          </w:p>
        </w:tc>
      </w:tr>
      <w:tr>
        <w:trPr/>
        <w:tc>
          <w:tcPr>
            <w:tcW w:w="16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ASXL1</w:t>
            </w:r>
          </w:p>
        </w:tc>
        <w:tc>
          <w:tcPr>
            <w:tcW w:w="150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23 (37.1%)</w:t>
            </w:r>
          </w:p>
        </w:tc>
        <w:tc>
          <w:tcPr>
            <w:tcW w:w="165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12 / 23</w:t>
            </w:r>
          </w:p>
        </w:tc>
        <w:tc>
          <w:tcPr>
            <w:tcW w:w="1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0.93</w:t>
            </w: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0.46–1.90</w:t>
            </w:r>
          </w:p>
        </w:tc>
        <w:tc>
          <w:tcPr>
            <w:tcW w:w="1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0.85</w:t>
            </w:r>
          </w:p>
        </w:tc>
      </w:tr>
      <w:tr>
        <w:trPr/>
        <w:tc>
          <w:tcPr>
            <w:tcW w:w="16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TET2</w:t>
            </w:r>
          </w:p>
        </w:tc>
        <w:tc>
          <w:tcPr>
            <w:tcW w:w="150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16 (25.8%)</w:t>
            </w:r>
          </w:p>
        </w:tc>
        <w:tc>
          <w:tcPr>
            <w:tcW w:w="165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6 / 16</w:t>
            </w:r>
          </w:p>
        </w:tc>
        <w:tc>
          <w:tcPr>
            <w:tcW w:w="1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0.58</w:t>
            </w: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0.24–1.41</w:t>
            </w:r>
          </w:p>
        </w:tc>
        <w:tc>
          <w:tcPr>
            <w:tcW w:w="1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0.23</w:t>
            </w:r>
          </w:p>
        </w:tc>
      </w:tr>
      <w:tr>
        <w:trPr/>
        <w:tc>
          <w:tcPr>
            <w:tcW w:w="16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CBL</w:t>
            </w:r>
          </w:p>
        </w:tc>
        <w:tc>
          <w:tcPr>
            <w:tcW w:w="150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12 (19.4%)</w:t>
            </w:r>
          </w:p>
        </w:tc>
        <w:tc>
          <w:tcPr>
            <w:tcW w:w="165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6 / 12</w:t>
            </w:r>
          </w:p>
        </w:tc>
        <w:tc>
          <w:tcPr>
            <w:tcW w:w="1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1.30</w:t>
            </w: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0.54–3.17</w:t>
            </w:r>
          </w:p>
        </w:tc>
        <w:tc>
          <w:tcPr>
            <w:tcW w:w="1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0.56</w:t>
            </w:r>
          </w:p>
        </w:tc>
      </w:tr>
      <w:tr>
        <w:trPr/>
        <w:tc>
          <w:tcPr>
            <w:tcW w:w="16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SRSF2</w:t>
            </w:r>
          </w:p>
        </w:tc>
        <w:tc>
          <w:tcPr>
            <w:tcW w:w="150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11 (17.7%)</w:t>
            </w:r>
          </w:p>
        </w:tc>
        <w:tc>
          <w:tcPr>
            <w:tcW w:w="165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4 / 11</w:t>
            </w:r>
          </w:p>
        </w:tc>
        <w:tc>
          <w:tcPr>
            <w:tcW w:w="1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0.62</w:t>
            </w: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0.22–1.76</w:t>
            </w:r>
          </w:p>
        </w:tc>
        <w:tc>
          <w:tcPr>
            <w:tcW w:w="1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0.37</w:t>
            </w:r>
          </w:p>
        </w:tc>
      </w:tr>
      <w:tr>
        <w:trPr/>
        <w:tc>
          <w:tcPr>
            <w:tcW w:w="16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NRAS</w:t>
            </w:r>
          </w:p>
        </w:tc>
        <w:tc>
          <w:tcPr>
            <w:tcW w:w="150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10 (16.1%)</w:t>
            </w:r>
          </w:p>
        </w:tc>
        <w:tc>
          <w:tcPr>
            <w:tcW w:w="165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5 / 10</w:t>
            </w:r>
          </w:p>
        </w:tc>
        <w:tc>
          <w:tcPr>
            <w:tcW w:w="1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0.68</w:t>
            </w: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0.26–1.77</w:t>
            </w:r>
          </w:p>
        </w:tc>
        <w:tc>
          <w:tcPr>
            <w:tcW w:w="1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0.43</w:t>
            </w:r>
          </w:p>
        </w:tc>
      </w:tr>
      <w:tr>
        <w:trPr/>
        <w:tc>
          <w:tcPr>
            <w:tcW w:w="16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KRAS</w:t>
            </w:r>
          </w:p>
        </w:tc>
        <w:tc>
          <w:tcPr>
            <w:tcW w:w="150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9 (14.5%)</w:t>
            </w:r>
          </w:p>
        </w:tc>
        <w:tc>
          <w:tcPr>
            <w:tcW w:w="165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4 / 9</w:t>
            </w:r>
          </w:p>
        </w:tc>
        <w:tc>
          <w:tcPr>
            <w:tcW w:w="1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0.61</w:t>
            </w: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0.21–1.73</w:t>
            </w:r>
          </w:p>
        </w:tc>
        <w:tc>
          <w:tcPr>
            <w:tcW w:w="1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0.35</w:t>
            </w:r>
          </w:p>
        </w:tc>
      </w:tr>
      <w:tr>
        <w:trPr/>
        <w:tc>
          <w:tcPr>
            <w:tcW w:w="16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FFF2CC" w:val="clear"/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SETBP1</w:t>
            </w:r>
          </w:p>
        </w:tc>
        <w:tc>
          <w:tcPr>
            <w:tcW w:w="150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FFF2CC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9 (14.5%)</w:t>
            </w:r>
          </w:p>
        </w:tc>
        <w:tc>
          <w:tcPr>
            <w:tcW w:w="165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FFF2CC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7 / 9</w:t>
            </w:r>
          </w:p>
        </w:tc>
        <w:tc>
          <w:tcPr>
            <w:tcW w:w="1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FFF2CC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3.09</w:t>
            </w: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FFF2CC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1.32–7.23</w:t>
            </w:r>
          </w:p>
        </w:tc>
        <w:tc>
          <w:tcPr>
            <w:tcW w:w="1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FFF2CC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0.009</w:t>
            </w:r>
          </w:p>
        </w:tc>
      </w:tr>
      <w:tr>
        <w:trPr/>
        <w:tc>
          <w:tcPr>
            <w:tcW w:w="16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RUNX1</w:t>
            </w:r>
          </w:p>
        </w:tc>
        <w:tc>
          <w:tcPr>
            <w:tcW w:w="150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7 (11.3%)</w:t>
            </w:r>
          </w:p>
        </w:tc>
        <w:tc>
          <w:tcPr>
            <w:tcW w:w="165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3 / 7</w:t>
            </w:r>
          </w:p>
        </w:tc>
        <w:tc>
          <w:tcPr>
            <w:tcW w:w="1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0.99</w:t>
            </w: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0.30–3.25</w:t>
            </w:r>
          </w:p>
        </w:tc>
        <w:tc>
          <w:tcPr>
            <w:tcW w:w="1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0.99</w:t>
            </w:r>
          </w:p>
        </w:tc>
      </w:tr>
      <w:tr>
        <w:trPr/>
        <w:tc>
          <w:tcPr>
            <w:tcW w:w="16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FFF2CC" w:val="clear"/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TP53</w:t>
            </w:r>
          </w:p>
        </w:tc>
        <w:tc>
          <w:tcPr>
            <w:tcW w:w="150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FFF2CC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6 (9.7%)</w:t>
            </w:r>
          </w:p>
        </w:tc>
        <w:tc>
          <w:tcPr>
            <w:tcW w:w="165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FFF2CC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5 / 6</w:t>
            </w:r>
          </w:p>
        </w:tc>
        <w:tc>
          <w:tcPr>
            <w:tcW w:w="1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FFF2CC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3.66</w:t>
            </w: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FFF2CC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1.37–9.77</w:t>
            </w:r>
          </w:p>
        </w:tc>
        <w:tc>
          <w:tcPr>
            <w:tcW w:w="1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color="auto" w:fill="FFF2CC" w:val="clear"/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0.009</w:t>
            </w:r>
          </w:p>
        </w:tc>
      </w:tr>
      <w:tr>
        <w:trPr/>
        <w:tc>
          <w:tcPr>
            <w:tcW w:w="169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EZH2</w:t>
            </w:r>
          </w:p>
        </w:tc>
        <w:tc>
          <w:tcPr>
            <w:tcW w:w="150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6 (9.7%)</w:t>
            </w:r>
          </w:p>
        </w:tc>
        <w:tc>
          <w:tcPr>
            <w:tcW w:w="165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3 / 6</w:t>
            </w:r>
          </w:p>
        </w:tc>
        <w:tc>
          <w:tcPr>
            <w:tcW w:w="1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0.67</w:t>
            </w:r>
          </w:p>
        </w:tc>
        <w:tc>
          <w:tcPr>
            <w:tcW w:w="1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0.20–2.19</w:t>
            </w:r>
          </w:p>
        </w:tc>
        <w:tc>
          <w:tcPr>
            <w:tcW w:w="1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kern w:val="0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lang w:val="en-US" w:eastAsia="en-US" w:bidi="ar-SA"/>
              </w:rPr>
              <w:t>0.50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Heading2"/>
        <w:rPr>
          <w:rFonts w:eastAsia="宋体"/>
          <w:lang w:val="en-US" w:eastAsia="zh-CN"/>
        </w:rPr>
      </w:pPr>
      <w:r>
        <w:rPr/>
        <w:t>Table S</w:t>
      </w:r>
      <w:r>
        <w:rPr>
          <w:rFonts w:eastAsia="宋体"/>
          <w:lang w:val="en-US" w:eastAsia="zh-CN"/>
        </w:rPr>
        <w:t>5</w:t>
      </w:r>
      <w:r>
        <w:rPr/>
        <w:t>. Comparison of Traditional Cox Model vs Competing Risk (Fine-Gray) Model</w:t>
      </w:r>
      <w:r>
        <w:rPr>
          <w:rFonts w:eastAsia="宋体"/>
          <w:lang w:val="en-US" w:eastAsia="zh-CN"/>
        </w:rPr>
        <w:t>.</w:t>
      </w:r>
    </w:p>
    <w:tbl>
      <w:tblPr>
        <w:tblStyle w:val="TableNormal"/>
        <w:tblW w:w="5000" w:type="pct"/>
        <w:jc w:val="left"/>
        <w:tblInd w:w="-1135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3212"/>
        <w:gridCol w:w="857"/>
        <w:gridCol w:w="1518"/>
        <w:gridCol w:w="762"/>
        <w:gridCol w:w="899"/>
        <w:gridCol w:w="1727"/>
        <w:gridCol w:w="996"/>
      </w:tblGrid>
      <w:tr>
        <w:trPr>
          <w:trHeight w:val="405" w:hRule="atLeast"/>
        </w:trPr>
        <w:tc>
          <w:tcPr>
            <w:tcW w:w="3212" w:type="dxa"/>
            <w:vMerge w:val="restart"/>
            <w:tcBorders>
              <w:top w:val="single" w:sz="2" w:space="0" w:color="000000"/>
              <w:bottom w:val="single" w:sz="2" w:space="0" w:color="000000"/>
            </w:tcBorders>
            <w:shd w:color="auto" w:fill="D9E2F3" w:val="clear"/>
            <w:vAlign w:val="center"/>
          </w:tcPr>
          <w:p>
            <w:pPr>
              <w:pStyle w:val="Normal"/>
              <w:bidi w:val="0"/>
              <w:spacing w:before="0" w:after="0"/>
              <w:ind w:firstLine="63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1"/>
                <w:szCs w:val="21"/>
                <w:lang w:val="en-US" w:eastAsia="en-US" w:bidi="ar-SA"/>
              </w:rPr>
              <w:t>Variable</w:t>
            </w:r>
          </w:p>
        </w:tc>
        <w:tc>
          <w:tcPr>
            <w:tcW w:w="3137" w:type="dxa"/>
            <w:gridSpan w:val="3"/>
            <w:tcBorders>
              <w:top w:val="single" w:sz="2" w:space="0" w:color="000000"/>
              <w:bottom w:val="single" w:sz="2" w:space="0" w:color="000000"/>
            </w:tcBorders>
            <w:shd w:color="auto" w:fill="D9E2F3" w:val="clear"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1"/>
                <w:szCs w:val="21"/>
                <w:lang w:val="en-US" w:eastAsia="en-US" w:bidi="ar-SA"/>
              </w:rPr>
              <w:t>Cox Model</w:t>
            </w:r>
          </w:p>
        </w:tc>
        <w:tc>
          <w:tcPr>
            <w:tcW w:w="3622" w:type="dxa"/>
            <w:gridSpan w:val="3"/>
            <w:tcBorders>
              <w:top w:val="single" w:sz="2" w:space="0" w:color="000000"/>
              <w:bottom w:val="single" w:sz="2" w:space="0" w:color="000000"/>
            </w:tcBorders>
            <w:shd w:color="auto" w:fill="D9E2F3" w:val="clear"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1"/>
                <w:szCs w:val="21"/>
                <w:lang w:val="en-US" w:eastAsia="en-US" w:bidi="ar-SA"/>
              </w:rPr>
              <w:t>Fine-Gray Model</w:t>
            </w:r>
          </w:p>
        </w:tc>
      </w:tr>
      <w:tr>
        <w:trPr/>
        <w:tc>
          <w:tcPr>
            <w:tcW w:w="3212" w:type="dxa"/>
            <w:vMerge w:val="continue"/>
            <w:tcBorders>
              <w:bottom w:val="single" w:sz="2" w:space="0" w:color="000000"/>
            </w:tcBorders>
            <w:shd w:color="auto" w:fill="D9E2F3" w:val="clear"/>
            <w:vAlign w:val="center"/>
          </w:tcPr>
          <w:p>
            <w:pPr>
              <w:pStyle w:val="Normal"/>
              <w:bidi w:val="0"/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</w:r>
          </w:p>
        </w:tc>
        <w:tc>
          <w:tcPr>
            <w:tcW w:w="857" w:type="dxa"/>
            <w:tcBorders>
              <w:top w:val="single" w:sz="2" w:space="0" w:color="000000"/>
              <w:bottom w:val="single" w:sz="2" w:space="0" w:color="000000"/>
            </w:tcBorders>
            <w:shd w:color="auto" w:fill="D9E2F3" w:val="clear"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1"/>
                <w:szCs w:val="21"/>
                <w:lang w:val="en-US" w:eastAsia="en-US" w:bidi="ar-SA"/>
              </w:rPr>
              <w:t>HR</w:t>
            </w:r>
          </w:p>
        </w:tc>
        <w:tc>
          <w:tcPr>
            <w:tcW w:w="1518" w:type="dxa"/>
            <w:tcBorders>
              <w:top w:val="single" w:sz="2" w:space="0" w:color="000000"/>
              <w:bottom w:val="single" w:sz="2" w:space="0" w:color="000000"/>
            </w:tcBorders>
            <w:shd w:color="auto" w:fill="D9E2F3" w:val="clear"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1"/>
                <w:szCs w:val="21"/>
                <w:lang w:val="en-US" w:eastAsia="en-US" w:bidi="ar-SA"/>
              </w:rPr>
              <w:t>95% CI</w:t>
            </w:r>
          </w:p>
        </w:tc>
        <w:tc>
          <w:tcPr>
            <w:tcW w:w="762" w:type="dxa"/>
            <w:tcBorders>
              <w:top w:val="single" w:sz="2" w:space="0" w:color="000000"/>
              <w:bottom w:val="single" w:sz="2" w:space="0" w:color="000000"/>
            </w:tcBorders>
            <w:shd w:color="auto" w:fill="D9E2F3" w:val="clear"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1"/>
                <w:szCs w:val="21"/>
                <w:lang w:val="en-US" w:eastAsia="en-US" w:bidi="ar-SA"/>
              </w:rPr>
              <w:t>P</w:t>
            </w:r>
          </w:p>
        </w:tc>
        <w:tc>
          <w:tcPr>
            <w:tcW w:w="899" w:type="dxa"/>
            <w:tcBorders>
              <w:top w:val="single" w:sz="2" w:space="0" w:color="000000"/>
              <w:bottom w:val="single" w:sz="2" w:space="0" w:color="000000"/>
            </w:tcBorders>
            <w:shd w:color="auto" w:fill="D9E2F3" w:val="clear"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1"/>
                <w:szCs w:val="21"/>
                <w:lang w:val="en-US" w:eastAsia="en-US" w:bidi="ar-SA"/>
              </w:rPr>
              <w:t>SHR</w:t>
            </w:r>
          </w:p>
        </w:tc>
        <w:tc>
          <w:tcPr>
            <w:tcW w:w="1727" w:type="dxa"/>
            <w:tcBorders>
              <w:top w:val="single" w:sz="2" w:space="0" w:color="000000"/>
              <w:bottom w:val="single" w:sz="2" w:space="0" w:color="000000"/>
            </w:tcBorders>
            <w:shd w:color="auto" w:fill="D9E2F3" w:val="clear"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1"/>
                <w:szCs w:val="21"/>
                <w:lang w:val="en-US" w:eastAsia="en-US" w:bidi="ar-SA"/>
              </w:rPr>
              <w:t>95% CI</w:t>
            </w:r>
          </w:p>
        </w:tc>
        <w:tc>
          <w:tcPr>
            <w:tcW w:w="996" w:type="dxa"/>
            <w:tcBorders>
              <w:top w:val="single" w:sz="2" w:space="0" w:color="000000"/>
              <w:bottom w:val="single" w:sz="2" w:space="0" w:color="000000"/>
            </w:tcBorders>
            <w:shd w:color="auto" w:fill="D9E2F3" w:val="clear"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1"/>
                <w:szCs w:val="21"/>
                <w:lang w:val="en-US" w:eastAsia="en-US" w:bidi="ar-SA"/>
              </w:rPr>
              <w:t>P</w:t>
            </w:r>
          </w:p>
        </w:tc>
      </w:tr>
      <w:tr>
        <w:trPr/>
        <w:tc>
          <w:tcPr>
            <w:tcW w:w="3212" w:type="dxa"/>
            <w:tcBorders>
              <w:top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Gender (Male vs Female)</w:t>
            </w:r>
          </w:p>
        </w:tc>
        <w:tc>
          <w:tcPr>
            <w:tcW w:w="857" w:type="dxa"/>
            <w:tcBorders>
              <w:top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1.16</w:t>
            </w:r>
          </w:p>
        </w:tc>
        <w:tc>
          <w:tcPr>
            <w:tcW w:w="1518" w:type="dxa"/>
            <w:tcBorders>
              <w:top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0.66-2.05</w:t>
            </w:r>
          </w:p>
        </w:tc>
        <w:tc>
          <w:tcPr>
            <w:tcW w:w="762" w:type="dxa"/>
            <w:tcBorders>
              <w:top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0.605</w:t>
            </w:r>
          </w:p>
        </w:tc>
        <w:tc>
          <w:tcPr>
            <w:tcW w:w="899" w:type="dxa"/>
            <w:tcBorders>
              <w:top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1.16</w:t>
            </w:r>
          </w:p>
        </w:tc>
        <w:tc>
          <w:tcPr>
            <w:tcW w:w="1727" w:type="dxa"/>
            <w:tcBorders>
              <w:top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0.66-2.05</w:t>
            </w:r>
          </w:p>
        </w:tc>
        <w:tc>
          <w:tcPr>
            <w:tcW w:w="996" w:type="dxa"/>
            <w:tcBorders>
              <w:top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0.605</w:t>
            </w:r>
          </w:p>
        </w:tc>
      </w:tr>
      <w:tr>
        <w:trPr/>
        <w:tc>
          <w:tcPr>
            <w:tcW w:w="321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WHO (CMML-2 vs CMML-1)</w:t>
            </w:r>
          </w:p>
        </w:tc>
        <w:tc>
          <w:tcPr>
            <w:tcW w:w="85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1.79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1.04-3.08</w:t>
            </w:r>
          </w:p>
        </w:tc>
        <w:tc>
          <w:tcPr>
            <w:tcW w:w="76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0.036</w:t>
            </w:r>
          </w:p>
        </w:tc>
        <w:tc>
          <w:tcPr>
            <w:tcW w:w="899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1.79</w:t>
            </w:r>
          </w:p>
        </w:tc>
        <w:tc>
          <w:tcPr>
            <w:tcW w:w="172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1.04-3.08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0.036</w:t>
            </w:r>
          </w:p>
        </w:tc>
      </w:tr>
      <w:tr>
        <w:trPr/>
        <w:tc>
          <w:tcPr>
            <w:tcW w:w="321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Karyotype (Int vs Low)</w:t>
            </w:r>
          </w:p>
        </w:tc>
        <w:tc>
          <w:tcPr>
            <w:tcW w:w="85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1.29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0.58-2.85</w:t>
            </w:r>
          </w:p>
        </w:tc>
        <w:tc>
          <w:tcPr>
            <w:tcW w:w="76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0.537</w:t>
            </w:r>
          </w:p>
        </w:tc>
        <w:tc>
          <w:tcPr>
            <w:tcW w:w="899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1.46</w:t>
            </w:r>
          </w:p>
        </w:tc>
        <w:tc>
          <w:tcPr>
            <w:tcW w:w="172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0.65-3.31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0.360</w:t>
            </w:r>
          </w:p>
        </w:tc>
      </w:tr>
      <w:tr>
        <w:trPr/>
        <w:tc>
          <w:tcPr>
            <w:tcW w:w="321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Karyotype (High vs Low)</w:t>
            </w:r>
          </w:p>
        </w:tc>
        <w:tc>
          <w:tcPr>
            <w:tcW w:w="85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1.77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0.93-3.36</w:t>
            </w:r>
          </w:p>
        </w:tc>
        <w:tc>
          <w:tcPr>
            <w:tcW w:w="76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0.084</w:t>
            </w:r>
          </w:p>
        </w:tc>
        <w:tc>
          <w:tcPr>
            <w:tcW w:w="899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1.87</w:t>
            </w:r>
          </w:p>
        </w:tc>
        <w:tc>
          <w:tcPr>
            <w:tcW w:w="172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0.96-3.61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0.064</w:t>
            </w:r>
          </w:p>
        </w:tc>
      </w:tr>
      <w:tr>
        <w:trPr/>
        <w:tc>
          <w:tcPr>
            <w:tcW w:w="321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Treatment (Chemo vs HMA)</w:t>
            </w:r>
          </w:p>
        </w:tc>
        <w:tc>
          <w:tcPr>
            <w:tcW w:w="85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1.72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0.98-3.02</w:t>
            </w:r>
          </w:p>
        </w:tc>
        <w:tc>
          <w:tcPr>
            <w:tcW w:w="76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0.058</w:t>
            </w:r>
          </w:p>
        </w:tc>
        <w:tc>
          <w:tcPr>
            <w:tcW w:w="899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1.80</w:t>
            </w:r>
          </w:p>
        </w:tc>
        <w:tc>
          <w:tcPr>
            <w:tcW w:w="172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0.96-3.37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0.067</w:t>
            </w:r>
          </w:p>
        </w:tc>
      </w:tr>
      <w:tr>
        <w:trPr/>
        <w:tc>
          <w:tcPr>
            <w:tcW w:w="321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Treatment (BSC vs HMA)</w:t>
            </w:r>
          </w:p>
        </w:tc>
        <w:tc>
          <w:tcPr>
            <w:tcW w:w="85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2.91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1.39-6.09</w:t>
            </w:r>
          </w:p>
        </w:tc>
        <w:tc>
          <w:tcPr>
            <w:tcW w:w="76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0.005</w:t>
            </w:r>
          </w:p>
        </w:tc>
        <w:tc>
          <w:tcPr>
            <w:tcW w:w="899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2.80</w:t>
            </w:r>
          </w:p>
        </w:tc>
        <w:tc>
          <w:tcPr>
            <w:tcW w:w="172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1.24-6.31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0.013</w:t>
            </w:r>
          </w:p>
        </w:tc>
      </w:tr>
      <w:tr>
        <w:trPr/>
        <w:tc>
          <w:tcPr>
            <w:tcW w:w="321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Treatment (HSCT vs HMA)</w:t>
            </w:r>
          </w:p>
        </w:tc>
        <w:tc>
          <w:tcPr>
            <w:tcW w:w="85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0.31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0.11-0.87</w:t>
            </w:r>
          </w:p>
        </w:tc>
        <w:tc>
          <w:tcPr>
            <w:tcW w:w="76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0.026</w:t>
            </w:r>
          </w:p>
        </w:tc>
        <w:tc>
          <w:tcPr>
            <w:tcW w:w="899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0.45</w:t>
            </w:r>
          </w:p>
        </w:tc>
        <w:tc>
          <w:tcPr>
            <w:tcW w:w="172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0.15-1.31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0.143</w:t>
            </w:r>
          </w:p>
        </w:tc>
      </w:tr>
      <w:tr>
        <w:trPr/>
        <w:tc>
          <w:tcPr>
            <w:tcW w:w="321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Age (per year)</w:t>
            </w:r>
          </w:p>
        </w:tc>
        <w:tc>
          <w:tcPr>
            <w:tcW w:w="85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0.99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0.97-1.01</w:t>
            </w:r>
          </w:p>
        </w:tc>
        <w:tc>
          <w:tcPr>
            <w:tcW w:w="76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0.432</w:t>
            </w:r>
          </w:p>
        </w:tc>
        <w:tc>
          <w:tcPr>
            <w:tcW w:w="899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0.99</w:t>
            </w:r>
          </w:p>
        </w:tc>
        <w:tc>
          <w:tcPr>
            <w:tcW w:w="172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0.97-1.01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0.432</w:t>
            </w:r>
          </w:p>
        </w:tc>
      </w:tr>
      <w:tr>
        <w:trPr/>
        <w:tc>
          <w:tcPr>
            <w:tcW w:w="321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BM blast (per %)</w:t>
            </w:r>
          </w:p>
        </w:tc>
        <w:tc>
          <w:tcPr>
            <w:tcW w:w="85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1.10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1.04-1.16</w:t>
            </w:r>
          </w:p>
        </w:tc>
        <w:tc>
          <w:tcPr>
            <w:tcW w:w="76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0.001</w:t>
            </w:r>
          </w:p>
        </w:tc>
        <w:tc>
          <w:tcPr>
            <w:tcW w:w="899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1.10</w:t>
            </w:r>
          </w:p>
        </w:tc>
        <w:tc>
          <w:tcPr>
            <w:tcW w:w="172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1.04-1.16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0.001</w:t>
            </w:r>
          </w:p>
        </w:tc>
      </w:tr>
      <w:tr>
        <w:trPr/>
        <w:tc>
          <w:tcPr>
            <w:tcW w:w="321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WBC (per 10×10⁹/L)</w:t>
            </w:r>
          </w:p>
        </w:tc>
        <w:tc>
          <w:tcPr>
            <w:tcW w:w="85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1.06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1.01-1.11</w:t>
            </w:r>
          </w:p>
        </w:tc>
        <w:tc>
          <w:tcPr>
            <w:tcW w:w="76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0.022</w:t>
            </w:r>
          </w:p>
        </w:tc>
        <w:tc>
          <w:tcPr>
            <w:tcW w:w="899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1.06</w:t>
            </w:r>
          </w:p>
        </w:tc>
        <w:tc>
          <w:tcPr>
            <w:tcW w:w="172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1.01-1.11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0.022</w:t>
            </w:r>
          </w:p>
        </w:tc>
      </w:tr>
      <w:tr>
        <w:trPr/>
        <w:tc>
          <w:tcPr>
            <w:tcW w:w="321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Hemoglobin (per 10 g/L)</w:t>
            </w:r>
          </w:p>
        </w:tc>
        <w:tc>
          <w:tcPr>
            <w:tcW w:w="85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0.88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0.79-0.97</w:t>
            </w:r>
          </w:p>
        </w:tc>
        <w:tc>
          <w:tcPr>
            <w:tcW w:w="76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0.014</w:t>
            </w:r>
          </w:p>
        </w:tc>
        <w:tc>
          <w:tcPr>
            <w:tcW w:w="899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0.88</w:t>
            </w:r>
          </w:p>
        </w:tc>
        <w:tc>
          <w:tcPr>
            <w:tcW w:w="172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0.79-0.97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0.014</w:t>
            </w:r>
          </w:p>
        </w:tc>
      </w:tr>
      <w:tr>
        <w:trPr/>
        <w:tc>
          <w:tcPr>
            <w:tcW w:w="321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LDH (per 100 U/L)</w:t>
            </w:r>
          </w:p>
        </w:tc>
        <w:tc>
          <w:tcPr>
            <w:tcW w:w="85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1.08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1.00-1.16</w:t>
            </w:r>
          </w:p>
        </w:tc>
        <w:tc>
          <w:tcPr>
            <w:tcW w:w="76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0.041</w:t>
            </w:r>
          </w:p>
        </w:tc>
        <w:tc>
          <w:tcPr>
            <w:tcW w:w="899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1.08</w:t>
            </w:r>
          </w:p>
        </w:tc>
        <w:tc>
          <w:tcPr>
            <w:tcW w:w="172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1.00-1.16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0.041</w:t>
            </w:r>
          </w:p>
        </w:tc>
      </w:tr>
      <w:tr>
        <w:trPr/>
        <w:tc>
          <w:tcPr>
            <w:tcW w:w="3212" w:type="dxa"/>
            <w:tcBorders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Albumin (per g/L)</w:t>
            </w:r>
          </w:p>
        </w:tc>
        <w:tc>
          <w:tcPr>
            <w:tcW w:w="857" w:type="dxa"/>
            <w:tcBorders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0.97</w:t>
            </w:r>
          </w:p>
        </w:tc>
        <w:tc>
          <w:tcPr>
            <w:tcW w:w="1518" w:type="dxa"/>
            <w:tcBorders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0.92-1.01</w:t>
            </w:r>
          </w:p>
        </w:tc>
        <w:tc>
          <w:tcPr>
            <w:tcW w:w="762" w:type="dxa"/>
            <w:tcBorders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0.133</w:t>
            </w:r>
          </w:p>
        </w:tc>
        <w:tc>
          <w:tcPr>
            <w:tcW w:w="899" w:type="dxa"/>
            <w:tcBorders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0.97</w:t>
            </w:r>
          </w:p>
        </w:tc>
        <w:tc>
          <w:tcPr>
            <w:tcW w:w="1727" w:type="dxa"/>
            <w:tcBorders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0.92-1.01</w:t>
            </w:r>
          </w:p>
        </w:tc>
        <w:tc>
          <w:tcPr>
            <w:tcW w:w="996" w:type="dxa"/>
            <w:tcBorders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0.133</w:t>
            </w:r>
          </w:p>
        </w:tc>
      </w:tr>
    </w:tbl>
    <w:p>
      <w:pPr>
        <w:pStyle w:val="Normal"/>
        <w:bidi w:val="0"/>
        <w:jc w:val="left"/>
        <w:rPr>
          <w:rFonts w:eastAsia="宋体"/>
          <w:lang w:val="en-US" w:eastAsia="zh-CN"/>
        </w:rPr>
      </w:pPr>
      <w:r>
        <w:rPr>
          <w:i/>
          <w:iCs/>
          <w:sz w:val="16"/>
          <w:szCs w:val="16"/>
        </w:rPr>
        <w:t>HR: Cause-specific Hazard Ratio; SHR: Subdistribution Hazard Ratio</w:t>
      </w:r>
      <w:r>
        <w:rPr>
          <w:rFonts w:eastAsia="宋体"/>
          <w:i/>
          <w:iCs/>
          <w:sz w:val="16"/>
          <w:szCs w:val="16"/>
          <w:lang w:val="en-US" w:eastAsia="zh-CN"/>
        </w:rPr>
        <w:t xml:space="preserve">; </w:t>
      </w:r>
      <w:r>
        <w:rPr>
          <w:i/>
          <w:iCs/>
          <w:sz w:val="18"/>
          <w:szCs w:val="18"/>
        </w:rPr>
        <w:t>Cox model treats competing deaths as censored; Fine-Gray model accounts for competing risks</w:t>
      </w:r>
      <w:r>
        <w:rPr>
          <w:rFonts w:eastAsia="宋体"/>
          <w:i/>
          <w:iCs/>
          <w:sz w:val="18"/>
          <w:szCs w:val="18"/>
          <w:lang w:val="en-US" w:eastAsia="zh-CN"/>
        </w:rPr>
        <w:t>.</w:t>
      </w:r>
    </w:p>
    <w:p>
      <w:pPr>
        <w:pStyle w:val="Heading2"/>
        <w:rPr>
          <w:rFonts w:eastAsia="宋体"/>
          <w:lang w:val="en-US" w:eastAsia="zh-CN"/>
        </w:rPr>
      </w:pPr>
      <w:r>
        <w:rPr/>
        <w:t>Table S</w:t>
      </w:r>
      <w:r>
        <w:rPr>
          <w:rFonts w:eastAsia="宋体"/>
          <w:lang w:val="en-US" w:eastAsia="zh-CN"/>
        </w:rPr>
        <w:t>6</w:t>
      </w:r>
      <w:r>
        <w:rPr/>
        <w:t>. Comparison of CIF vs Traditional 1-KM Estimates</w:t>
      </w:r>
      <w:r>
        <w:rPr>
          <w:rFonts w:eastAsia="宋体"/>
          <w:lang w:val="en-US" w:eastAsia="zh-CN"/>
        </w:rPr>
        <w:t>.</w:t>
      </w:r>
    </w:p>
    <w:tbl>
      <w:tblPr>
        <w:tblStyle w:val="TableNormal"/>
        <w:tblpPr w:vertAnchor="text" w:horzAnchor="page" w:leftFromText="180" w:rightFromText="180" w:tblpX="901" w:tblpY="53"/>
        <w:tblOverlap w:val="never"/>
        <w:tblW w:w="5000" w:type="pct"/>
        <w:jc w:val="left"/>
        <w:tblInd w:w="0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1487"/>
        <w:gridCol w:w="1302"/>
        <w:gridCol w:w="2110"/>
        <w:gridCol w:w="2014"/>
        <w:gridCol w:w="3059"/>
      </w:tblGrid>
      <w:tr>
        <w:trPr/>
        <w:tc>
          <w:tcPr>
            <w:tcW w:w="1487" w:type="dxa"/>
            <w:tcBorders>
              <w:top w:val="single" w:sz="2" w:space="0" w:color="000000"/>
              <w:bottom w:val="single" w:sz="2" w:space="0" w:color="000000"/>
            </w:tcBorders>
            <w:shd w:color="auto" w:fill="D9E2F3" w:val="clear"/>
            <w:vAlign w:val="center"/>
          </w:tcPr>
          <w:p>
            <w:pPr>
              <w:pStyle w:val="Normal"/>
              <w:bidi w:val="0"/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1"/>
                <w:szCs w:val="21"/>
                <w:lang w:val="en-US" w:eastAsia="en-US" w:bidi="ar-SA"/>
              </w:rPr>
              <w:t>Time</w:t>
            </w:r>
          </w:p>
        </w:tc>
        <w:tc>
          <w:tcPr>
            <w:tcW w:w="1302" w:type="dxa"/>
            <w:tcBorders>
              <w:top w:val="single" w:sz="2" w:space="0" w:color="000000"/>
              <w:bottom w:val="single" w:sz="2" w:space="0" w:color="000000"/>
            </w:tcBorders>
            <w:shd w:color="auto" w:fill="D9E2F3" w:val="clear"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1"/>
                <w:szCs w:val="21"/>
                <w:lang w:val="en-US" w:eastAsia="en-US" w:bidi="ar-SA"/>
              </w:rPr>
              <w:t>CIF (%)</w:t>
            </w:r>
          </w:p>
        </w:tc>
        <w:tc>
          <w:tcPr>
            <w:tcW w:w="2110" w:type="dxa"/>
            <w:tcBorders>
              <w:top w:val="single" w:sz="2" w:space="0" w:color="000000"/>
              <w:bottom w:val="single" w:sz="2" w:space="0" w:color="000000"/>
            </w:tcBorders>
            <w:shd w:color="auto" w:fill="D9E2F3" w:val="clear"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1"/>
                <w:szCs w:val="21"/>
                <w:lang w:val="en-US" w:eastAsia="en-US" w:bidi="ar-SA"/>
              </w:rPr>
              <w:t>1-KM (%)</w:t>
            </w:r>
          </w:p>
        </w:tc>
        <w:tc>
          <w:tcPr>
            <w:tcW w:w="2014" w:type="dxa"/>
            <w:tcBorders>
              <w:top w:val="single" w:sz="2" w:space="0" w:color="000000"/>
              <w:bottom w:val="single" w:sz="2" w:space="0" w:color="000000"/>
            </w:tcBorders>
            <w:shd w:color="auto" w:fill="D9E2F3" w:val="clear"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1"/>
                <w:szCs w:val="21"/>
                <w:lang w:val="en-US" w:eastAsia="en-US" w:bidi="ar-SA"/>
              </w:rPr>
              <w:t>Difference (%)</w:t>
            </w:r>
          </w:p>
        </w:tc>
        <w:tc>
          <w:tcPr>
            <w:tcW w:w="3059" w:type="dxa"/>
            <w:tcBorders>
              <w:top w:val="single" w:sz="2" w:space="0" w:color="000000"/>
              <w:bottom w:val="single" w:sz="2" w:space="0" w:color="000000"/>
            </w:tcBorders>
            <w:shd w:color="auto" w:fill="D9E2F3" w:val="clear"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1"/>
                <w:szCs w:val="21"/>
                <w:lang w:val="en-US" w:eastAsia="en-US" w:bidi="ar-SA"/>
              </w:rPr>
              <w:t>Relative overestimation (%)</w:t>
            </w:r>
          </w:p>
        </w:tc>
      </w:tr>
      <w:tr>
        <w:trPr/>
        <w:tc>
          <w:tcPr>
            <w:tcW w:w="1487" w:type="dxa"/>
            <w:tcBorders>
              <w:top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6 months</w:t>
            </w:r>
          </w:p>
        </w:tc>
        <w:tc>
          <w:tcPr>
            <w:tcW w:w="1302" w:type="dxa"/>
            <w:tcBorders>
              <w:top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28.1</w:t>
            </w:r>
          </w:p>
        </w:tc>
        <w:tc>
          <w:tcPr>
            <w:tcW w:w="2110" w:type="dxa"/>
            <w:tcBorders>
              <w:top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28.9</w:t>
            </w:r>
          </w:p>
        </w:tc>
        <w:tc>
          <w:tcPr>
            <w:tcW w:w="2014" w:type="dxa"/>
            <w:tcBorders>
              <w:top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+0.8</w:t>
            </w:r>
          </w:p>
        </w:tc>
        <w:tc>
          <w:tcPr>
            <w:tcW w:w="3059" w:type="dxa"/>
            <w:tcBorders>
              <w:top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+2.8</w:t>
            </w:r>
          </w:p>
        </w:tc>
      </w:tr>
      <w:tr>
        <w:trPr/>
        <w:tc>
          <w:tcPr>
            <w:tcW w:w="148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12 months</w:t>
            </w:r>
          </w:p>
        </w:tc>
        <w:tc>
          <w:tcPr>
            <w:tcW w:w="130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46.9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49.2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+2.3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+4.9</w:t>
            </w:r>
          </w:p>
        </w:tc>
      </w:tr>
      <w:tr>
        <w:trPr/>
        <w:tc>
          <w:tcPr>
            <w:tcW w:w="148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24 months</w:t>
            </w:r>
          </w:p>
        </w:tc>
        <w:tc>
          <w:tcPr>
            <w:tcW w:w="130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63.4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67.2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+3.8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+6.0</w:t>
            </w:r>
          </w:p>
        </w:tc>
      </w:tr>
      <w:tr>
        <w:trPr/>
        <w:tc>
          <w:tcPr>
            <w:tcW w:w="1487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36 months</w:t>
            </w:r>
          </w:p>
        </w:tc>
        <w:tc>
          <w:tcPr>
            <w:tcW w:w="1302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73.8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78.4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+4.6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+6.2</w:t>
            </w:r>
          </w:p>
        </w:tc>
      </w:tr>
      <w:tr>
        <w:trPr/>
        <w:tc>
          <w:tcPr>
            <w:tcW w:w="1487" w:type="dxa"/>
            <w:tcBorders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48 months</w:t>
            </w:r>
          </w:p>
        </w:tc>
        <w:tc>
          <w:tcPr>
            <w:tcW w:w="1302" w:type="dxa"/>
            <w:tcBorders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79.2</w:t>
            </w:r>
          </w:p>
        </w:tc>
        <w:tc>
          <w:tcPr>
            <w:tcW w:w="2110" w:type="dxa"/>
            <w:tcBorders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84.5</w:t>
            </w:r>
          </w:p>
        </w:tc>
        <w:tc>
          <w:tcPr>
            <w:tcW w:w="2014" w:type="dxa"/>
            <w:tcBorders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+5.3</w:t>
            </w:r>
          </w:p>
        </w:tc>
        <w:tc>
          <w:tcPr>
            <w:tcW w:w="3059" w:type="dxa"/>
            <w:tcBorders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en-US" w:eastAsia="en-US" w:bidi="ar-SA"/>
              </w:rPr>
              <w:t>+6.7</w:t>
            </w:r>
          </w:p>
        </w:tc>
      </w:tr>
    </w:tbl>
    <w:p>
      <w:pPr>
        <w:pStyle w:val="Normal"/>
        <w:bidi w:val="0"/>
        <w:jc w:val="left"/>
        <w:rPr>
          <w:rFonts w:eastAsia="宋体"/>
          <w:lang w:val="en-US" w:eastAsia="zh-CN"/>
        </w:rPr>
      </w:pPr>
      <w:r>
        <w:rPr>
          <w:i/>
          <w:iCs/>
          <w:sz w:val="18"/>
          <w:szCs w:val="18"/>
        </w:rPr>
        <w:t>1-KM method overestimates cumulative incidence by ignoring competing risks</w:t>
      </w:r>
      <w:r>
        <w:rPr>
          <w:rFonts w:eastAsia="宋体"/>
          <w:i/>
          <w:iCs/>
          <w:sz w:val="18"/>
          <w:szCs w:val="18"/>
          <w:lang w:val="en-US" w:eastAsia="zh-CN"/>
        </w:rPr>
        <w:t>.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next w:val="Normal"/>
    <w:qFormat/>
    <w:pPr>
      <w:widowControl/>
      <w:bidi w:val="0"/>
      <w:spacing w:before="360" w:after="240"/>
      <w:jc w:val="left"/>
      <w:outlineLvl w:val="0"/>
    </w:pPr>
    <w:rPr>
      <w:rFonts w:ascii="Times New Roman" w:hAnsi="Times New Roman" w:eastAsia="Times New Roman" w:cs="Times New Roman"/>
      <w:b/>
      <w:bCs/>
      <w:color w:val="auto"/>
      <w:kern w:val="2"/>
      <w:sz w:val="28"/>
      <w:szCs w:val="28"/>
      <w:lang w:val="en-US" w:eastAsia="zh-CN" w:bidi="hi-IN"/>
    </w:rPr>
  </w:style>
  <w:style w:type="paragraph" w:styleId="Heading2">
    <w:name w:val="Heading 2"/>
    <w:next w:val="Normal"/>
    <w:qFormat/>
    <w:pPr>
      <w:widowControl/>
      <w:bidi w:val="0"/>
      <w:spacing w:before="280" w:after="180"/>
      <w:jc w:val="left"/>
      <w:outlineLvl w:val="1"/>
    </w:pPr>
    <w:rPr>
      <w:rFonts w:ascii="Times New Roman" w:hAnsi="Times New Roman" w:eastAsia="Times New Roman" w:cs="Times New Roman"/>
      <w:b/>
      <w:bCs/>
      <w:color w:val="auto"/>
      <w:kern w:val="2"/>
      <w:sz w:val="24"/>
      <w:szCs w:val="24"/>
      <w:lang w:val="en-US" w:eastAsia="zh-CN" w:bidi="hi-IN"/>
    </w:rPr>
  </w:style>
  <w:style w:type="character" w:styleId="DefaultParagraphFont">
    <w:name w:val="Default Paragraph Font"/>
    <w:qFormat/>
    <w:rPr/>
  </w:style>
  <w:style w:type="character" w:styleId="Emphasis">
    <w:name w:val="Emphasis"/>
    <w:basedOn w:val="DefaultParagraphFont"/>
    <w:qFormat/>
    <w:rPr>
      <w:i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LibreOffice/24.2.4.2$Windows_X86_64 LibreOffice_project/51a6219feb6075d9a4c46691dcfe0cd9c4fff3c2</Application>
  <AppVersion>15.0000</AppVersion>
  <Pages>4</Pages>
  <Words>936</Words>
  <Characters>4980</Characters>
  <CharactersWithSpaces>5551</CharactersWithSpaces>
  <Paragraphs>343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2026-06-10T13:13:14Z</dcterms:created>
  <dc:creator/>
  <dc:description/>
  <dc:language>en-US</dc:language>
  <cp:lastModifiedBy/>
  <dcterms:modified xsi:type="dcterms:W3CDTF">2026-06-10T13:16:35Z</dcterms:modified>
  <cp:revision>1</cp:revision>
  <dc:subject/>
  <dc:title/>
</cp:coreProperties>
</file>