
<file path=[Content_Types].xml><?xml version="1.0" encoding="utf-8"?>
<Types xmlns="http://schemas.openxmlformats.org/package/2006/content-types">
  <Default Extension="png" ContentType="image/png"/>
  <Default Extension="jpeg" ContentType="image/jpeg"/>
  <Default Extension="JPG" ContentType="image/.jp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5D4DBE">
      <w:pPr>
        <w:rPr>
          <w:rFonts w:hint="eastAsia"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rPr>
        <w:t xml:space="preserve">Prognostic </w:t>
      </w:r>
      <w:r>
        <w:rPr>
          <w:rFonts w:hint="eastAsia" w:ascii="Times New Roman" w:hAnsi="Times New Roman" w:eastAsia="宋体" w:cs="Times New Roman"/>
          <w:b/>
          <w:bCs/>
          <w:color w:val="auto"/>
          <w:sz w:val="24"/>
          <w:szCs w:val="24"/>
          <w:lang w:val="en-US" w:eastAsia="zh-CN"/>
        </w:rPr>
        <w:t>v</w:t>
      </w:r>
      <w:r>
        <w:rPr>
          <w:rFonts w:hint="default" w:ascii="Times New Roman" w:hAnsi="Times New Roman" w:eastAsia="宋体" w:cs="Times New Roman"/>
          <w:b/>
          <w:bCs/>
          <w:color w:val="auto"/>
          <w:sz w:val="24"/>
          <w:szCs w:val="24"/>
        </w:rPr>
        <w:t xml:space="preserve">alue of </w:t>
      </w:r>
      <w:r>
        <w:rPr>
          <w:rFonts w:hint="eastAsia" w:ascii="Times New Roman" w:hAnsi="Times New Roman" w:eastAsia="宋体" w:cs="Times New Roman"/>
          <w:b/>
          <w:bCs/>
          <w:color w:val="auto"/>
          <w:sz w:val="24"/>
          <w:szCs w:val="24"/>
          <w:lang w:val="en-US" w:eastAsia="zh-CN"/>
        </w:rPr>
        <w:t>c</w:t>
      </w:r>
      <w:r>
        <w:rPr>
          <w:rFonts w:hint="default" w:ascii="Times New Roman" w:hAnsi="Times New Roman" w:eastAsia="宋体" w:cs="Times New Roman"/>
          <w:b/>
          <w:bCs/>
          <w:color w:val="auto"/>
          <w:sz w:val="24"/>
          <w:szCs w:val="24"/>
        </w:rPr>
        <w:t xml:space="preserve">ombined FIB-4 and AFP in </w:t>
      </w:r>
      <w:r>
        <w:rPr>
          <w:rFonts w:hint="eastAsia" w:ascii="Times New Roman" w:hAnsi="Times New Roman" w:eastAsia="宋体" w:cs="Times New Roman"/>
          <w:b/>
          <w:bCs/>
          <w:color w:val="auto"/>
          <w:sz w:val="24"/>
          <w:szCs w:val="24"/>
          <w:lang w:val="en-US" w:eastAsia="zh-CN"/>
        </w:rPr>
        <w:t>p</w:t>
      </w:r>
      <w:r>
        <w:rPr>
          <w:rFonts w:hint="default" w:ascii="Times New Roman" w:hAnsi="Times New Roman" w:eastAsia="宋体" w:cs="Times New Roman"/>
          <w:b/>
          <w:bCs/>
          <w:color w:val="auto"/>
          <w:sz w:val="24"/>
          <w:szCs w:val="24"/>
        </w:rPr>
        <w:t xml:space="preserve">redicting </w:t>
      </w:r>
      <w:r>
        <w:rPr>
          <w:rFonts w:hint="eastAsia" w:ascii="Times New Roman" w:hAnsi="Times New Roman" w:eastAsia="宋体" w:cs="Times New Roman"/>
          <w:b/>
          <w:bCs/>
          <w:color w:val="auto"/>
          <w:sz w:val="24"/>
          <w:szCs w:val="24"/>
          <w:lang w:val="en-US" w:eastAsia="zh-CN"/>
        </w:rPr>
        <w:t>s</w:t>
      </w:r>
      <w:r>
        <w:rPr>
          <w:rFonts w:hint="default" w:ascii="Times New Roman" w:hAnsi="Times New Roman" w:eastAsia="宋体" w:cs="Times New Roman"/>
          <w:b/>
          <w:bCs/>
          <w:color w:val="auto"/>
          <w:sz w:val="24"/>
          <w:szCs w:val="24"/>
        </w:rPr>
        <w:t xml:space="preserve">urvival </w:t>
      </w:r>
      <w:r>
        <w:rPr>
          <w:rFonts w:hint="eastAsia" w:ascii="Times New Roman" w:hAnsi="Times New Roman" w:eastAsia="宋体" w:cs="Times New Roman"/>
          <w:b/>
          <w:bCs/>
          <w:color w:val="auto"/>
          <w:sz w:val="24"/>
          <w:szCs w:val="24"/>
          <w:lang w:val="en-US" w:eastAsia="zh-CN"/>
        </w:rPr>
        <w:t>a</w:t>
      </w:r>
      <w:r>
        <w:rPr>
          <w:rFonts w:hint="default" w:ascii="Times New Roman" w:hAnsi="Times New Roman" w:eastAsia="宋体" w:cs="Times New Roman"/>
          <w:b/>
          <w:bCs/>
          <w:color w:val="auto"/>
          <w:sz w:val="24"/>
          <w:szCs w:val="24"/>
        </w:rPr>
        <w:t xml:space="preserve">fter </w:t>
      </w:r>
      <w:r>
        <w:rPr>
          <w:rFonts w:hint="eastAsia" w:ascii="Times New Roman" w:hAnsi="Times New Roman" w:eastAsia="宋体" w:cs="Times New Roman"/>
          <w:b/>
          <w:bCs/>
          <w:color w:val="auto"/>
          <w:sz w:val="24"/>
          <w:szCs w:val="24"/>
          <w:lang w:val="en-US" w:eastAsia="zh-CN"/>
        </w:rPr>
        <w:t>h</w:t>
      </w:r>
      <w:r>
        <w:rPr>
          <w:rFonts w:hint="default" w:ascii="Times New Roman" w:hAnsi="Times New Roman" w:eastAsia="宋体" w:cs="Times New Roman"/>
          <w:b/>
          <w:bCs/>
          <w:color w:val="auto"/>
          <w:sz w:val="24"/>
          <w:szCs w:val="24"/>
        </w:rPr>
        <w:t xml:space="preserve">epatectomy for </w:t>
      </w:r>
      <w:r>
        <w:rPr>
          <w:rFonts w:hint="eastAsia" w:ascii="Times New Roman" w:hAnsi="Times New Roman" w:eastAsia="宋体" w:cs="Times New Roman"/>
          <w:b/>
          <w:bCs/>
          <w:color w:val="auto"/>
          <w:sz w:val="24"/>
          <w:szCs w:val="24"/>
          <w:lang w:val="en-US" w:eastAsia="zh-CN"/>
        </w:rPr>
        <w:t>h</w:t>
      </w:r>
      <w:r>
        <w:rPr>
          <w:rFonts w:hint="default" w:ascii="Times New Roman" w:hAnsi="Times New Roman" w:eastAsia="宋体" w:cs="Times New Roman"/>
          <w:b/>
          <w:bCs/>
          <w:color w:val="auto"/>
          <w:sz w:val="24"/>
          <w:szCs w:val="24"/>
        </w:rPr>
        <w:t xml:space="preserve">epatocellular </w:t>
      </w:r>
      <w:r>
        <w:rPr>
          <w:rFonts w:hint="eastAsia" w:ascii="Times New Roman" w:hAnsi="Times New Roman" w:eastAsia="宋体" w:cs="Times New Roman"/>
          <w:b/>
          <w:bCs/>
          <w:color w:val="auto"/>
          <w:sz w:val="24"/>
          <w:szCs w:val="24"/>
          <w:lang w:val="en-US" w:eastAsia="zh-CN"/>
        </w:rPr>
        <w:t>c</w:t>
      </w:r>
      <w:r>
        <w:rPr>
          <w:rFonts w:hint="default" w:ascii="Times New Roman" w:hAnsi="Times New Roman" w:eastAsia="宋体" w:cs="Times New Roman"/>
          <w:b/>
          <w:bCs/>
          <w:color w:val="auto"/>
          <w:sz w:val="24"/>
          <w:szCs w:val="24"/>
        </w:rPr>
        <w:t>arcinoma</w:t>
      </w:r>
      <w:r>
        <w:rPr>
          <w:rFonts w:hint="eastAsia" w:ascii="Times New Roman" w:hAnsi="Times New Roman" w:eastAsia="宋体" w:cs="Times New Roman"/>
          <w:b/>
          <w:bCs/>
          <w:color w:val="auto"/>
          <w:sz w:val="24"/>
          <w:szCs w:val="24"/>
          <w:lang w:val="en-US" w:eastAsia="zh-CN"/>
        </w:rPr>
        <w:t>: A multicenter cohort study</w:t>
      </w:r>
    </w:p>
    <w:p w14:paraId="0AFD35AD">
      <w:pPr>
        <w:rPr>
          <w:rFonts w:hint="default" w:ascii="Times New Roman" w:hAnsi="Times New Roman" w:eastAsia="宋体" w:cs="Times New Roman"/>
          <w:b/>
          <w:bCs/>
          <w:color w:val="auto"/>
          <w:sz w:val="24"/>
          <w:szCs w:val="24"/>
        </w:rPr>
      </w:pPr>
    </w:p>
    <w:p w14:paraId="06A0127E">
      <w:pPr>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Yuting Yang</w:t>
      </w:r>
      <w:r>
        <w:rPr>
          <w:rFonts w:hint="eastAsia" w:ascii="Times New Roman" w:hAnsi="Times New Roman" w:eastAsia="宋体" w:cs="Times New Roman"/>
          <w:b w:val="0"/>
          <w:bCs w:val="0"/>
          <w:color w:val="auto"/>
          <w:sz w:val="24"/>
          <w:szCs w:val="24"/>
          <w:vertAlign w:val="superscript"/>
          <w:lang w:val="en-US" w:eastAsia="zh-CN"/>
        </w:rPr>
        <w:t>1</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lang w:val="en-US" w:eastAsia="zh-CN"/>
        </w:rPr>
        <w:t>Haojie Yang</w:t>
      </w:r>
      <w:r>
        <w:rPr>
          <w:rFonts w:hint="eastAsia" w:ascii="Times New Roman" w:hAnsi="Times New Roman" w:eastAsia="宋体" w:cs="Times New Roman"/>
          <w:b w:val="0"/>
          <w:bCs w:val="0"/>
          <w:color w:val="auto"/>
          <w:sz w:val="24"/>
          <w:szCs w:val="24"/>
          <w:vertAlign w:val="superscript"/>
          <w:lang w:val="en-US" w:eastAsia="zh-CN"/>
        </w:rPr>
        <w:t>2,3</w:t>
      </w:r>
      <w:r>
        <w:rPr>
          <w:rFonts w:hint="default" w:ascii="Times New Roman" w:hAnsi="Times New Roman" w:eastAsia="宋体" w:cs="Times New Roman"/>
          <w:b w:val="0"/>
          <w:bCs w:val="0"/>
          <w:color w:val="auto"/>
          <w:sz w:val="24"/>
          <w:szCs w:val="24"/>
          <w:lang w:val="en-US" w:eastAsia="zh-CN"/>
        </w:rPr>
        <w:t>,</w:t>
      </w:r>
      <w:r>
        <w:rPr>
          <w:rFonts w:hint="eastAsia" w:ascii="Times New Roman" w:hAnsi="Times New Roman" w:eastAsia="宋体" w:cs="Times New Roman"/>
          <w:b w:val="0"/>
          <w:bCs w:val="0"/>
          <w:color w:val="auto"/>
          <w:sz w:val="24"/>
          <w:szCs w:val="24"/>
          <w:lang w:val="en-US" w:eastAsia="zh-CN"/>
        </w:rPr>
        <w:t xml:space="preserve"> Yangfeng Du</w:t>
      </w:r>
      <w:r>
        <w:rPr>
          <w:rFonts w:hint="eastAsia" w:ascii="Times New Roman" w:hAnsi="Times New Roman" w:eastAsia="宋体" w:cs="Times New Roman"/>
          <w:b w:val="0"/>
          <w:bCs w:val="0"/>
          <w:color w:val="auto"/>
          <w:sz w:val="24"/>
          <w:szCs w:val="24"/>
          <w:vertAlign w:val="superscript"/>
          <w:lang w:val="en-US" w:eastAsia="zh-CN"/>
        </w:rPr>
        <w:t>1</w:t>
      </w:r>
      <w:r>
        <w:rPr>
          <w:rFonts w:hint="default" w:ascii="Times New Roman" w:hAnsi="Times New Roman" w:eastAsia="宋体" w:cs="Times New Roman"/>
          <w:b w:val="0"/>
          <w:bCs w:val="0"/>
          <w:color w:val="auto"/>
          <w:sz w:val="24"/>
          <w:szCs w:val="24"/>
          <w:lang w:val="en-US" w:eastAsia="zh-CN"/>
        </w:rPr>
        <w:t>,</w:t>
      </w:r>
      <w:r>
        <w:rPr>
          <w:rFonts w:hint="eastAsia" w:ascii="Times New Roman" w:hAnsi="Times New Roman" w:eastAsia="宋体" w:cs="Times New Roman"/>
          <w:b w:val="0"/>
          <w:bCs w:val="0"/>
          <w:color w:val="auto"/>
          <w:sz w:val="24"/>
          <w:szCs w:val="24"/>
          <w:lang w:val="en-US" w:eastAsia="zh-CN"/>
        </w:rPr>
        <w:t xml:space="preserve"> Shuxiang Hou</w:t>
      </w:r>
      <w:r>
        <w:rPr>
          <w:rFonts w:hint="eastAsia" w:ascii="Times New Roman" w:hAnsi="Times New Roman" w:eastAsia="宋体" w:cs="Times New Roman"/>
          <w:b w:val="0"/>
          <w:bCs w:val="0"/>
          <w:color w:val="auto"/>
          <w:sz w:val="24"/>
          <w:szCs w:val="24"/>
          <w:vertAlign w:val="superscript"/>
          <w:lang w:val="en-US" w:eastAsia="zh-CN"/>
        </w:rPr>
        <w:t>2</w:t>
      </w:r>
      <w:r>
        <w:rPr>
          <w:rFonts w:hint="eastAsia" w:ascii="Times New Roman" w:hAnsi="Times New Roman" w:eastAsia="宋体"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lang w:val="en-US" w:eastAsia="zh-CN"/>
        </w:rPr>
        <w:t xml:space="preserve"> Kelan Zhang</w:t>
      </w:r>
      <w:r>
        <w:rPr>
          <w:rFonts w:hint="eastAsia" w:ascii="Times New Roman" w:hAnsi="Times New Roman" w:eastAsia="宋体" w:cs="Times New Roman"/>
          <w:b w:val="0"/>
          <w:bCs w:val="0"/>
          <w:color w:val="auto"/>
          <w:sz w:val="24"/>
          <w:szCs w:val="24"/>
          <w:vertAlign w:val="superscript"/>
          <w:lang w:val="en-US" w:eastAsia="zh-CN"/>
        </w:rPr>
        <w:t>2</w:t>
      </w:r>
      <w:r>
        <w:rPr>
          <w:rFonts w:hint="eastAsia" w:ascii="Times New Roman" w:hAnsi="Times New Roman" w:eastAsia="宋体" w:cs="Times New Roman"/>
          <w:b w:val="0"/>
          <w:bCs w:val="0"/>
          <w:color w:val="auto"/>
          <w:sz w:val="24"/>
          <w:szCs w:val="24"/>
          <w:lang w:val="en-US" w:eastAsia="zh-CN"/>
        </w:rPr>
        <w:t>, Zemin Xiao</w:t>
      </w:r>
      <w:r>
        <w:rPr>
          <w:rFonts w:hint="eastAsia" w:ascii="Times New Roman" w:hAnsi="Times New Roman" w:eastAsia="宋体" w:cs="Times New Roman"/>
          <w:b w:val="0"/>
          <w:bCs w:val="0"/>
          <w:color w:val="auto"/>
          <w:sz w:val="24"/>
          <w:szCs w:val="24"/>
          <w:vertAlign w:val="superscript"/>
          <w:lang w:val="en-US" w:eastAsia="zh-CN"/>
        </w:rPr>
        <w:t>1</w:t>
      </w:r>
    </w:p>
    <w:p w14:paraId="491DE60D">
      <w:pPr>
        <w:rPr>
          <w:rFonts w:hint="default" w:ascii="Times New Roman" w:hAnsi="Times New Roman" w:eastAsia="宋体" w:cs="Times New Roman"/>
          <w:b w:val="0"/>
          <w:bCs w:val="0"/>
          <w:color w:val="auto"/>
          <w:sz w:val="24"/>
          <w:szCs w:val="24"/>
          <w:lang w:val="en-US" w:eastAsia="zh-CN"/>
        </w:rPr>
      </w:pPr>
    </w:p>
    <w:p w14:paraId="0B1C7D95">
      <w:pPr>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1.Department of Oncology, Changde Hospital, Xiangya School of Medicine, Central South University</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lang w:val="en-US" w:eastAsia="zh-CN"/>
        </w:rPr>
        <w:t>(The First People's Hospital of Changde City), Changde 415000,Hunan Province, China</w:t>
      </w:r>
    </w:p>
    <w:p w14:paraId="4784E888">
      <w:pPr>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2.Department of General Surgery, Changde Hospital, Xiangya School of Medicine, Central South University(The First People's Hospital of Changde City), Changde 415000,</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lang w:val="en-US" w:eastAsia="zh-CN"/>
        </w:rPr>
        <w:t>Hunan Province, China</w:t>
      </w:r>
    </w:p>
    <w:p w14:paraId="7D22A27F">
      <w:pPr>
        <w:tabs>
          <w:tab w:val="left" w:pos="6788"/>
        </w:tabs>
        <w:rPr>
          <w:rFonts w:hint="default" w:ascii="Times New Roman" w:hAnsi="Times New Roman"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3.</w:t>
      </w:r>
      <w:r>
        <w:rPr>
          <w:rFonts w:hint="default" w:ascii="Times New Roman" w:hAnsi="Times New Roman" w:cs="Times New Roman"/>
          <w:b w:val="0"/>
          <w:bCs w:val="0"/>
          <w:color w:val="auto"/>
          <w:sz w:val="24"/>
          <w:szCs w:val="24"/>
          <w:lang w:val="en-US" w:eastAsia="zh-CN"/>
        </w:rPr>
        <w:t>Department of Hepatobiliary Surgery, Guangxi Medical University Cancer Hospital, Nanning 530021, Guangxi Province, China</w:t>
      </w:r>
    </w:p>
    <w:p w14:paraId="04906652">
      <w:pPr>
        <w:rPr>
          <w:rFonts w:hint="default" w:ascii="Times New Roman" w:hAnsi="Times New Roman" w:eastAsia="宋体" w:cs="Times New Roman"/>
          <w:b w:val="0"/>
          <w:bCs w:val="0"/>
          <w:color w:val="auto"/>
          <w:sz w:val="24"/>
          <w:szCs w:val="24"/>
          <w:lang w:val="en-US" w:eastAsia="zh-CN"/>
        </w:rPr>
      </w:pPr>
    </w:p>
    <w:p w14:paraId="23ACC155">
      <w:pPr>
        <w:rPr>
          <w:rFonts w:hint="default" w:ascii="Times New Roman" w:hAnsi="Times New Roman" w:eastAsia="宋体" w:cs="Times New Roman"/>
          <w:b w:val="0"/>
          <w:bCs w:val="0"/>
          <w:color w:val="auto"/>
          <w:sz w:val="24"/>
          <w:szCs w:val="24"/>
          <w:lang w:val="en-US" w:eastAsia="zh-CN"/>
        </w:rPr>
      </w:pPr>
    </w:p>
    <w:p w14:paraId="49C729D1">
      <w:pPr>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*Corresponding authors</w:t>
      </w:r>
      <w:bookmarkStart w:id="0" w:name="OLE_LINK59"/>
      <w:bookmarkStart w:id="1" w:name="OLE_LINK58"/>
      <w:r>
        <w:rPr>
          <w:rFonts w:hint="default" w:ascii="Times New Roman" w:hAnsi="Times New Roman" w:eastAsia="宋体" w:cs="Times New Roman"/>
          <w:b w:val="0"/>
          <w:bCs w:val="0"/>
          <w:color w:val="auto"/>
          <w:sz w:val="24"/>
          <w:szCs w:val="24"/>
          <w:lang w:val="en-US" w:eastAsia="zh-CN"/>
        </w:rPr>
        <w:t>:</w:t>
      </w:r>
      <w:bookmarkEnd w:id="0"/>
      <w:bookmarkEnd w:id="1"/>
      <w:r>
        <w:rPr>
          <w:rFonts w:hint="eastAsia" w:ascii="Times New Roman" w:hAnsi="Times New Roman" w:eastAsia="宋体" w:cs="Times New Roman"/>
          <w:b w:val="0"/>
          <w:bCs w:val="0"/>
          <w:color w:val="auto"/>
          <w:sz w:val="24"/>
          <w:szCs w:val="24"/>
          <w:lang w:val="en-US" w:eastAsia="zh-CN"/>
        </w:rPr>
        <w:t xml:space="preserve">  Shuxiang Hou  467431905@qq.com</w:t>
      </w:r>
    </w:p>
    <w:p w14:paraId="38E80EB7">
      <w:pPr>
        <w:ind w:firstLine="2640" w:firstLineChars="1100"/>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Zemin Xiao</w:t>
      </w:r>
      <w:r>
        <w:rPr>
          <w:rFonts w:hint="default" w:ascii="Times New Roman" w:hAnsi="Times New Roman" w:eastAsia="宋体" w:cs="Times New Roman"/>
          <w:b w:val="0"/>
          <w:bCs w:val="0"/>
          <w:color w:val="auto"/>
          <w:sz w:val="24"/>
          <w:szCs w:val="24"/>
          <w:lang w:val="en-US" w:eastAsia="zh-CN"/>
        </w:rPr>
        <w:t xml:space="preserve">  </w:t>
      </w:r>
      <w:r>
        <w:rPr>
          <w:rFonts w:hint="eastAsia" w:ascii="Times New Roman" w:hAnsi="Times New Roman" w:eastAsia="宋体" w:cs="Times New Roman"/>
          <w:b w:val="0"/>
          <w:bCs w:val="0"/>
          <w:color w:val="auto"/>
          <w:sz w:val="24"/>
          <w:szCs w:val="24"/>
          <w:lang w:val="en-US" w:eastAsia="zh-CN"/>
        </w:rPr>
        <w:t xml:space="preserve"> xiaozemin02@163.com</w:t>
      </w:r>
    </w:p>
    <w:p w14:paraId="3BB6E787">
      <w:pPr>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 xml:space="preserve">                      Kelan Zhang  </w:t>
      </w:r>
      <w:r>
        <w:rPr>
          <w:rFonts w:hint="default" w:ascii="Times New Roman" w:hAnsi="Times New Roman" w:eastAsia="宋体" w:cs="Times New Roman"/>
          <w:b w:val="0"/>
          <w:bCs w:val="0"/>
          <w:color w:val="auto"/>
          <w:sz w:val="24"/>
          <w:szCs w:val="24"/>
          <w:lang w:val="en-US" w:eastAsia="zh-CN"/>
        </w:rPr>
        <w:fldChar w:fldCharType="begin"/>
      </w:r>
      <w:r>
        <w:rPr>
          <w:rFonts w:hint="default" w:ascii="Times New Roman" w:hAnsi="Times New Roman" w:eastAsia="宋体" w:cs="Times New Roman"/>
          <w:b w:val="0"/>
          <w:bCs w:val="0"/>
          <w:color w:val="auto"/>
          <w:sz w:val="24"/>
          <w:szCs w:val="24"/>
          <w:lang w:val="en-US" w:eastAsia="zh-CN"/>
        </w:rPr>
        <w:instrText xml:space="preserve"> HYPERLINK "mailto:zsurgeon@163.com" </w:instrText>
      </w:r>
      <w:r>
        <w:rPr>
          <w:rFonts w:hint="default" w:ascii="Times New Roman" w:hAnsi="Times New Roman" w:eastAsia="宋体" w:cs="Times New Roman"/>
          <w:b w:val="0"/>
          <w:bCs w:val="0"/>
          <w:color w:val="auto"/>
          <w:sz w:val="24"/>
          <w:szCs w:val="24"/>
          <w:lang w:val="en-US" w:eastAsia="zh-CN"/>
        </w:rPr>
        <w:fldChar w:fldCharType="separate"/>
      </w:r>
      <w:r>
        <w:rPr>
          <w:rFonts w:hint="default" w:ascii="Times New Roman" w:hAnsi="Times New Roman" w:eastAsia="宋体" w:cs="Times New Roman"/>
          <w:b w:val="0"/>
          <w:bCs w:val="0"/>
          <w:color w:val="auto"/>
          <w:sz w:val="24"/>
          <w:szCs w:val="24"/>
          <w:lang w:val="en-US" w:eastAsia="zh-CN"/>
        </w:rPr>
        <w:t>zsurgeon@163.com</w:t>
      </w:r>
      <w:r>
        <w:rPr>
          <w:rFonts w:hint="default" w:ascii="Times New Roman" w:hAnsi="Times New Roman" w:eastAsia="宋体" w:cs="Times New Roman"/>
          <w:b w:val="0"/>
          <w:bCs w:val="0"/>
          <w:color w:val="auto"/>
          <w:sz w:val="24"/>
          <w:szCs w:val="24"/>
          <w:lang w:val="en-US" w:eastAsia="zh-CN"/>
        </w:rPr>
        <w:fldChar w:fldCharType="end"/>
      </w:r>
    </w:p>
    <w:p w14:paraId="44A3FC1F">
      <w:pPr>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Yuting Yang</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lang w:val="en-US" w:eastAsia="zh-CN"/>
        </w:rPr>
        <w:t>Haojie Yang and</w:t>
      </w:r>
      <w:r>
        <w:rPr>
          <w:rFonts w:hint="eastAsia" w:ascii="Times New Roman" w:hAnsi="Times New Roman" w:eastAsia="宋体" w:cs="Times New Roman"/>
          <w:b w:val="0"/>
          <w:bCs w:val="0"/>
          <w:color w:val="auto"/>
          <w:sz w:val="24"/>
          <w:szCs w:val="24"/>
          <w:lang w:val="en-US" w:eastAsia="zh-CN"/>
        </w:rPr>
        <w:t xml:space="preserve"> Yangfeng Du </w:t>
      </w:r>
      <w:r>
        <w:rPr>
          <w:rFonts w:hint="default" w:ascii="Times New Roman" w:hAnsi="Times New Roman" w:eastAsia="宋体" w:cs="Times New Roman"/>
          <w:b w:val="0"/>
          <w:bCs w:val="0"/>
          <w:color w:val="auto"/>
          <w:sz w:val="24"/>
          <w:szCs w:val="24"/>
          <w:lang w:val="en-US" w:eastAsia="zh-CN"/>
        </w:rPr>
        <w:t>have contributed equally to this work.</w:t>
      </w:r>
    </w:p>
    <w:p w14:paraId="6470096D">
      <w:pPr>
        <w:rPr>
          <w:rFonts w:hint="default" w:ascii="Times New Roman" w:hAnsi="Times New Roman" w:eastAsia="宋体" w:cs="Times New Roman"/>
          <w:b w:val="0"/>
          <w:bCs w:val="0"/>
          <w:color w:val="auto"/>
          <w:sz w:val="24"/>
          <w:szCs w:val="24"/>
          <w:lang w:val="en-US" w:eastAsia="zh-CN"/>
        </w:rPr>
      </w:pPr>
    </w:p>
    <w:p w14:paraId="2E506048">
      <w:pPr>
        <w:rPr>
          <w:rFonts w:hint="default" w:ascii="Times New Roman" w:hAnsi="Times New Roman" w:eastAsia="宋体" w:cs="Times New Roman"/>
          <w:b w:val="0"/>
          <w:bCs w:val="0"/>
          <w:color w:val="auto"/>
          <w:sz w:val="24"/>
          <w:szCs w:val="24"/>
          <w:lang w:val="en-US" w:eastAsia="zh-CN"/>
        </w:rPr>
      </w:pPr>
    </w:p>
    <w:p w14:paraId="1BA0AEA2">
      <w:pPr>
        <w:rPr>
          <w:rFonts w:hint="default" w:ascii="Times New Roman" w:hAnsi="Times New Roman" w:eastAsia="宋体" w:cs="Times New Roman"/>
          <w:b/>
          <w:bCs/>
          <w:color w:val="auto"/>
          <w:sz w:val="24"/>
          <w:szCs w:val="24"/>
        </w:rPr>
      </w:pPr>
    </w:p>
    <w:p w14:paraId="4B4C84E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bCs/>
          <w:color w:val="auto"/>
          <w:sz w:val="24"/>
          <w:szCs w:val="24"/>
          <w:lang w:val="en-US" w:eastAsia="zh-CN"/>
        </w:rPr>
        <w:t>Background:</w:t>
      </w:r>
      <w:r>
        <w:rPr>
          <w:rFonts w:hint="default" w:ascii="Times New Roman" w:hAnsi="Times New Roman" w:eastAsia="宋体" w:cs="Times New Roman"/>
          <w:b w:val="0"/>
          <w:bCs w:val="0"/>
          <w:color w:val="auto"/>
          <w:sz w:val="24"/>
          <w:szCs w:val="24"/>
        </w:rPr>
        <w:t xml:space="preserve"> Accurate prognostic assessment remains challenging in patients with hepatocellular carcinoma (HCC). Although the fibrosis-4</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rPr>
        <w:t>FIB-4</w:t>
      </w:r>
      <w:r>
        <w:rPr>
          <w:rFonts w:hint="eastAsia" w:ascii="Times New Roman" w:hAnsi="Times New Roman" w:eastAsia="宋体"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rPr>
        <w:t xml:space="preserve"> index is widely used for non-invasive evaluation of liver fibrosis, its prognostic value in HCC remains uncertain. This study evaluates the prognostic utility of the FIB-4 index, </w:t>
      </w:r>
      <w:r>
        <w:rPr>
          <w:rFonts w:hint="eastAsia" w:ascii="Times New Roman" w:hAnsi="Times New Roman" w:eastAsia="宋体" w:cs="Times New Roman"/>
          <w:b w:val="0"/>
          <w:bCs w:val="0"/>
          <w:color w:val="auto"/>
          <w:sz w:val="24"/>
          <w:szCs w:val="24"/>
          <w:lang w:val="en-US" w:eastAsia="zh-CN"/>
        </w:rPr>
        <w:t>a</w:t>
      </w:r>
      <w:r>
        <w:rPr>
          <w:rFonts w:hint="default" w:ascii="Times New Roman" w:hAnsi="Times New Roman" w:eastAsia="宋体" w:cs="Times New Roman"/>
          <w:b w:val="0"/>
          <w:bCs w:val="0"/>
          <w:color w:val="auto"/>
          <w:sz w:val="24"/>
          <w:szCs w:val="24"/>
        </w:rPr>
        <w:t>lpha-fetoprotein</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rPr>
        <w:t>AFP</w:t>
      </w:r>
      <w:r>
        <w:rPr>
          <w:rFonts w:hint="eastAsia" w:ascii="Times New Roman" w:hAnsi="Times New Roman" w:eastAsia="宋体"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rPr>
        <w:t>, and the combined AFP-FIB-4 score for long-term survival in patients with HCC following hepatectomy.</w:t>
      </w:r>
    </w:p>
    <w:p w14:paraId="702F7A2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bCs/>
          <w:color w:val="auto"/>
          <w:sz w:val="24"/>
          <w:szCs w:val="24"/>
        </w:rPr>
        <w:t>Methods</w:t>
      </w:r>
      <w:r>
        <w:rPr>
          <w:rFonts w:hint="eastAsia" w:ascii="Times New Roman" w:hAnsi="Times New Roman" w:eastAsia="宋体" w:cs="Times New Roman"/>
          <w:b/>
          <w:bCs/>
          <w:color w:val="auto"/>
          <w:sz w:val="24"/>
          <w:szCs w:val="24"/>
          <w:lang w:val="en-US" w:eastAsia="zh-CN"/>
        </w:rPr>
        <w:t>:</w:t>
      </w:r>
      <w:r>
        <w:rPr>
          <w:rFonts w:hint="default" w:ascii="Times New Roman" w:hAnsi="Times New Roman" w:eastAsia="宋体" w:cs="Times New Roman"/>
          <w:b w:val="0"/>
          <w:bCs w:val="0"/>
          <w:color w:val="auto"/>
          <w:sz w:val="24"/>
          <w:szCs w:val="24"/>
        </w:rPr>
        <w:t xml:space="preserve"> A retrospective analysis was conducted on 1174 HCC patients who underwent hepatectomy at the First People’s Hospital of Changde City and Guangxi Medical University Cancer Hospital</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rPr>
        <w:t>between 2014 and 2024.</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rPr>
        <w:t>Survival analysis, Cox regression, and receiver operating characteristic (ROC) curve analysis were employed to assess the predictive performance of the FIB-4 index, AFP, and the combined AFP-FIB-4 score for long-term survival.</w:t>
      </w:r>
    </w:p>
    <w:p w14:paraId="3EB2688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bCs/>
          <w:color w:val="auto"/>
          <w:sz w:val="24"/>
          <w:szCs w:val="24"/>
        </w:rPr>
        <w:t>Results</w:t>
      </w:r>
      <w:r>
        <w:rPr>
          <w:rFonts w:hint="eastAsia" w:ascii="Times New Roman" w:hAnsi="Times New Roman" w:eastAsia="宋体" w:cs="Times New Roman"/>
          <w:b/>
          <w:bCs/>
          <w:color w:val="auto"/>
          <w:sz w:val="24"/>
          <w:szCs w:val="24"/>
          <w:lang w:val="en-US" w:eastAsia="zh-CN"/>
        </w:rPr>
        <w:t>:</w:t>
      </w:r>
      <w:r>
        <w:rPr>
          <w:rFonts w:hint="default" w:ascii="Times New Roman" w:hAnsi="Times New Roman" w:eastAsia="宋体" w:cs="Times New Roman"/>
          <w:b w:val="0"/>
          <w:bCs w:val="0"/>
          <w:color w:val="auto"/>
          <w:sz w:val="24"/>
          <w:szCs w:val="24"/>
        </w:rPr>
        <w:t xml:space="preserve"> Multivariate Cox regression analysis demonstrated that the FIB-4 index was not an independent predictor of disease-free survival (DFS) or overall survival (OS) in HCC patients. In contrast, AFP emerged as an independent risk factor for both DFS (HR=1.391, 95%CI=1.193-1.623, P&lt;0.001) and OS (HR=1.267, 95%CI= 1.080-1.486, P =0.004). Notably, the combined AFP-FIB-4 score served as a stronger independent prognostic factor for both DFS (HR=1.404, 95% CI=1.204-1.638, P&lt;0.001) and OS (HR=1.378, 95%CI=1.196-1.588, P&lt;0.001)</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rPr>
        <w:t>Subgroup analysis revealed that the FIB-4 index alone failed to significantly predict prognosis in patients with Barcelona Clinic</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rPr>
        <w:t>Liver Cancer (BCLC) stage</w:t>
      </w:r>
      <w:r>
        <w:rPr>
          <w:rFonts w:hint="default" w:ascii="Times New Roman" w:hAnsi="Times New Roman" w:eastAsia="宋体" w:cs="Times New Roman"/>
          <w:b w:val="0"/>
          <w:bCs w:val="0"/>
          <w:color w:val="auto"/>
          <w:sz w:val="24"/>
          <w:szCs w:val="24"/>
          <w:highlight w:val="none"/>
        </w:rPr>
        <w:t xml:space="preserve"> B</w:t>
      </w:r>
      <w:r>
        <w:rPr>
          <w:rFonts w:hint="eastAsia" w:ascii="Times New Roman" w:hAnsi="Times New Roman" w:eastAsia="宋体" w:cs="Times New Roman"/>
          <w:b w:val="0"/>
          <w:bCs w:val="0"/>
          <w:color w:val="auto"/>
          <w:sz w:val="24"/>
          <w:szCs w:val="24"/>
          <w:highlight w:val="none"/>
          <w:lang w:val="en-US" w:eastAsia="zh-CN"/>
        </w:rPr>
        <w:t xml:space="preserve"> or </w:t>
      </w:r>
      <w:r>
        <w:rPr>
          <w:rFonts w:hint="default" w:ascii="Times New Roman" w:hAnsi="Times New Roman" w:eastAsia="宋体" w:cs="Times New Roman"/>
          <w:b w:val="0"/>
          <w:bCs w:val="0"/>
          <w:color w:val="auto"/>
          <w:sz w:val="24"/>
          <w:szCs w:val="24"/>
          <w:highlight w:val="none"/>
        </w:rPr>
        <w:t>C (P&gt;0.05), while AFP was ineffective in distinguishing prognosis in patients with BCLC stage 0</w:t>
      </w:r>
      <w:r>
        <w:rPr>
          <w:rFonts w:hint="eastAsia" w:ascii="Times New Roman" w:hAnsi="Times New Roman" w:eastAsia="宋体" w:cs="Times New Roman"/>
          <w:b w:val="0"/>
          <w:bCs w:val="0"/>
          <w:color w:val="auto"/>
          <w:sz w:val="24"/>
          <w:szCs w:val="24"/>
          <w:highlight w:val="none"/>
          <w:lang w:val="en-US" w:eastAsia="zh-CN"/>
        </w:rPr>
        <w:t xml:space="preserve"> or </w:t>
      </w:r>
      <w:r>
        <w:rPr>
          <w:rFonts w:hint="default" w:ascii="Times New Roman" w:hAnsi="Times New Roman" w:eastAsia="宋体" w:cs="Times New Roman"/>
          <w:b w:val="0"/>
          <w:bCs w:val="0"/>
          <w:color w:val="auto"/>
          <w:sz w:val="24"/>
          <w:szCs w:val="24"/>
          <w:highlight w:val="none"/>
        </w:rPr>
        <w:t xml:space="preserve">A (P&gt;0.05). </w:t>
      </w:r>
      <w:r>
        <w:rPr>
          <w:rFonts w:hint="default" w:ascii="Times New Roman" w:hAnsi="Times New Roman" w:eastAsia="宋体" w:cs="Times New Roman"/>
          <w:b w:val="0"/>
          <w:bCs w:val="0"/>
          <w:color w:val="auto"/>
          <w:sz w:val="24"/>
          <w:szCs w:val="24"/>
        </w:rPr>
        <w:t>However, the AFP-FIB-4 score successfully stratified each BCLC stage subgroup into two groups with significantly different prognoses (all P&lt;0.05). ROC analysis demonstrated that the AFP-FIB-4 score achieved a significantly higher area under the curve (AUC 0.62</w:t>
      </w:r>
      <w:r>
        <w:rPr>
          <w:rFonts w:hint="eastAsia" w:ascii="Times New Roman" w:hAnsi="Times New Roman" w:eastAsia="宋体" w:cs="Times New Roman"/>
          <w:b w:val="0"/>
          <w:bCs w:val="0"/>
          <w:color w:val="auto"/>
          <w:sz w:val="24"/>
          <w:szCs w:val="24"/>
          <w:lang w:val="en-US" w:eastAsia="zh-CN"/>
        </w:rPr>
        <w:t>3</w:t>
      </w:r>
      <w:r>
        <w:rPr>
          <w:rFonts w:hint="default" w:ascii="Times New Roman" w:hAnsi="Times New Roman" w:eastAsia="宋体" w:cs="Times New Roman"/>
          <w:b w:val="0"/>
          <w:bCs w:val="0"/>
          <w:color w:val="auto"/>
          <w:sz w:val="24"/>
          <w:szCs w:val="24"/>
        </w:rPr>
        <w:t>) compared with AFP (AUC 0.553) and the FIB-4 index (AUC 0.565).</w:t>
      </w:r>
    </w:p>
    <w:p w14:paraId="0D3306B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bCs/>
          <w:color w:val="auto"/>
          <w:sz w:val="24"/>
          <w:szCs w:val="24"/>
        </w:rPr>
        <w:t>Conclusion</w:t>
      </w:r>
      <w:r>
        <w:rPr>
          <w:rFonts w:hint="eastAsia" w:ascii="Times New Roman" w:hAnsi="Times New Roman" w:eastAsia="宋体" w:cs="Times New Roman"/>
          <w:b/>
          <w:bCs/>
          <w:color w:val="auto"/>
          <w:sz w:val="24"/>
          <w:szCs w:val="24"/>
          <w:lang w:val="en-US" w:eastAsia="zh-CN"/>
        </w:rPr>
        <w:t>:</w:t>
      </w:r>
      <w:r>
        <w:rPr>
          <w:rFonts w:hint="default" w:ascii="Times New Roman" w:hAnsi="Times New Roman" w:eastAsia="宋体" w:cs="Times New Roman"/>
          <w:b w:val="0"/>
          <w:bCs w:val="0"/>
          <w:color w:val="auto"/>
          <w:sz w:val="24"/>
          <w:szCs w:val="24"/>
        </w:rPr>
        <w:t xml:space="preserve"> Incorporating AFP into the FIB-4 index enhances its prognostic performance. The AFP-FIB-4 score serves as a robust predictor of </w:t>
      </w:r>
      <w:r>
        <w:rPr>
          <w:rFonts w:hint="eastAsia" w:ascii="Times New Roman" w:hAnsi="Times New Roman" w:eastAsia="宋体" w:cs="Times New Roman"/>
          <w:b w:val="0"/>
          <w:bCs w:val="0"/>
          <w:color w:val="auto"/>
          <w:sz w:val="24"/>
          <w:szCs w:val="24"/>
          <w:lang w:val="en-US" w:eastAsia="zh-CN"/>
        </w:rPr>
        <w:t>DFS</w:t>
      </w:r>
      <w:r>
        <w:rPr>
          <w:rFonts w:hint="default" w:ascii="Times New Roman" w:hAnsi="Times New Roman" w:eastAsia="宋体" w:cs="Times New Roman"/>
          <w:b w:val="0"/>
          <w:bCs w:val="0"/>
          <w:color w:val="auto"/>
          <w:sz w:val="24"/>
          <w:szCs w:val="24"/>
        </w:rPr>
        <w:t xml:space="preserve"> and OS in HCC patients undergoing hepatectomy across different BCLC stages.</w:t>
      </w:r>
    </w:p>
    <w:p w14:paraId="1762B6C7">
      <w:pPr>
        <w:rPr>
          <w:rFonts w:hint="eastAsia"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rPr>
        <w:t>Keywords</w:t>
      </w:r>
      <w:r>
        <w:rPr>
          <w:rFonts w:hint="eastAsia" w:ascii="Times New Roman" w:hAnsi="Times New Roman" w:eastAsia="宋体" w:cs="Times New Roman"/>
          <w:b/>
          <w:bCs/>
          <w:color w:val="auto"/>
          <w:sz w:val="24"/>
          <w:szCs w:val="24"/>
          <w:lang w:val="en-US" w:eastAsia="zh-CN"/>
        </w:rPr>
        <w:t xml:space="preserve"> </w:t>
      </w:r>
    </w:p>
    <w:p w14:paraId="2405C6F6">
      <w:pPr>
        <w:rPr>
          <w:rFonts w:hint="eastAsia" w:ascii="Times New Roman" w:hAnsi="Times New Roman" w:eastAsia="宋体" w:cs="Times New Roman"/>
          <w:b w:val="0"/>
          <w:bCs w:val="0"/>
          <w:color w:val="auto"/>
          <w:sz w:val="24"/>
          <w:szCs w:val="24"/>
          <w:lang w:eastAsia="zh-CN"/>
        </w:rPr>
      </w:pPr>
      <w:r>
        <w:rPr>
          <w:rFonts w:hint="default" w:ascii="Times New Roman" w:hAnsi="Times New Roman" w:eastAsia="宋体" w:cs="Times New Roman"/>
          <w:b w:val="0"/>
          <w:bCs w:val="0"/>
          <w:color w:val="auto"/>
          <w:sz w:val="24"/>
          <w:szCs w:val="24"/>
        </w:rPr>
        <w:t xml:space="preserve">Hepatocellular carcinoma, FIB-4 index, </w:t>
      </w:r>
      <w:r>
        <w:rPr>
          <w:rFonts w:hint="eastAsia" w:ascii="Times New Roman" w:hAnsi="Times New Roman" w:eastAsia="宋体" w:cs="Times New Roman"/>
          <w:b w:val="0"/>
          <w:bCs w:val="0"/>
          <w:color w:val="auto"/>
          <w:sz w:val="24"/>
          <w:szCs w:val="24"/>
          <w:lang w:val="en-US" w:eastAsia="zh-CN"/>
        </w:rPr>
        <w:t>A</w:t>
      </w:r>
      <w:r>
        <w:rPr>
          <w:rFonts w:hint="default" w:ascii="Times New Roman" w:hAnsi="Times New Roman" w:eastAsia="宋体" w:cs="Times New Roman"/>
          <w:b w:val="0"/>
          <w:bCs w:val="0"/>
          <w:color w:val="auto"/>
          <w:sz w:val="24"/>
          <w:szCs w:val="24"/>
        </w:rPr>
        <w:t>lpha-fetoprotein</w:t>
      </w:r>
      <w:r>
        <w:rPr>
          <w:rFonts w:hint="eastAsia" w:ascii="Times New Roman" w:hAnsi="Times New Roman" w:eastAsia="宋体" w:cs="Times New Roman"/>
          <w:b w:val="0"/>
          <w:bCs w:val="0"/>
          <w:color w:val="auto"/>
          <w:sz w:val="24"/>
          <w:szCs w:val="24"/>
          <w:lang w:val="en-US" w:eastAsia="zh-CN"/>
        </w:rPr>
        <w:t xml:space="preserve">, AFP-FIB-4 score, </w:t>
      </w:r>
      <w:r>
        <w:rPr>
          <w:rFonts w:hint="eastAsia" w:ascii="Times New Roman" w:hAnsi="Times New Roman" w:eastAsia="宋体" w:cs="Times New Roman"/>
          <w:b w:val="0"/>
          <w:bCs w:val="0"/>
          <w:color w:val="auto"/>
          <w:sz w:val="24"/>
          <w:szCs w:val="24"/>
          <w:lang w:eastAsia="zh-CN"/>
        </w:rPr>
        <w:t>Prognosis</w:t>
      </w:r>
    </w:p>
    <w:p w14:paraId="6F9BBB70">
      <w:pPr>
        <w:rPr>
          <w:rFonts w:hint="default" w:ascii="Times New Roman" w:hAnsi="Times New Roman" w:eastAsia="宋体" w:cs="Times New Roman"/>
          <w:b w:val="0"/>
          <w:bCs w:val="0"/>
          <w:color w:val="auto"/>
          <w:sz w:val="24"/>
          <w:szCs w:val="24"/>
        </w:rPr>
      </w:pPr>
    </w:p>
    <w:p w14:paraId="7BC58EFE">
      <w:pPr>
        <w:rPr>
          <w:rFonts w:hint="default" w:ascii="Times New Roman" w:hAnsi="Times New Roman" w:eastAsia="宋体" w:cs="Times New Roman"/>
          <w:b w:val="0"/>
          <w:bCs w:val="0"/>
          <w:color w:val="auto"/>
          <w:sz w:val="24"/>
          <w:szCs w:val="24"/>
        </w:rPr>
      </w:pPr>
    </w:p>
    <w:p w14:paraId="25D10C05">
      <w:pPr>
        <w:autoSpaceDE w:val="0"/>
        <w:autoSpaceDN w:val="0"/>
        <w:adjustRightInd w:val="0"/>
        <w:spacing w:line="360" w:lineRule="auto"/>
        <w:ind w:firstLine="1"/>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bCs/>
          <w:color w:val="auto"/>
          <w:sz w:val="24"/>
          <w:szCs w:val="24"/>
        </w:rPr>
        <w:t>Introduction</w:t>
      </w:r>
    </w:p>
    <w:p w14:paraId="0D12CB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Hepatocellular carcinoma (HCC) is one of the most prevalent malignant tumors globally and is the second leading cause of cancer-related mortality, with an increasing incidence trend</w:t>
      </w:r>
      <w:r>
        <w:rPr>
          <w:rFonts w:hint="default" w:ascii="Times New Roman" w:hAnsi="Times New Roman" w:eastAsia="宋体" w:cs="Times New Roman"/>
          <w:b w:val="0"/>
          <w:bCs w:val="0"/>
          <w:color w:val="auto"/>
          <w:sz w:val="24"/>
          <w:szCs w:val="24"/>
        </w:rPr>
        <w:fldChar w:fldCharType="begin"/>
      </w:r>
      <w:r>
        <w:rPr>
          <w:rFonts w:hint="eastAsia" w:ascii="Times New Roman" w:hAnsi="Times New Roman" w:eastAsia="宋体" w:cs="Times New Roman"/>
          <w:b w:val="0"/>
          <w:bCs w:val="0"/>
          <w:color w:val="auto"/>
          <w:sz w:val="24"/>
          <w:szCs w:val="24"/>
          <w:lang w:eastAsia="zh-CN"/>
        </w:rPr>
        <w:instrText xml:space="preserve"> ADDIN NE.Ref.{4771E215-D2E6-467C-B97A-4C37AC2BB563}</w:instrText>
      </w:r>
      <w:r>
        <w:rPr>
          <w:rFonts w:hint="default" w:ascii="Times New Roman" w:hAnsi="Times New Roman" w:eastAsia="宋体" w:cs="Times New Roman"/>
          <w:b w:val="0"/>
          <w:bCs w:val="0"/>
          <w:color w:val="auto"/>
          <w:sz w:val="24"/>
          <w:szCs w:val="24"/>
        </w:rPr>
        <w:fldChar w:fldCharType="separate"/>
      </w:r>
      <w:r>
        <w:rPr>
          <w:rFonts w:hint="eastAsia" w:ascii="宋体" w:hAnsi="宋体"/>
          <w:color w:val="auto"/>
          <w:sz w:val="21"/>
          <w:szCs w:val="24"/>
        </w:rPr>
        <w:t>[1]</w:t>
      </w:r>
      <w:r>
        <w:rPr>
          <w:rFonts w:hint="default" w:ascii="Times New Roman" w:hAnsi="Times New Roman" w:eastAsia="宋体" w:cs="Times New Roman"/>
          <w:b w:val="0"/>
          <w:bCs w:val="0"/>
          <w:color w:val="auto"/>
          <w:sz w:val="24"/>
          <w:szCs w:val="24"/>
        </w:rPr>
        <w:fldChar w:fldCharType="end"/>
      </w:r>
      <w:r>
        <w:rPr>
          <w:rFonts w:hint="default" w:ascii="Times New Roman" w:hAnsi="Times New Roman" w:eastAsia="宋体" w:cs="Times New Roman"/>
          <w:b w:val="0"/>
          <w:bCs w:val="0"/>
          <w:color w:val="auto"/>
          <w:sz w:val="24"/>
          <w:szCs w:val="24"/>
        </w:rPr>
        <w:t>. Over half of new cases and mortality occur in China due to the high prevalence of hepatitis B virus (HBV) infection</w:t>
      </w:r>
      <w:r>
        <w:rPr>
          <w:rFonts w:hint="default" w:ascii="Times New Roman" w:hAnsi="Times New Roman" w:eastAsia="宋体" w:cs="Times New Roman"/>
          <w:b w:val="0"/>
          <w:bCs w:val="0"/>
          <w:color w:val="auto"/>
          <w:sz w:val="24"/>
          <w:szCs w:val="24"/>
        </w:rPr>
        <w:fldChar w:fldCharType="begin"/>
      </w:r>
      <w:r>
        <w:rPr>
          <w:rFonts w:hint="eastAsia" w:ascii="Times New Roman" w:hAnsi="Times New Roman" w:eastAsia="宋体" w:cs="Times New Roman"/>
          <w:b w:val="0"/>
          <w:bCs w:val="0"/>
          <w:color w:val="auto"/>
          <w:sz w:val="24"/>
          <w:szCs w:val="24"/>
          <w:lang w:eastAsia="zh-CN"/>
        </w:rPr>
        <w:instrText xml:space="preserve"> ADDIN NE.Ref.{99A19864-FBB7-4EA8-B447-6DE451F63DE0}</w:instrText>
      </w:r>
      <w:r>
        <w:rPr>
          <w:rFonts w:hint="default" w:ascii="Times New Roman" w:hAnsi="Times New Roman" w:eastAsia="宋体" w:cs="Times New Roman"/>
          <w:b w:val="0"/>
          <w:bCs w:val="0"/>
          <w:color w:val="auto"/>
          <w:sz w:val="24"/>
          <w:szCs w:val="24"/>
        </w:rPr>
        <w:fldChar w:fldCharType="separate"/>
      </w:r>
      <w:r>
        <w:rPr>
          <w:rFonts w:hint="eastAsia" w:ascii="宋体" w:hAnsi="宋体"/>
          <w:color w:val="auto"/>
          <w:sz w:val="21"/>
          <w:szCs w:val="24"/>
        </w:rPr>
        <w:t>[1]</w:t>
      </w:r>
      <w:r>
        <w:rPr>
          <w:rFonts w:hint="default" w:ascii="Times New Roman" w:hAnsi="Times New Roman" w:eastAsia="宋体" w:cs="Times New Roman"/>
          <w:b w:val="0"/>
          <w:bCs w:val="0"/>
          <w:color w:val="auto"/>
          <w:sz w:val="24"/>
          <w:szCs w:val="24"/>
        </w:rPr>
        <w:fldChar w:fldCharType="end"/>
      </w:r>
      <w:r>
        <w:rPr>
          <w:rFonts w:hint="default" w:ascii="Times New Roman" w:hAnsi="Times New Roman" w:eastAsia="宋体" w:cs="Times New Roman"/>
          <w:b w:val="0"/>
          <w:bCs w:val="0"/>
          <w:color w:val="auto"/>
          <w:sz w:val="24"/>
          <w:szCs w:val="24"/>
        </w:rPr>
        <w:t>. Although hepatectomy remains a potentially curative treatment for both early-stage and intermediate–advanced HCC patients</w:t>
      </w:r>
      <w:r>
        <w:rPr>
          <w:rFonts w:hint="default" w:ascii="Times New Roman" w:hAnsi="Times New Roman" w:eastAsia="宋体" w:cs="Times New Roman"/>
          <w:b w:val="0"/>
          <w:bCs w:val="0"/>
          <w:color w:val="auto"/>
          <w:sz w:val="24"/>
          <w:szCs w:val="24"/>
        </w:rPr>
        <w:fldChar w:fldCharType="begin"/>
      </w:r>
      <w:r>
        <w:rPr>
          <w:rFonts w:hint="eastAsia" w:ascii="Times New Roman" w:hAnsi="Times New Roman" w:eastAsia="宋体" w:cs="Times New Roman"/>
          <w:b w:val="0"/>
          <w:bCs w:val="0"/>
          <w:color w:val="auto"/>
          <w:sz w:val="24"/>
          <w:szCs w:val="24"/>
          <w:lang w:eastAsia="zh-CN"/>
        </w:rPr>
        <w:instrText xml:space="preserve"> ADDIN NE.Ref.{5BEDEC06-F9EE-4AA6-9098-426799B04FC8}</w:instrText>
      </w:r>
      <w:r>
        <w:rPr>
          <w:rFonts w:hint="default" w:ascii="Times New Roman" w:hAnsi="Times New Roman" w:eastAsia="宋体" w:cs="Times New Roman"/>
          <w:b w:val="0"/>
          <w:bCs w:val="0"/>
          <w:color w:val="auto"/>
          <w:sz w:val="24"/>
          <w:szCs w:val="24"/>
        </w:rPr>
        <w:fldChar w:fldCharType="separate"/>
      </w:r>
      <w:r>
        <w:rPr>
          <w:rFonts w:hint="eastAsia" w:ascii="宋体" w:hAnsi="宋体"/>
          <w:color w:val="auto"/>
          <w:sz w:val="21"/>
          <w:szCs w:val="24"/>
        </w:rPr>
        <w:t>[2, 3]</w:t>
      </w:r>
      <w:r>
        <w:rPr>
          <w:rFonts w:hint="default" w:ascii="Times New Roman" w:hAnsi="Times New Roman" w:eastAsia="宋体" w:cs="Times New Roman"/>
          <w:b w:val="0"/>
          <w:bCs w:val="0"/>
          <w:color w:val="auto"/>
          <w:sz w:val="24"/>
          <w:szCs w:val="24"/>
        </w:rPr>
        <w:fldChar w:fldCharType="end"/>
      </w:r>
      <w:r>
        <w:rPr>
          <w:rFonts w:hint="default" w:ascii="Times New Roman" w:hAnsi="Times New Roman" w:eastAsia="宋体" w:cs="Times New Roman"/>
          <w:b w:val="0"/>
          <w:bCs w:val="0"/>
          <w:color w:val="auto"/>
          <w:sz w:val="24"/>
          <w:szCs w:val="24"/>
        </w:rPr>
        <w:t>, the high postoperative recurrence rate significantly limits long-term survival</w:t>
      </w:r>
      <w:r>
        <w:rPr>
          <w:rFonts w:hint="default" w:ascii="Times New Roman" w:hAnsi="Times New Roman" w:eastAsia="宋体" w:cs="Times New Roman"/>
          <w:b w:val="0"/>
          <w:bCs w:val="0"/>
          <w:color w:val="auto"/>
          <w:sz w:val="24"/>
          <w:szCs w:val="24"/>
        </w:rPr>
        <w:fldChar w:fldCharType="begin"/>
      </w:r>
      <w:r>
        <w:rPr>
          <w:rFonts w:hint="eastAsia" w:ascii="Times New Roman" w:hAnsi="Times New Roman" w:eastAsia="宋体" w:cs="Times New Roman"/>
          <w:b w:val="0"/>
          <w:bCs w:val="0"/>
          <w:color w:val="auto"/>
          <w:sz w:val="24"/>
          <w:szCs w:val="24"/>
          <w:lang w:eastAsia="zh-CN"/>
        </w:rPr>
        <w:instrText xml:space="preserve"> ADDIN NE.Ref.{716814E6-5FD6-48B0-B7E6-45476126D462}</w:instrText>
      </w:r>
      <w:r>
        <w:rPr>
          <w:rFonts w:hint="default" w:ascii="Times New Roman" w:hAnsi="Times New Roman" w:eastAsia="宋体" w:cs="Times New Roman"/>
          <w:b w:val="0"/>
          <w:bCs w:val="0"/>
          <w:color w:val="auto"/>
          <w:sz w:val="24"/>
          <w:szCs w:val="24"/>
        </w:rPr>
        <w:fldChar w:fldCharType="separate"/>
      </w:r>
      <w:r>
        <w:rPr>
          <w:rFonts w:hint="eastAsia" w:ascii="宋体" w:hAnsi="宋体"/>
          <w:color w:val="auto"/>
          <w:sz w:val="21"/>
          <w:szCs w:val="24"/>
        </w:rPr>
        <w:t>[4]</w:t>
      </w:r>
      <w:r>
        <w:rPr>
          <w:rFonts w:hint="default" w:ascii="Times New Roman" w:hAnsi="Times New Roman" w:eastAsia="宋体" w:cs="Times New Roman"/>
          <w:b w:val="0"/>
          <w:bCs w:val="0"/>
          <w:color w:val="auto"/>
          <w:sz w:val="24"/>
          <w:szCs w:val="24"/>
        </w:rPr>
        <w:fldChar w:fldCharType="end"/>
      </w:r>
      <w:r>
        <w:rPr>
          <w:rFonts w:hint="default" w:ascii="Times New Roman" w:hAnsi="Times New Roman" w:eastAsia="宋体" w:cs="Times New Roman"/>
          <w:b w:val="0"/>
          <w:bCs w:val="0"/>
          <w:color w:val="auto"/>
          <w:sz w:val="24"/>
          <w:szCs w:val="24"/>
        </w:rPr>
        <w:t>.</w:t>
      </w:r>
    </w:p>
    <w:p w14:paraId="3FC084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The clinical course of HCC patients is frequently complicated by varying degrees of hepatic fibrosis, which profoundly influences treatment outcomes and prognosis</w:t>
      </w:r>
      <w:r>
        <w:rPr>
          <w:rFonts w:hint="default" w:ascii="Times New Roman" w:hAnsi="Times New Roman" w:eastAsia="宋体" w:cs="Times New Roman"/>
          <w:b w:val="0"/>
          <w:bCs w:val="0"/>
          <w:color w:val="auto"/>
          <w:sz w:val="24"/>
          <w:szCs w:val="24"/>
        </w:rPr>
        <w:fldChar w:fldCharType="begin"/>
      </w:r>
      <w:r>
        <w:rPr>
          <w:rFonts w:hint="eastAsia" w:ascii="Times New Roman" w:hAnsi="Times New Roman" w:eastAsia="宋体" w:cs="Times New Roman"/>
          <w:b w:val="0"/>
          <w:bCs w:val="0"/>
          <w:color w:val="auto"/>
          <w:sz w:val="24"/>
          <w:szCs w:val="24"/>
          <w:lang w:eastAsia="zh-CN"/>
        </w:rPr>
        <w:instrText xml:space="preserve"> ADDIN NE.Ref.{B6A8445B-D049-4AFA-B446-06CFF64A123E}</w:instrText>
      </w:r>
      <w:r>
        <w:rPr>
          <w:rFonts w:hint="default" w:ascii="Times New Roman" w:hAnsi="Times New Roman" w:eastAsia="宋体" w:cs="Times New Roman"/>
          <w:b w:val="0"/>
          <w:bCs w:val="0"/>
          <w:color w:val="auto"/>
          <w:sz w:val="24"/>
          <w:szCs w:val="24"/>
        </w:rPr>
        <w:fldChar w:fldCharType="separate"/>
      </w:r>
      <w:r>
        <w:rPr>
          <w:rFonts w:hint="eastAsia" w:ascii="宋体" w:hAnsi="宋体"/>
          <w:color w:val="auto"/>
          <w:sz w:val="21"/>
          <w:szCs w:val="24"/>
        </w:rPr>
        <w:t>[5]</w:t>
      </w:r>
      <w:r>
        <w:rPr>
          <w:rFonts w:hint="default" w:ascii="Times New Roman" w:hAnsi="Times New Roman" w:eastAsia="宋体" w:cs="Times New Roman"/>
          <w:b w:val="0"/>
          <w:bCs w:val="0"/>
          <w:color w:val="auto"/>
          <w:sz w:val="24"/>
          <w:szCs w:val="24"/>
        </w:rPr>
        <w:fldChar w:fldCharType="end"/>
      </w:r>
      <w:r>
        <w:rPr>
          <w:rFonts w:hint="default" w:ascii="Times New Roman" w:hAnsi="Times New Roman" w:eastAsia="宋体" w:cs="Times New Roman"/>
          <w:b w:val="0"/>
          <w:bCs w:val="0"/>
          <w:color w:val="auto"/>
          <w:sz w:val="24"/>
          <w:szCs w:val="24"/>
        </w:rPr>
        <w:t>. Advanced fibrosis or cirrhosis has been shown to markedly increase the risk of postoperative complications and reduce long-term survival</w:t>
      </w:r>
      <w:r>
        <w:rPr>
          <w:rFonts w:hint="default" w:ascii="Times New Roman" w:hAnsi="Times New Roman" w:eastAsia="宋体" w:cs="Times New Roman"/>
          <w:b w:val="0"/>
          <w:bCs w:val="0"/>
          <w:color w:val="auto"/>
          <w:sz w:val="24"/>
          <w:szCs w:val="24"/>
        </w:rPr>
        <w:fldChar w:fldCharType="begin"/>
      </w:r>
      <w:r>
        <w:rPr>
          <w:rFonts w:hint="eastAsia" w:ascii="Times New Roman" w:hAnsi="Times New Roman" w:eastAsia="宋体" w:cs="Times New Roman"/>
          <w:b w:val="0"/>
          <w:bCs w:val="0"/>
          <w:color w:val="auto"/>
          <w:sz w:val="24"/>
          <w:szCs w:val="24"/>
          <w:lang w:eastAsia="zh-CN"/>
        </w:rPr>
        <w:instrText xml:space="preserve"> ADDIN NE.Ref.{8C29B446-20FB-49A8-85F7-41D839686583}</w:instrText>
      </w:r>
      <w:r>
        <w:rPr>
          <w:rFonts w:hint="default" w:ascii="Times New Roman" w:hAnsi="Times New Roman" w:eastAsia="宋体" w:cs="Times New Roman"/>
          <w:b w:val="0"/>
          <w:bCs w:val="0"/>
          <w:color w:val="auto"/>
          <w:sz w:val="24"/>
          <w:szCs w:val="24"/>
        </w:rPr>
        <w:fldChar w:fldCharType="separate"/>
      </w:r>
      <w:r>
        <w:rPr>
          <w:rFonts w:hint="eastAsia" w:ascii="宋体" w:hAnsi="宋体"/>
          <w:color w:val="auto"/>
          <w:sz w:val="21"/>
          <w:szCs w:val="24"/>
        </w:rPr>
        <w:t>[5-8]</w:t>
      </w:r>
      <w:r>
        <w:rPr>
          <w:rFonts w:hint="default" w:ascii="Times New Roman" w:hAnsi="Times New Roman" w:eastAsia="宋体" w:cs="Times New Roman"/>
          <w:b w:val="0"/>
          <w:bCs w:val="0"/>
          <w:color w:val="auto"/>
          <w:sz w:val="24"/>
          <w:szCs w:val="24"/>
        </w:rPr>
        <w:fldChar w:fldCharType="end"/>
      </w:r>
      <w:r>
        <w:rPr>
          <w:rFonts w:hint="default" w:ascii="Times New Roman" w:hAnsi="Times New Roman" w:eastAsia="宋体" w:cs="Times New Roman"/>
          <w:b w:val="0"/>
          <w:bCs w:val="0"/>
          <w:color w:val="auto"/>
          <w:sz w:val="24"/>
          <w:szCs w:val="24"/>
        </w:rPr>
        <w:t>. Although liver biopsy remains the gold standard for assessing liver fibrosis</w:t>
      </w:r>
      <w:r>
        <w:rPr>
          <w:rFonts w:hint="default" w:ascii="Times New Roman" w:hAnsi="Times New Roman" w:eastAsia="宋体" w:cs="Times New Roman"/>
          <w:b w:val="0"/>
          <w:bCs w:val="0"/>
          <w:color w:val="auto"/>
          <w:sz w:val="24"/>
          <w:szCs w:val="24"/>
        </w:rPr>
        <w:fldChar w:fldCharType="begin"/>
      </w:r>
      <w:r>
        <w:rPr>
          <w:rFonts w:hint="eastAsia" w:ascii="Times New Roman" w:hAnsi="Times New Roman" w:eastAsia="宋体" w:cs="Times New Roman"/>
          <w:b w:val="0"/>
          <w:bCs w:val="0"/>
          <w:color w:val="auto"/>
          <w:sz w:val="24"/>
          <w:szCs w:val="24"/>
          <w:lang w:eastAsia="zh-CN"/>
        </w:rPr>
        <w:instrText xml:space="preserve"> ADDIN NE.Ref.{69AD527D-D815-49DD-85F3-EAE3B9F16F16}</w:instrText>
      </w:r>
      <w:r>
        <w:rPr>
          <w:rFonts w:hint="default" w:ascii="Times New Roman" w:hAnsi="Times New Roman" w:eastAsia="宋体" w:cs="Times New Roman"/>
          <w:b w:val="0"/>
          <w:bCs w:val="0"/>
          <w:color w:val="auto"/>
          <w:sz w:val="24"/>
          <w:szCs w:val="24"/>
        </w:rPr>
        <w:fldChar w:fldCharType="separate"/>
      </w:r>
      <w:r>
        <w:rPr>
          <w:rFonts w:hint="eastAsia" w:ascii="宋体" w:hAnsi="宋体"/>
          <w:color w:val="auto"/>
          <w:sz w:val="21"/>
          <w:szCs w:val="24"/>
        </w:rPr>
        <w:t>[9]</w:t>
      </w:r>
      <w:r>
        <w:rPr>
          <w:rFonts w:hint="default" w:ascii="Times New Roman" w:hAnsi="Times New Roman" w:eastAsia="宋体" w:cs="Times New Roman"/>
          <w:b w:val="0"/>
          <w:bCs w:val="0"/>
          <w:color w:val="auto"/>
          <w:sz w:val="24"/>
          <w:szCs w:val="24"/>
        </w:rPr>
        <w:fldChar w:fldCharType="end"/>
      </w:r>
      <w:r>
        <w:rPr>
          <w:rFonts w:hint="default" w:ascii="Times New Roman" w:hAnsi="Times New Roman" w:eastAsia="宋体" w:cs="Times New Roman"/>
          <w:b w:val="0"/>
          <w:bCs w:val="0"/>
          <w:color w:val="auto"/>
          <w:sz w:val="24"/>
          <w:szCs w:val="24"/>
        </w:rPr>
        <w:t>, its invasiveness and associated risks limit its routine use</w:t>
      </w:r>
      <w:r>
        <w:rPr>
          <w:rFonts w:hint="default" w:ascii="Times New Roman" w:hAnsi="Times New Roman" w:eastAsia="宋体" w:cs="Times New Roman"/>
          <w:b w:val="0"/>
          <w:bCs w:val="0"/>
          <w:color w:val="auto"/>
          <w:sz w:val="24"/>
          <w:szCs w:val="24"/>
        </w:rPr>
        <w:fldChar w:fldCharType="begin"/>
      </w:r>
      <w:r>
        <w:rPr>
          <w:rFonts w:hint="eastAsia" w:ascii="Times New Roman" w:hAnsi="Times New Roman" w:eastAsia="宋体" w:cs="Times New Roman"/>
          <w:b w:val="0"/>
          <w:bCs w:val="0"/>
          <w:color w:val="auto"/>
          <w:sz w:val="24"/>
          <w:szCs w:val="24"/>
          <w:lang w:eastAsia="zh-CN"/>
        </w:rPr>
        <w:instrText xml:space="preserve"> ADDIN NE.Ref.{11F4ACAB-AA6A-4373-9DD8-C01023A38FC5}</w:instrText>
      </w:r>
      <w:r>
        <w:rPr>
          <w:rFonts w:hint="default" w:ascii="Times New Roman" w:hAnsi="Times New Roman" w:eastAsia="宋体" w:cs="Times New Roman"/>
          <w:b w:val="0"/>
          <w:bCs w:val="0"/>
          <w:color w:val="auto"/>
          <w:sz w:val="24"/>
          <w:szCs w:val="24"/>
        </w:rPr>
        <w:fldChar w:fldCharType="separate"/>
      </w:r>
      <w:r>
        <w:rPr>
          <w:rFonts w:hint="eastAsia" w:ascii="宋体" w:hAnsi="宋体"/>
          <w:color w:val="auto"/>
          <w:sz w:val="21"/>
          <w:szCs w:val="24"/>
        </w:rPr>
        <w:t>[10]</w:t>
      </w:r>
      <w:r>
        <w:rPr>
          <w:rFonts w:hint="default" w:ascii="Times New Roman" w:hAnsi="Times New Roman" w:eastAsia="宋体" w:cs="Times New Roman"/>
          <w:b w:val="0"/>
          <w:bCs w:val="0"/>
          <w:color w:val="auto"/>
          <w:sz w:val="24"/>
          <w:szCs w:val="24"/>
        </w:rPr>
        <w:fldChar w:fldCharType="end"/>
      </w:r>
      <w:r>
        <w:rPr>
          <w:rFonts w:hint="default" w:ascii="Times New Roman" w:hAnsi="Times New Roman" w:eastAsia="宋体" w:cs="Times New Roman"/>
          <w:b w:val="0"/>
          <w:bCs w:val="0"/>
          <w:color w:val="auto"/>
          <w:sz w:val="24"/>
          <w:szCs w:val="24"/>
        </w:rPr>
        <w:t xml:space="preserve">. The </w:t>
      </w:r>
      <w:r>
        <w:rPr>
          <w:rFonts w:hint="eastAsia" w:ascii="Times New Roman" w:hAnsi="Times New Roman" w:eastAsia="宋体" w:cs="Times New Roman"/>
          <w:b w:val="0"/>
          <w:bCs w:val="0"/>
          <w:color w:val="auto"/>
          <w:sz w:val="24"/>
          <w:szCs w:val="24"/>
          <w:lang w:val="en-US" w:eastAsia="zh-CN"/>
        </w:rPr>
        <w:t>F</w:t>
      </w:r>
      <w:r>
        <w:rPr>
          <w:rFonts w:hint="default" w:ascii="Times New Roman" w:hAnsi="Times New Roman" w:eastAsia="宋体" w:cs="Times New Roman"/>
          <w:b w:val="0"/>
          <w:bCs w:val="0"/>
          <w:color w:val="auto"/>
          <w:sz w:val="24"/>
          <w:szCs w:val="24"/>
        </w:rPr>
        <w:t>ibrosis-4</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rPr>
        <w:t>FIB-4</w:t>
      </w:r>
      <w:r>
        <w:rPr>
          <w:rFonts w:hint="eastAsia" w:ascii="Times New Roman" w:hAnsi="Times New Roman" w:eastAsia="宋体"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rPr>
        <w:t xml:space="preserve"> index, a practical, cost-effective, and non-invasive alternative, has gained attention for its strong clinical utility across various liver diseases</w:t>
      </w:r>
      <w:r>
        <w:rPr>
          <w:rFonts w:hint="default" w:ascii="Times New Roman" w:hAnsi="Times New Roman" w:eastAsia="宋体" w:cs="Times New Roman"/>
          <w:b w:val="0"/>
          <w:bCs w:val="0"/>
          <w:color w:val="auto"/>
          <w:sz w:val="24"/>
          <w:szCs w:val="24"/>
        </w:rPr>
        <w:fldChar w:fldCharType="begin"/>
      </w:r>
      <w:r>
        <w:rPr>
          <w:rFonts w:hint="eastAsia" w:ascii="Times New Roman" w:hAnsi="Times New Roman" w:eastAsia="宋体" w:cs="Times New Roman"/>
          <w:b w:val="0"/>
          <w:bCs w:val="0"/>
          <w:color w:val="auto"/>
          <w:sz w:val="24"/>
          <w:szCs w:val="24"/>
          <w:lang w:eastAsia="zh-CN"/>
        </w:rPr>
        <w:instrText xml:space="preserve"> ADDIN NE.Ref.{621D6997-E693-4DF5-8F91-E3D997B1F212}</w:instrText>
      </w:r>
      <w:r>
        <w:rPr>
          <w:rFonts w:hint="default" w:ascii="Times New Roman" w:hAnsi="Times New Roman" w:eastAsia="宋体" w:cs="Times New Roman"/>
          <w:b w:val="0"/>
          <w:bCs w:val="0"/>
          <w:color w:val="auto"/>
          <w:sz w:val="24"/>
          <w:szCs w:val="24"/>
        </w:rPr>
        <w:fldChar w:fldCharType="separate"/>
      </w:r>
      <w:r>
        <w:rPr>
          <w:rFonts w:hint="eastAsia" w:ascii="宋体" w:hAnsi="宋体"/>
          <w:color w:val="auto"/>
          <w:sz w:val="21"/>
          <w:szCs w:val="24"/>
        </w:rPr>
        <w:t>[11, 12]</w:t>
      </w:r>
      <w:r>
        <w:rPr>
          <w:rFonts w:hint="default" w:ascii="Times New Roman" w:hAnsi="Times New Roman" w:eastAsia="宋体" w:cs="Times New Roman"/>
          <w:b w:val="0"/>
          <w:bCs w:val="0"/>
          <w:color w:val="auto"/>
          <w:sz w:val="24"/>
          <w:szCs w:val="24"/>
        </w:rPr>
        <w:fldChar w:fldCharType="end"/>
      </w:r>
      <w:r>
        <w:rPr>
          <w:rFonts w:hint="default" w:ascii="Times New Roman" w:hAnsi="Times New Roman" w:eastAsia="宋体" w:cs="Times New Roman"/>
          <w:b w:val="0"/>
          <w:bCs w:val="0"/>
          <w:color w:val="auto"/>
          <w:sz w:val="24"/>
          <w:szCs w:val="24"/>
        </w:rPr>
        <w:t>. This index integrates age, platelet count, aspartate aminotransferase (AST), and alanine aminotransferase (ALT) to estimate fibrosis severity</w:t>
      </w:r>
      <w:r>
        <w:rPr>
          <w:rFonts w:hint="default" w:ascii="Times New Roman" w:hAnsi="Times New Roman" w:eastAsia="宋体" w:cs="Times New Roman"/>
          <w:b w:val="0"/>
          <w:bCs w:val="0"/>
          <w:color w:val="auto"/>
          <w:sz w:val="24"/>
          <w:szCs w:val="24"/>
        </w:rPr>
        <w:fldChar w:fldCharType="begin"/>
      </w:r>
      <w:r>
        <w:rPr>
          <w:rFonts w:hint="eastAsia" w:ascii="Times New Roman" w:hAnsi="Times New Roman" w:eastAsia="宋体" w:cs="Times New Roman"/>
          <w:b w:val="0"/>
          <w:bCs w:val="0"/>
          <w:color w:val="auto"/>
          <w:sz w:val="24"/>
          <w:szCs w:val="24"/>
          <w:lang w:eastAsia="zh-CN"/>
        </w:rPr>
        <w:instrText xml:space="preserve"> ADDIN NE.Ref.{E406F433-6F52-4734-BF77-EEF7C7DB8A04}</w:instrText>
      </w:r>
      <w:r>
        <w:rPr>
          <w:rFonts w:hint="default" w:ascii="Times New Roman" w:hAnsi="Times New Roman" w:eastAsia="宋体" w:cs="Times New Roman"/>
          <w:b w:val="0"/>
          <w:bCs w:val="0"/>
          <w:color w:val="auto"/>
          <w:sz w:val="24"/>
          <w:szCs w:val="24"/>
        </w:rPr>
        <w:fldChar w:fldCharType="separate"/>
      </w:r>
      <w:r>
        <w:rPr>
          <w:rFonts w:hint="eastAsia" w:ascii="宋体" w:hAnsi="宋体"/>
          <w:color w:val="auto"/>
          <w:sz w:val="21"/>
          <w:szCs w:val="24"/>
        </w:rPr>
        <w:t>[11, 13, 14]</w:t>
      </w:r>
      <w:r>
        <w:rPr>
          <w:rFonts w:hint="default" w:ascii="Times New Roman" w:hAnsi="Times New Roman" w:eastAsia="宋体" w:cs="Times New Roman"/>
          <w:b w:val="0"/>
          <w:bCs w:val="0"/>
          <w:color w:val="auto"/>
          <w:sz w:val="24"/>
          <w:szCs w:val="24"/>
        </w:rPr>
        <w:fldChar w:fldCharType="end"/>
      </w:r>
      <w:r>
        <w:rPr>
          <w:rFonts w:hint="default" w:ascii="Times New Roman" w:hAnsi="Times New Roman" w:eastAsia="宋体" w:cs="Times New Roman"/>
          <w:b w:val="0"/>
          <w:bCs w:val="0"/>
          <w:color w:val="auto"/>
          <w:sz w:val="24"/>
          <w:szCs w:val="24"/>
        </w:rPr>
        <w:t>. While some studies have demonstrated the potential value of the FIB-4 index in predicting post-hepatectomy outcomes in patients with HCC</w:t>
      </w:r>
      <w:r>
        <w:rPr>
          <w:rFonts w:hint="default" w:ascii="宋体" w:hAnsi="宋体"/>
          <w:color w:val="auto"/>
          <w:sz w:val="21"/>
          <w:szCs w:val="24"/>
        </w:rPr>
        <w:fldChar w:fldCharType="begin"/>
      </w:r>
      <w:r>
        <w:rPr>
          <w:rFonts w:hint="eastAsia" w:ascii="宋体" w:hAnsi="宋体"/>
          <w:color w:val="auto"/>
          <w:sz w:val="21"/>
          <w:szCs w:val="24"/>
          <w:lang w:eastAsia="zh-CN"/>
        </w:rPr>
        <w:instrText xml:space="preserve"> ADDIN NE.Ref.{716230D1-6F03-43B2-991A-FC48EDF6461A}</w:instrText>
      </w:r>
      <w:r>
        <w:rPr>
          <w:rFonts w:hint="default" w:ascii="宋体" w:hAnsi="宋体"/>
          <w:color w:val="auto"/>
          <w:sz w:val="21"/>
          <w:szCs w:val="24"/>
        </w:rPr>
        <w:fldChar w:fldCharType="separate"/>
      </w:r>
      <w:r>
        <w:rPr>
          <w:rFonts w:hint="eastAsia" w:ascii="宋体" w:hAnsi="宋体"/>
          <w:color w:val="auto"/>
          <w:sz w:val="21"/>
          <w:szCs w:val="24"/>
        </w:rPr>
        <w:t>[15, 16]</w:t>
      </w:r>
      <w:r>
        <w:rPr>
          <w:rFonts w:hint="default" w:ascii="宋体" w:hAnsi="宋体"/>
          <w:color w:val="auto"/>
          <w:sz w:val="21"/>
          <w:szCs w:val="24"/>
        </w:rPr>
        <w:fldChar w:fldCharType="end"/>
      </w:r>
      <w:r>
        <w:rPr>
          <w:rFonts w:hint="default" w:ascii="宋体" w:hAnsi="宋体"/>
          <w:color w:val="auto"/>
          <w:sz w:val="21"/>
          <w:szCs w:val="24"/>
        </w:rPr>
        <w:t>,</w:t>
      </w:r>
      <w:r>
        <w:rPr>
          <w:rFonts w:hint="default" w:ascii="Times New Roman" w:hAnsi="Times New Roman" w:eastAsia="宋体" w:cs="Times New Roman"/>
          <w:b w:val="0"/>
          <w:bCs w:val="0"/>
          <w:color w:val="auto"/>
          <w:sz w:val="24"/>
          <w:szCs w:val="24"/>
        </w:rPr>
        <w:t>conflicting evidence suggests that this single marker may exhibit limited sensitivity for accurately predicting long-term survival</w:t>
      </w:r>
      <w:r>
        <w:rPr>
          <w:rFonts w:hint="default" w:ascii="Times New Roman" w:hAnsi="Times New Roman" w:eastAsia="宋体" w:cs="Times New Roman"/>
          <w:b w:val="0"/>
          <w:bCs w:val="0"/>
          <w:color w:val="auto"/>
          <w:sz w:val="24"/>
          <w:szCs w:val="24"/>
        </w:rPr>
        <w:fldChar w:fldCharType="begin"/>
      </w:r>
      <w:r>
        <w:rPr>
          <w:rFonts w:hint="eastAsia" w:ascii="Times New Roman" w:hAnsi="Times New Roman" w:eastAsia="宋体" w:cs="Times New Roman"/>
          <w:b w:val="0"/>
          <w:bCs w:val="0"/>
          <w:color w:val="auto"/>
          <w:sz w:val="24"/>
          <w:szCs w:val="24"/>
          <w:lang w:eastAsia="zh-CN"/>
        </w:rPr>
        <w:instrText xml:space="preserve"> ADDIN NE.Ref.{E22CC6F9-6161-4EEC-9A2B-5F8C5D3AFEB4}</w:instrText>
      </w:r>
      <w:r>
        <w:rPr>
          <w:rFonts w:hint="default" w:ascii="Times New Roman" w:hAnsi="Times New Roman" w:eastAsia="宋体" w:cs="Times New Roman"/>
          <w:b w:val="0"/>
          <w:bCs w:val="0"/>
          <w:color w:val="auto"/>
          <w:sz w:val="24"/>
          <w:szCs w:val="24"/>
        </w:rPr>
        <w:fldChar w:fldCharType="separate"/>
      </w:r>
      <w:r>
        <w:rPr>
          <w:rFonts w:hint="eastAsia" w:ascii="宋体" w:hAnsi="宋体"/>
          <w:color w:val="auto"/>
          <w:sz w:val="21"/>
          <w:szCs w:val="24"/>
        </w:rPr>
        <w:t>[13, 17]</w:t>
      </w:r>
      <w:r>
        <w:rPr>
          <w:rFonts w:hint="default" w:ascii="Times New Roman" w:hAnsi="Times New Roman" w:eastAsia="宋体" w:cs="Times New Roman"/>
          <w:b w:val="0"/>
          <w:bCs w:val="0"/>
          <w:color w:val="auto"/>
          <w:sz w:val="24"/>
          <w:szCs w:val="24"/>
        </w:rPr>
        <w:fldChar w:fldCharType="end"/>
      </w:r>
      <w:r>
        <w:rPr>
          <w:rFonts w:hint="default" w:ascii="Times New Roman" w:hAnsi="Times New Roman" w:eastAsia="宋体" w:cs="Times New Roman"/>
          <w:b w:val="0"/>
          <w:bCs w:val="0"/>
          <w:color w:val="auto"/>
          <w:sz w:val="24"/>
          <w:szCs w:val="24"/>
        </w:rPr>
        <w:t>.</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lang w:val="en-US" w:eastAsia="zh-CN"/>
        </w:rPr>
        <w:t>These contradictory findings may be attributed to the multifactorial nature of HCC prognosis, which depends not only on liver function status but also on tumor biological behavior</w:t>
      </w:r>
      <w:r>
        <w:rPr>
          <w:rFonts w:hint="default" w:ascii="Times New Roman" w:hAnsi="Times New Roman" w:eastAsia="宋体" w:cs="Times New Roman"/>
          <w:b w:val="0"/>
          <w:bCs w:val="0"/>
          <w:color w:val="auto"/>
          <w:sz w:val="24"/>
          <w:szCs w:val="24"/>
        </w:rPr>
        <w:t>.</w:t>
      </w:r>
    </w:p>
    <w:p w14:paraId="572C54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Given this complexity, while the FIB-4 index provides valuable assessment of liver fibrosis and correlates well with hepatic function</w:t>
      </w:r>
      <w:r>
        <w:rPr>
          <w:rFonts w:hint="default" w:ascii="Times New Roman" w:hAnsi="Times New Roman" w:eastAsia="宋体" w:cs="Times New Roman"/>
          <w:b w:val="0"/>
          <w:bCs w:val="0"/>
          <w:color w:val="auto"/>
          <w:sz w:val="24"/>
          <w:szCs w:val="24"/>
          <w:lang w:val="en-US" w:eastAsia="zh-CN"/>
        </w:rPr>
        <w:fldChar w:fldCharType="begin"/>
      </w:r>
      <w:r>
        <w:rPr>
          <w:rFonts w:hint="eastAsia" w:ascii="Times New Roman" w:hAnsi="Times New Roman" w:eastAsia="宋体" w:cs="Times New Roman"/>
          <w:b w:val="0"/>
          <w:bCs w:val="0"/>
          <w:color w:val="auto"/>
          <w:sz w:val="24"/>
          <w:szCs w:val="24"/>
          <w:lang w:val="en-US" w:eastAsia="zh-CN"/>
        </w:rPr>
        <w:instrText xml:space="preserve"> ADDIN NE.Ref.{6B2191A0-20C6-4541-8F65-AFE1B5AC9BB8}</w:instrText>
      </w:r>
      <w:r>
        <w:rPr>
          <w:rFonts w:hint="default" w:ascii="Times New Roman" w:hAnsi="Times New Roman" w:eastAsia="宋体" w:cs="Times New Roman"/>
          <w:b w:val="0"/>
          <w:bCs w:val="0"/>
          <w:color w:val="auto"/>
          <w:sz w:val="24"/>
          <w:szCs w:val="24"/>
          <w:lang w:val="en-US" w:eastAsia="zh-CN"/>
        </w:rPr>
        <w:fldChar w:fldCharType="separate"/>
      </w:r>
      <w:r>
        <w:rPr>
          <w:rFonts w:hint="eastAsia" w:ascii="宋体" w:hAnsi="宋体"/>
          <w:color w:val="auto"/>
          <w:sz w:val="21"/>
          <w:szCs w:val="24"/>
        </w:rPr>
        <w:t>[18]</w:t>
      </w:r>
      <w:r>
        <w:rPr>
          <w:rFonts w:hint="default" w:ascii="Times New Roman" w:hAnsi="Times New Roman" w:eastAsia="宋体" w:cs="Times New Roman"/>
          <w:b w:val="0"/>
          <w:bCs w:val="0"/>
          <w:color w:val="auto"/>
          <w:sz w:val="24"/>
          <w:szCs w:val="24"/>
          <w:lang w:val="en-US" w:eastAsia="zh-CN"/>
        </w:rPr>
        <w:fldChar w:fldCharType="end"/>
      </w:r>
      <w:r>
        <w:rPr>
          <w:rFonts w:hint="default" w:ascii="Times New Roman" w:hAnsi="Times New Roman" w:eastAsia="宋体" w:cs="Times New Roman"/>
          <w:b w:val="0"/>
          <w:bCs w:val="0"/>
          <w:color w:val="auto"/>
          <w:sz w:val="24"/>
          <w:szCs w:val="24"/>
        </w:rPr>
        <w:t>, it inherently lacks the capacity to capture tumor-specific biological characteristics</w:t>
      </w:r>
      <w:r>
        <w:rPr>
          <w:rFonts w:hint="default" w:ascii="Times New Roman" w:hAnsi="Times New Roman" w:eastAsia="宋体" w:cs="Times New Roman"/>
          <w:b w:val="0"/>
          <w:bCs w:val="0"/>
          <w:color w:val="auto"/>
          <w:sz w:val="24"/>
          <w:szCs w:val="24"/>
        </w:rPr>
        <w:fldChar w:fldCharType="begin"/>
      </w:r>
      <w:r>
        <w:rPr>
          <w:rFonts w:hint="eastAsia" w:ascii="Times New Roman" w:hAnsi="Times New Roman" w:eastAsia="宋体" w:cs="Times New Roman"/>
          <w:b w:val="0"/>
          <w:bCs w:val="0"/>
          <w:color w:val="auto"/>
          <w:sz w:val="24"/>
          <w:szCs w:val="24"/>
          <w:lang w:eastAsia="zh-CN"/>
        </w:rPr>
        <w:instrText xml:space="preserve"> ADDIN NE.Ref.{714B133A-EAB0-4CFB-9CA9-0FB780A9F7EB}</w:instrText>
      </w:r>
      <w:r>
        <w:rPr>
          <w:rFonts w:hint="default" w:ascii="Times New Roman" w:hAnsi="Times New Roman" w:eastAsia="宋体" w:cs="Times New Roman"/>
          <w:b w:val="0"/>
          <w:bCs w:val="0"/>
          <w:color w:val="auto"/>
          <w:sz w:val="24"/>
          <w:szCs w:val="24"/>
        </w:rPr>
        <w:fldChar w:fldCharType="separate"/>
      </w:r>
      <w:r>
        <w:rPr>
          <w:rFonts w:hint="eastAsia" w:ascii="宋体" w:hAnsi="宋体"/>
          <w:color w:val="auto"/>
          <w:sz w:val="21"/>
          <w:szCs w:val="24"/>
        </w:rPr>
        <w:t>[19]</w:t>
      </w:r>
      <w:r>
        <w:rPr>
          <w:rFonts w:hint="default" w:ascii="Times New Roman" w:hAnsi="Times New Roman" w:eastAsia="宋体" w:cs="Times New Roman"/>
          <w:b w:val="0"/>
          <w:bCs w:val="0"/>
          <w:color w:val="auto"/>
          <w:sz w:val="24"/>
          <w:szCs w:val="24"/>
        </w:rPr>
        <w:fldChar w:fldCharType="end"/>
      </w:r>
      <w:r>
        <w:rPr>
          <w:rFonts w:hint="default" w:ascii="Times New Roman" w:hAnsi="Times New Roman" w:eastAsia="宋体" w:cs="Times New Roman"/>
          <w:b w:val="0"/>
          <w:bCs w:val="0"/>
          <w:color w:val="auto"/>
          <w:sz w:val="24"/>
          <w:szCs w:val="24"/>
        </w:rPr>
        <w:t>.</w:t>
      </w:r>
      <w:r>
        <w:rPr>
          <w:rFonts w:hint="default" w:ascii="Times New Roman" w:hAnsi="Times New Roman" w:eastAsia="宋体" w:cs="Times New Roman"/>
          <w:b w:val="0"/>
          <w:bCs w:val="0"/>
          <w:color w:val="auto"/>
          <w:sz w:val="24"/>
          <w:szCs w:val="24"/>
          <w:lang w:val="en-US" w:eastAsia="zh-CN"/>
        </w:rPr>
        <w:t>This limitation suggests that comprehensive HCC prognostic evaluation may require the integration of tumor-specific biomarkers with liver function indicators to achieve more accurate risk stratification.</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lang w:val="en-US" w:eastAsia="zh-CN"/>
        </w:rPr>
        <w:t>Alpha-fetoprotein (AFP), the most widely utilized biomarker in HCC diagnosis and management, demonstrates strong associations with aggressive histological features including vascular invasion, poor differentiation, and satellite lesions, thereby serving as a critical indicator in the prognostic evaluation of HCC patients</w:t>
      </w:r>
      <w:r>
        <w:rPr>
          <w:rFonts w:hint="default" w:ascii="Times New Roman" w:hAnsi="Times New Roman" w:eastAsia="宋体" w:cs="Times New Roman"/>
          <w:b w:val="0"/>
          <w:bCs w:val="0"/>
          <w:color w:val="auto"/>
          <w:sz w:val="24"/>
          <w:szCs w:val="24"/>
          <w:lang w:val="en-US" w:eastAsia="zh-CN"/>
        </w:rPr>
        <w:fldChar w:fldCharType="begin"/>
      </w:r>
      <w:r>
        <w:rPr>
          <w:rFonts w:hint="eastAsia" w:ascii="Times New Roman" w:hAnsi="Times New Roman" w:eastAsia="宋体" w:cs="Times New Roman"/>
          <w:b w:val="0"/>
          <w:bCs w:val="0"/>
          <w:color w:val="auto"/>
          <w:sz w:val="24"/>
          <w:szCs w:val="24"/>
          <w:lang w:val="en-US" w:eastAsia="zh-CN"/>
        </w:rPr>
        <w:instrText xml:space="preserve"> ADDIN NE.Ref.{3BB1EA2A-2FA3-4E1F-B368-BC4A8EE6E146}</w:instrText>
      </w:r>
      <w:r>
        <w:rPr>
          <w:rFonts w:hint="default" w:ascii="Times New Roman" w:hAnsi="Times New Roman" w:eastAsia="宋体" w:cs="Times New Roman"/>
          <w:b w:val="0"/>
          <w:bCs w:val="0"/>
          <w:color w:val="auto"/>
          <w:sz w:val="24"/>
          <w:szCs w:val="24"/>
          <w:lang w:val="en-US" w:eastAsia="zh-CN"/>
        </w:rPr>
        <w:fldChar w:fldCharType="separate"/>
      </w:r>
      <w:r>
        <w:rPr>
          <w:rFonts w:hint="eastAsia" w:ascii="宋体" w:hAnsi="宋体"/>
          <w:color w:val="auto"/>
          <w:sz w:val="21"/>
          <w:szCs w:val="24"/>
        </w:rPr>
        <w:t>[20, 21]</w:t>
      </w:r>
      <w:r>
        <w:rPr>
          <w:rFonts w:hint="default" w:ascii="Times New Roman" w:hAnsi="Times New Roman" w:eastAsia="宋体" w:cs="Times New Roman"/>
          <w:b w:val="0"/>
          <w:bCs w:val="0"/>
          <w:color w:val="auto"/>
          <w:sz w:val="24"/>
          <w:szCs w:val="24"/>
          <w:lang w:val="en-US" w:eastAsia="zh-CN"/>
        </w:rPr>
        <w:fldChar w:fldCharType="end"/>
      </w:r>
      <w:r>
        <w:rPr>
          <w:rFonts w:hint="default" w:ascii="Times New Roman" w:hAnsi="Times New Roman" w:eastAsia="宋体" w:cs="Times New Roman"/>
          <w:b w:val="0"/>
          <w:bCs w:val="0"/>
          <w:color w:val="auto"/>
          <w:sz w:val="24"/>
          <w:szCs w:val="24"/>
        </w:rPr>
        <w:t xml:space="preserve">. </w:t>
      </w:r>
    </w:p>
    <w:p w14:paraId="0E5F32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Notably, while FIB-4 captures the liver fibrosis and AFP reflects tumor aggressiveness, the potential synergistic prognostic value of combining these complementary biomarkers has not been systematically investigated. Therefore, this study was designed to address this critical knowledge gap by investigating whether the integration of these complementary biomarkers can provide superior prognostic stratification compared to either marker alone.</w:t>
      </w:r>
    </w:p>
    <w:p w14:paraId="3B40672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szCs w:val="24"/>
        </w:rPr>
      </w:pPr>
    </w:p>
    <w:p w14:paraId="34333FC2">
      <w:pP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Materials and methods</w:t>
      </w:r>
    </w:p>
    <w:p w14:paraId="21F0EE08">
      <w:pPr>
        <w:ind w:firstLine="482" w:firstLineChars="200"/>
        <w:rPr>
          <w:rFonts w:hint="default" w:ascii="Times New Roman" w:hAnsi="Times New Roman" w:eastAsia="宋体" w:cs="Times New Roman"/>
          <w:b/>
          <w:bCs/>
          <w:color w:val="auto"/>
          <w:sz w:val="24"/>
          <w:szCs w:val="24"/>
        </w:rPr>
      </w:pPr>
    </w:p>
    <w:p w14:paraId="7672968C">
      <w:pP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bCs/>
          <w:color w:val="auto"/>
          <w:sz w:val="24"/>
          <w:szCs w:val="24"/>
        </w:rPr>
        <w:t xml:space="preserve">Study </w:t>
      </w:r>
      <w:r>
        <w:rPr>
          <w:rFonts w:hint="eastAsia" w:ascii="Times New Roman" w:hAnsi="Times New Roman" w:eastAsia="宋体" w:cs="Times New Roman"/>
          <w:b/>
          <w:bCs/>
          <w:color w:val="auto"/>
          <w:sz w:val="24"/>
          <w:szCs w:val="24"/>
          <w:lang w:val="en-US" w:eastAsia="zh-CN"/>
        </w:rPr>
        <w:t>d</w:t>
      </w:r>
      <w:r>
        <w:rPr>
          <w:rFonts w:hint="default" w:ascii="Times New Roman" w:hAnsi="Times New Roman" w:eastAsia="宋体" w:cs="Times New Roman"/>
          <w:b/>
          <w:bCs/>
          <w:color w:val="auto"/>
          <w:sz w:val="24"/>
          <w:szCs w:val="24"/>
        </w:rPr>
        <w:t xml:space="preserve">esign and </w:t>
      </w:r>
      <w:r>
        <w:rPr>
          <w:rFonts w:hint="eastAsia" w:ascii="Times New Roman" w:hAnsi="Times New Roman" w:eastAsia="宋体" w:cs="Times New Roman"/>
          <w:b/>
          <w:bCs/>
          <w:color w:val="auto"/>
          <w:sz w:val="24"/>
          <w:szCs w:val="24"/>
          <w:lang w:val="en-US" w:eastAsia="zh-CN"/>
        </w:rPr>
        <w:t>p</w:t>
      </w:r>
      <w:r>
        <w:rPr>
          <w:rFonts w:hint="default" w:ascii="Times New Roman" w:hAnsi="Times New Roman" w:eastAsia="宋体" w:cs="Times New Roman"/>
          <w:b/>
          <w:bCs/>
          <w:color w:val="auto"/>
          <w:sz w:val="24"/>
          <w:szCs w:val="24"/>
        </w:rPr>
        <w:t xml:space="preserve">atient </w:t>
      </w:r>
      <w:r>
        <w:rPr>
          <w:rFonts w:hint="eastAsia" w:ascii="Times New Roman" w:hAnsi="Times New Roman" w:eastAsia="宋体" w:cs="Times New Roman"/>
          <w:b/>
          <w:bCs/>
          <w:color w:val="auto"/>
          <w:sz w:val="24"/>
          <w:szCs w:val="24"/>
          <w:lang w:val="en-US" w:eastAsia="zh-CN"/>
        </w:rPr>
        <w:t>s</w:t>
      </w:r>
      <w:r>
        <w:rPr>
          <w:rFonts w:hint="default" w:ascii="Times New Roman" w:hAnsi="Times New Roman" w:eastAsia="宋体" w:cs="Times New Roman"/>
          <w:b/>
          <w:bCs/>
          <w:color w:val="auto"/>
          <w:sz w:val="24"/>
          <w:szCs w:val="24"/>
        </w:rPr>
        <w:t>election</w:t>
      </w:r>
    </w:p>
    <w:p w14:paraId="6D733E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Between May 20</w:t>
      </w:r>
      <w:r>
        <w:rPr>
          <w:rFonts w:hint="eastAsia" w:ascii="Times New Roman" w:hAnsi="Times New Roman" w:eastAsia="宋体" w:cs="Times New Roman"/>
          <w:b w:val="0"/>
          <w:bCs w:val="0"/>
          <w:color w:val="auto"/>
          <w:sz w:val="24"/>
          <w:szCs w:val="24"/>
          <w:lang w:val="en-US" w:eastAsia="zh-CN"/>
        </w:rPr>
        <w:t>14</w:t>
      </w:r>
      <w:r>
        <w:rPr>
          <w:rFonts w:hint="default" w:ascii="Times New Roman" w:hAnsi="Times New Roman" w:eastAsia="宋体" w:cs="Times New Roman"/>
          <w:b w:val="0"/>
          <w:bCs w:val="0"/>
          <w:color w:val="auto"/>
          <w:sz w:val="24"/>
          <w:szCs w:val="24"/>
        </w:rPr>
        <w:t xml:space="preserve"> and May 20</w:t>
      </w:r>
      <w:r>
        <w:rPr>
          <w:rFonts w:hint="eastAsia" w:ascii="Times New Roman" w:hAnsi="Times New Roman" w:eastAsia="宋体" w:cs="Times New Roman"/>
          <w:b w:val="0"/>
          <w:bCs w:val="0"/>
          <w:color w:val="auto"/>
          <w:sz w:val="24"/>
          <w:szCs w:val="24"/>
          <w:lang w:val="en-US" w:eastAsia="zh-CN"/>
        </w:rPr>
        <w:t>24</w:t>
      </w:r>
      <w:r>
        <w:rPr>
          <w:rFonts w:hint="default" w:ascii="Times New Roman" w:hAnsi="Times New Roman" w:eastAsia="宋体" w:cs="Times New Roman"/>
          <w:b w:val="0"/>
          <w:bCs w:val="0"/>
          <w:color w:val="auto"/>
          <w:sz w:val="24"/>
          <w:szCs w:val="24"/>
        </w:rPr>
        <w:t>, we included all patients with HCC who underwent hepatectomy</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rPr>
        <w:t>at Changde Hospital, Xiangya School of Medicine, Central South University</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rPr>
        <w:t xml:space="preserve">(The First People's Hospital of Changde City) and Guangxi Medical University Cancer Hospital in our study. Inclusion criteria were: (1) confirmed diagnosis of </w:t>
      </w:r>
      <w:r>
        <w:rPr>
          <w:rFonts w:hint="eastAsia" w:ascii="Times New Roman" w:hAnsi="Times New Roman" w:eastAsia="宋体" w:cs="Times New Roman"/>
          <w:b w:val="0"/>
          <w:bCs w:val="0"/>
          <w:color w:val="auto"/>
          <w:sz w:val="24"/>
          <w:szCs w:val="24"/>
          <w:lang w:val="en-US" w:eastAsia="zh-CN"/>
        </w:rPr>
        <w:t>HCC based on the results of postoperative pathology</w:t>
      </w:r>
      <w:r>
        <w:rPr>
          <w:rFonts w:hint="default" w:ascii="Times New Roman" w:hAnsi="Times New Roman" w:eastAsia="宋体" w:cs="Times New Roman"/>
          <w:b w:val="0"/>
          <w:bCs w:val="0"/>
          <w:color w:val="auto"/>
          <w:sz w:val="24"/>
          <w:szCs w:val="24"/>
        </w:rPr>
        <w:t>; (2) completion of curative hepatectomy; (3) availability of comprehensive preoperative clinical and laboratory data</w:t>
      </w:r>
      <w:r>
        <w:rPr>
          <w:rFonts w:hint="eastAsia" w:ascii="Times New Roman" w:hAnsi="Times New Roman" w:eastAsia="宋体" w:cs="Times New Roman"/>
          <w:b w:val="0"/>
          <w:bCs w:val="0"/>
          <w:color w:val="auto"/>
          <w:sz w:val="24"/>
          <w:szCs w:val="24"/>
          <w:lang w:val="en-US" w:eastAsia="zh-CN"/>
        </w:rPr>
        <w:t>; (4) 18 ≤age &lt;80 years</w:t>
      </w:r>
      <w:r>
        <w:rPr>
          <w:rFonts w:hint="default" w:ascii="Times New Roman" w:hAnsi="Times New Roman" w:eastAsia="宋体" w:cs="Times New Roman"/>
          <w:b w:val="0"/>
          <w:bCs w:val="0"/>
          <w:color w:val="auto"/>
          <w:sz w:val="24"/>
          <w:szCs w:val="24"/>
        </w:rPr>
        <w:t>. Exclusion criteria included: (1) previous anti-tumor treatments; (2) presence of concurrent malignancies; (3) hematologic disorders</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cs="Times New Roman"/>
          <w:color w:val="auto"/>
          <w:sz w:val="24"/>
          <w:szCs w:val="24"/>
          <w:lang w:val="en-US" w:eastAsia="zh-CN"/>
        </w:rPr>
        <w:t>including but not limited to idiopathic thrombocytopenic purpura (ITP), aplastic anemia, myelodysplastic syndromes (MDS), and various types of leukemia or lymphoma</w:t>
      </w:r>
      <w:r>
        <w:rPr>
          <w:rFonts w:hint="default" w:ascii="Times New Roman" w:hAnsi="Times New Roman" w:eastAsia="宋体" w:cs="Times New Roman"/>
          <w:b w:val="0"/>
          <w:bCs w:val="0"/>
          <w:color w:val="auto"/>
          <w:sz w:val="24"/>
          <w:szCs w:val="24"/>
        </w:rPr>
        <w:t>; (4) preoperative cardiopulmonary, cerebral, or renal dysfunction.</w:t>
      </w:r>
    </w:p>
    <w:p w14:paraId="46A6C6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szCs w:val="24"/>
        </w:rPr>
      </w:pPr>
    </w:p>
    <w:p w14:paraId="6BA6CF2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Diagnosis and definitions</w:t>
      </w:r>
    </w:p>
    <w:p w14:paraId="1AE099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rPr>
        <w:t>HCC was diagnosed through postoperative histopathological examination. Curative hepatectomy was characterized by the complete macroscopic resection of the tumor with histologically negative margins, indicating effective removal of malignant tissue</w:t>
      </w:r>
      <w:r>
        <w:rPr>
          <w:rFonts w:hint="default" w:ascii="Times New Roman" w:hAnsi="Times New Roman" w:eastAsia="宋体" w:cs="Times New Roman"/>
          <w:b w:val="0"/>
          <w:bCs w:val="0"/>
          <w:color w:val="auto"/>
          <w:sz w:val="24"/>
          <w:szCs w:val="24"/>
        </w:rPr>
        <w:fldChar w:fldCharType="begin"/>
      </w:r>
      <w:r>
        <w:rPr>
          <w:rFonts w:hint="eastAsia" w:ascii="Times New Roman" w:hAnsi="Times New Roman" w:eastAsia="宋体" w:cs="Times New Roman"/>
          <w:b w:val="0"/>
          <w:bCs w:val="0"/>
          <w:color w:val="auto"/>
          <w:sz w:val="24"/>
          <w:szCs w:val="24"/>
          <w:lang w:eastAsia="zh-CN"/>
        </w:rPr>
        <w:instrText xml:space="preserve"> ADDIN NE.Ref.{623F2636-6322-4500-98A8-FAF7F60014E8}</w:instrText>
      </w:r>
      <w:r>
        <w:rPr>
          <w:rFonts w:hint="default" w:ascii="Times New Roman" w:hAnsi="Times New Roman" w:eastAsia="宋体" w:cs="Times New Roman"/>
          <w:b w:val="0"/>
          <w:bCs w:val="0"/>
          <w:color w:val="auto"/>
          <w:sz w:val="24"/>
          <w:szCs w:val="24"/>
        </w:rPr>
        <w:fldChar w:fldCharType="separate"/>
      </w:r>
      <w:r>
        <w:rPr>
          <w:rFonts w:hint="eastAsia" w:ascii="宋体" w:hAnsi="宋体"/>
          <w:color w:val="auto"/>
          <w:sz w:val="21"/>
          <w:szCs w:val="24"/>
        </w:rPr>
        <w:t>[22]</w:t>
      </w:r>
      <w:r>
        <w:rPr>
          <w:rFonts w:hint="default" w:ascii="Times New Roman" w:hAnsi="Times New Roman" w:eastAsia="宋体" w:cs="Times New Roman"/>
          <w:b w:val="0"/>
          <w:bCs w:val="0"/>
          <w:color w:val="auto"/>
          <w:sz w:val="24"/>
          <w:szCs w:val="24"/>
        </w:rPr>
        <w:fldChar w:fldCharType="end"/>
      </w:r>
      <w:r>
        <w:rPr>
          <w:rFonts w:hint="default" w:ascii="Times New Roman" w:hAnsi="Times New Roman" w:eastAsia="宋体" w:cs="Times New Roman"/>
          <w:b w:val="0"/>
          <w:bCs w:val="0"/>
          <w:color w:val="auto"/>
          <w:sz w:val="24"/>
          <w:szCs w:val="24"/>
        </w:rPr>
        <w:t xml:space="preserve">. The FIB-4 index was calculated using the formula: FIB-4 = AST (IU/L) × </w:t>
      </w:r>
      <w:r>
        <w:rPr>
          <w:rFonts w:hint="eastAsia" w:ascii="Times New Roman" w:hAnsi="Times New Roman" w:eastAsia="宋体" w:cs="Times New Roman"/>
          <w:b w:val="0"/>
          <w:bCs w:val="0"/>
          <w:color w:val="auto"/>
          <w:sz w:val="24"/>
          <w:szCs w:val="24"/>
          <w:lang w:val="en-US" w:eastAsia="zh-CN"/>
        </w:rPr>
        <w:t>a</w:t>
      </w:r>
      <w:r>
        <w:rPr>
          <w:rFonts w:hint="default" w:ascii="Times New Roman" w:hAnsi="Times New Roman" w:eastAsia="宋体" w:cs="Times New Roman"/>
          <w:b w:val="0"/>
          <w:bCs w:val="0"/>
          <w:color w:val="auto"/>
          <w:sz w:val="24"/>
          <w:szCs w:val="24"/>
        </w:rPr>
        <w:t>ge (years) / [</w:t>
      </w:r>
      <w:r>
        <w:rPr>
          <w:rFonts w:hint="eastAsia" w:ascii="Times New Roman" w:hAnsi="Times New Roman" w:eastAsia="宋体" w:cs="Times New Roman"/>
          <w:b w:val="0"/>
          <w:bCs w:val="0"/>
          <w:color w:val="auto"/>
          <w:sz w:val="24"/>
          <w:szCs w:val="24"/>
          <w:lang w:val="en-US" w:eastAsia="zh-CN"/>
        </w:rPr>
        <w:t>p</w:t>
      </w:r>
      <w:r>
        <w:rPr>
          <w:rFonts w:hint="default" w:ascii="Times New Roman" w:hAnsi="Times New Roman" w:eastAsia="宋体" w:cs="Times New Roman"/>
          <w:b w:val="0"/>
          <w:bCs w:val="0"/>
          <w:color w:val="auto"/>
          <w:sz w:val="24"/>
          <w:szCs w:val="24"/>
        </w:rPr>
        <w:t>latelet count (×10⁹/L) × ALT (IU/L)</w:t>
      </w:r>
      <w:r>
        <w:rPr>
          <w:rFonts w:hint="default" w:ascii="Times New Roman" w:hAnsi="Times New Roman" w:eastAsia="宋体" w:cs="Times New Roman"/>
          <w:b w:val="0"/>
          <w:bCs w:val="0"/>
          <w:color w:val="auto"/>
          <w:sz w:val="24"/>
          <w:szCs w:val="24"/>
          <w:vertAlign w:val="superscript"/>
        </w:rPr>
        <w:t>1/2</w:t>
      </w:r>
      <w:r>
        <w:rPr>
          <w:rFonts w:hint="default" w:ascii="Times New Roman" w:hAnsi="Times New Roman" w:eastAsia="宋体" w:cs="Times New Roman"/>
          <w:b w:val="0"/>
          <w:bCs w:val="0"/>
          <w:color w:val="auto"/>
          <w:sz w:val="24"/>
          <w:szCs w:val="24"/>
        </w:rPr>
        <w:t>]</w:t>
      </w:r>
      <w:r>
        <w:rPr>
          <w:rFonts w:hint="default" w:ascii="Times New Roman" w:hAnsi="Times New Roman" w:eastAsia="宋体" w:cs="Times New Roman"/>
          <w:b w:val="0"/>
          <w:bCs w:val="0"/>
          <w:color w:val="auto"/>
          <w:sz w:val="24"/>
          <w:szCs w:val="24"/>
        </w:rPr>
        <w:fldChar w:fldCharType="begin"/>
      </w:r>
      <w:r>
        <w:rPr>
          <w:rFonts w:hint="eastAsia" w:ascii="Times New Roman" w:hAnsi="Times New Roman" w:eastAsia="宋体" w:cs="Times New Roman"/>
          <w:b w:val="0"/>
          <w:bCs w:val="0"/>
          <w:color w:val="auto"/>
          <w:sz w:val="24"/>
          <w:szCs w:val="24"/>
          <w:lang w:eastAsia="zh-CN"/>
        </w:rPr>
        <w:instrText xml:space="preserve"> ADDIN NE.Ref.{1106ADE2-81A1-40D5-9BFA-472FC7C895F8}</w:instrText>
      </w:r>
      <w:r>
        <w:rPr>
          <w:rFonts w:hint="default" w:ascii="Times New Roman" w:hAnsi="Times New Roman" w:eastAsia="宋体" w:cs="Times New Roman"/>
          <w:b w:val="0"/>
          <w:bCs w:val="0"/>
          <w:color w:val="auto"/>
          <w:sz w:val="24"/>
          <w:szCs w:val="24"/>
        </w:rPr>
        <w:fldChar w:fldCharType="separate"/>
      </w:r>
      <w:r>
        <w:rPr>
          <w:rFonts w:hint="eastAsia" w:ascii="宋体" w:hAnsi="宋体"/>
          <w:color w:val="auto"/>
          <w:sz w:val="21"/>
          <w:szCs w:val="24"/>
        </w:rPr>
        <w:t>[11]</w:t>
      </w:r>
      <w:r>
        <w:rPr>
          <w:rFonts w:hint="default" w:ascii="Times New Roman" w:hAnsi="Times New Roman" w:eastAsia="宋体" w:cs="Times New Roman"/>
          <w:b w:val="0"/>
          <w:bCs w:val="0"/>
          <w:color w:val="auto"/>
          <w:sz w:val="24"/>
          <w:szCs w:val="24"/>
        </w:rPr>
        <w:fldChar w:fldCharType="end"/>
      </w:r>
      <w:r>
        <w:rPr>
          <w:rFonts w:hint="default" w:ascii="Times New Roman" w:hAnsi="Times New Roman" w:eastAsia="宋体" w:cs="Times New Roman"/>
          <w:b w:val="0"/>
          <w:bCs w:val="0"/>
          <w:color w:val="auto"/>
          <w:sz w:val="24"/>
          <w:szCs w:val="24"/>
        </w:rPr>
        <w:t>.</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rPr>
        <w:t xml:space="preserve">An optimal cutoff threshold of 3.0 was </w:t>
      </w:r>
      <w:r>
        <w:rPr>
          <w:rFonts w:hint="eastAsia" w:ascii="Times New Roman" w:hAnsi="Times New Roman" w:eastAsia="宋体" w:cs="Times New Roman"/>
          <w:b w:val="0"/>
          <w:bCs w:val="0"/>
          <w:color w:val="auto"/>
          <w:sz w:val="24"/>
          <w:szCs w:val="24"/>
          <w:lang w:val="en-US" w:eastAsia="zh-CN"/>
        </w:rPr>
        <w:t xml:space="preserve">based on the maximum Youden Index derived from </w:t>
      </w:r>
      <w:r>
        <w:rPr>
          <w:rFonts w:hint="default" w:ascii="Times New Roman" w:hAnsi="Times New Roman" w:eastAsia="宋体" w:cs="Times New Roman"/>
          <w:b w:val="0"/>
          <w:bCs w:val="0"/>
          <w:color w:val="auto"/>
          <w:sz w:val="24"/>
          <w:szCs w:val="24"/>
        </w:rPr>
        <w:t>receiver operating characteristic (ROC) curve analysis</w:t>
      </w:r>
      <w:r>
        <w:rPr>
          <w:rFonts w:hint="eastAsia" w:ascii="Times New Roman" w:hAnsi="Times New Roman" w:eastAsia="宋体"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rPr>
        <w:t xml:space="preserve"> Based on this threshold, patients with FIB-4 index ≥ 3.0 were classified as having high FIB-4 scores and assigned a binary value of 1, while those with FIB-4 index &lt; 3.0 were classified as having low FIB-4 scores and assigned a binary value of 0. </w:t>
      </w:r>
      <w:r>
        <w:rPr>
          <w:rFonts w:hint="default" w:ascii="Times New Roman" w:hAnsi="Times New Roman" w:eastAsia="宋体" w:cs="Times New Roman"/>
          <w:b w:val="0"/>
          <w:bCs w:val="0"/>
          <w:color w:val="auto"/>
          <w:sz w:val="24"/>
          <w:szCs w:val="24"/>
        </w:rPr>
        <w:t>The preoperative AFP</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rPr>
        <w:t xml:space="preserve">cutoff was established at our institutional routine standard of 200 ng/mL, as </w:t>
      </w:r>
      <w:r>
        <w:rPr>
          <w:rFonts w:hint="eastAsia" w:ascii="Times New Roman" w:hAnsi="Times New Roman" w:eastAsia="宋体" w:cs="Times New Roman"/>
          <w:b w:val="0"/>
          <w:bCs w:val="0"/>
          <w:color w:val="auto"/>
          <w:sz w:val="24"/>
          <w:szCs w:val="24"/>
          <w:lang w:val="en-US" w:eastAsia="zh-CN"/>
        </w:rPr>
        <w:t>ROC</w:t>
      </w:r>
      <w:r>
        <w:rPr>
          <w:rFonts w:hint="default" w:ascii="Times New Roman" w:hAnsi="Times New Roman" w:eastAsia="宋体" w:cs="Times New Roman"/>
          <w:b w:val="0"/>
          <w:bCs w:val="0"/>
          <w:color w:val="auto"/>
          <w:sz w:val="24"/>
          <w:szCs w:val="24"/>
        </w:rPr>
        <w:t xml:space="preserve"> analyses showed no statistically significant differences</w:t>
      </w:r>
      <w:r>
        <w:rPr>
          <w:rFonts w:hint="eastAsia" w:ascii="Times New Roman" w:hAnsi="Times New Roman" w:eastAsia="宋体" w:cs="Times New Roman"/>
          <w:b w:val="0"/>
          <w:bCs w:val="0"/>
          <w:color w:val="auto"/>
          <w:sz w:val="24"/>
          <w:szCs w:val="24"/>
          <w:lang w:val="en-US" w:eastAsia="zh-CN"/>
        </w:rPr>
        <w:t xml:space="preserve"> in predictive performanc</w:t>
      </w:r>
      <w:r>
        <w:rPr>
          <w:rFonts w:hint="default" w:ascii="Times New Roman" w:hAnsi="Times New Roman" w:eastAsia="宋体" w:cs="Times New Roman"/>
          <w:b w:val="0"/>
          <w:bCs w:val="0"/>
          <w:color w:val="auto"/>
          <w:sz w:val="24"/>
          <w:szCs w:val="24"/>
        </w:rPr>
        <w:t xml:space="preserve"> among conventional thresholds (100, 200, and 400 ng/mL; DeLong test, all P &gt; 0.05; Figure </w:t>
      </w:r>
      <w:r>
        <w:rPr>
          <w:rFonts w:hint="eastAsia" w:ascii="Times New Roman" w:hAnsi="Times New Roman" w:eastAsia="宋体" w:cs="Times New Roman"/>
          <w:b w:val="0"/>
          <w:bCs w:val="0"/>
          <w:color w:val="auto"/>
          <w:sz w:val="24"/>
          <w:szCs w:val="24"/>
          <w:lang w:val="en-US" w:eastAsia="zh-CN"/>
        </w:rPr>
        <w:t>5</w:t>
      </w:r>
      <w:r>
        <w:rPr>
          <w:rFonts w:hint="default" w:ascii="Times New Roman" w:hAnsi="Times New Roman" w:eastAsia="宋体" w:cs="Times New Roman"/>
          <w:b w:val="0"/>
          <w:bCs w:val="0"/>
          <w:color w:val="auto"/>
          <w:sz w:val="24"/>
          <w:szCs w:val="24"/>
        </w:rPr>
        <w:t>)</w:t>
      </w:r>
      <w:r>
        <w:rPr>
          <w:rFonts w:hint="default" w:ascii="Times New Roman" w:hAnsi="Times New Roman" w:eastAsia="宋体" w:cs="Times New Roman"/>
          <w:b w:val="0"/>
          <w:bCs w:val="0"/>
          <w:color w:val="auto"/>
          <w:sz w:val="24"/>
          <w:szCs w:val="24"/>
        </w:rPr>
        <w:t>.Patients with serum AFP levels &lt; 200 ng/mL were classified as having low AFP levels</w:t>
      </w:r>
      <w:r>
        <w:rPr>
          <w:rFonts w:hint="default" w:ascii="Times New Roman" w:hAnsi="Times New Roman" w:eastAsia="宋体" w:cs="Times New Roman"/>
          <w:b w:val="0"/>
          <w:bCs w:val="0"/>
          <w:color w:val="auto"/>
          <w:sz w:val="24"/>
          <w:szCs w:val="24"/>
        </w:rPr>
        <w:fldChar w:fldCharType="begin"/>
      </w:r>
      <w:r>
        <w:rPr>
          <w:rFonts w:hint="eastAsia" w:ascii="Times New Roman" w:hAnsi="Times New Roman" w:eastAsia="宋体" w:cs="Times New Roman"/>
          <w:b w:val="0"/>
          <w:bCs w:val="0"/>
          <w:color w:val="auto"/>
          <w:sz w:val="24"/>
          <w:szCs w:val="24"/>
          <w:lang w:eastAsia="zh-CN"/>
        </w:rPr>
        <w:instrText xml:space="preserve"> ADDIN NE.Ref.{57CDD249-5C75-4E52-801C-A1AFDEB59DB0}</w:instrText>
      </w:r>
      <w:r>
        <w:rPr>
          <w:rFonts w:hint="default" w:ascii="Times New Roman" w:hAnsi="Times New Roman" w:eastAsia="宋体" w:cs="Times New Roman"/>
          <w:b w:val="0"/>
          <w:bCs w:val="0"/>
          <w:color w:val="auto"/>
          <w:sz w:val="24"/>
          <w:szCs w:val="24"/>
        </w:rPr>
        <w:fldChar w:fldCharType="separate"/>
      </w:r>
      <w:r>
        <w:rPr>
          <w:rFonts w:hint="eastAsia" w:ascii="宋体" w:hAnsi="宋体"/>
          <w:color w:val="auto"/>
          <w:sz w:val="21"/>
          <w:szCs w:val="24"/>
        </w:rPr>
        <w:t>[23, 24]</w:t>
      </w:r>
      <w:r>
        <w:rPr>
          <w:rFonts w:hint="default" w:ascii="Times New Roman" w:hAnsi="Times New Roman" w:eastAsia="宋体" w:cs="Times New Roman"/>
          <w:b w:val="0"/>
          <w:bCs w:val="0"/>
          <w:color w:val="auto"/>
          <w:sz w:val="24"/>
          <w:szCs w:val="24"/>
        </w:rPr>
        <w:fldChar w:fldCharType="end"/>
      </w:r>
      <w:r>
        <w:rPr>
          <w:rFonts w:hint="default" w:ascii="Times New Roman" w:hAnsi="Times New Roman" w:eastAsia="宋体" w:cs="Times New Roman"/>
          <w:b w:val="0"/>
          <w:bCs w:val="0"/>
          <w:color w:val="auto"/>
          <w:sz w:val="24"/>
          <w:szCs w:val="24"/>
        </w:rPr>
        <w:t xml:space="preserve"> and assigned a binary value of 0, while those with serum AFP levels ≥ 200 ng/mL were classified as having high AFP levels and assigned a binary value of 1</w:t>
      </w:r>
      <w:r>
        <w:rPr>
          <w:rFonts w:hint="default" w:ascii="Times New Roman" w:hAnsi="Times New Roman" w:eastAsia="宋体" w:cs="Times New Roman"/>
          <w:b w:val="0"/>
          <w:bCs w:val="0"/>
          <w:color w:val="auto"/>
          <w:sz w:val="24"/>
          <w:szCs w:val="24"/>
          <w:highlight w:val="none"/>
        </w:rPr>
        <w:fldChar w:fldCharType="begin"/>
      </w:r>
      <w:r>
        <w:rPr>
          <w:rFonts w:hint="eastAsia" w:ascii="Times New Roman" w:hAnsi="Times New Roman" w:eastAsia="宋体" w:cs="Times New Roman"/>
          <w:b w:val="0"/>
          <w:bCs w:val="0"/>
          <w:color w:val="auto"/>
          <w:sz w:val="24"/>
          <w:szCs w:val="24"/>
          <w:highlight w:val="none"/>
          <w:lang w:eastAsia="zh-CN"/>
        </w:rPr>
        <w:instrText xml:space="preserve"> ADDIN NE.Ref.{EC5447A8-53D1-4C9C-96F9-08C0C172168E}</w:instrText>
      </w:r>
      <w:r>
        <w:rPr>
          <w:rFonts w:hint="default" w:ascii="Times New Roman" w:hAnsi="Times New Roman" w:eastAsia="宋体" w:cs="Times New Roman"/>
          <w:b w:val="0"/>
          <w:bCs w:val="0"/>
          <w:color w:val="auto"/>
          <w:sz w:val="24"/>
          <w:szCs w:val="24"/>
          <w:highlight w:val="none"/>
        </w:rPr>
        <w:fldChar w:fldCharType="separate"/>
      </w:r>
      <w:r>
        <w:rPr>
          <w:rFonts w:hint="eastAsia" w:ascii="宋体" w:hAnsi="宋体"/>
          <w:color w:val="auto"/>
          <w:sz w:val="21"/>
          <w:szCs w:val="24"/>
        </w:rPr>
        <w:t>[25]</w:t>
      </w:r>
      <w:r>
        <w:rPr>
          <w:rFonts w:hint="default" w:ascii="Times New Roman" w:hAnsi="Times New Roman" w:eastAsia="宋体" w:cs="Times New Roman"/>
          <w:b w:val="0"/>
          <w:bCs w:val="0"/>
          <w:color w:val="auto"/>
          <w:sz w:val="24"/>
          <w:szCs w:val="24"/>
          <w:highlight w:val="none"/>
        </w:rPr>
        <w:fldChar w:fldCharType="end"/>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rPr>
        <w:t>The</w:t>
      </w:r>
      <w:r>
        <w:rPr>
          <w:rFonts w:hint="default" w:ascii="Times New Roman" w:hAnsi="Times New Roman" w:eastAsia="宋体" w:cs="Times New Roman"/>
          <w:b w:val="0"/>
          <w:bCs w:val="0"/>
          <w:color w:val="auto"/>
          <w:sz w:val="24"/>
          <w:szCs w:val="24"/>
        </w:rPr>
        <w:t xml:space="preserve"> combined AFP-FIB-4 score was calculated by summing the binary values of the two variables, yielding a composite score ranging from 0 to 2. Patients with a composite score of 0 were categorized as AFP-FIB-4 score 1, while those with composite scores of 1 or 2 were initially analyzed separately. However, preliminary analyses revealed no statistically significant prognostic differences between patients with composite scores of 1 and 2</w:t>
      </w:r>
      <w:r>
        <w:rPr>
          <w:rFonts w:hint="eastAsia" w:ascii="Times New Roman" w:hAnsi="Times New Roman" w:eastAsia="宋体" w:cs="Times New Roman"/>
          <w:b w:val="0"/>
          <w:bCs w:val="0"/>
          <w:color w:val="auto"/>
          <w:sz w:val="24"/>
          <w:szCs w:val="24"/>
          <w:lang w:val="en-US" w:eastAsia="zh-CN"/>
        </w:rPr>
        <w:t xml:space="preserve"> (all P&gt;0.05)</w:t>
      </w:r>
      <w:r>
        <w:rPr>
          <w:rFonts w:hint="default" w:ascii="Times New Roman" w:hAnsi="Times New Roman" w:eastAsia="宋体" w:cs="Times New Roman"/>
          <w:b w:val="0"/>
          <w:bCs w:val="0"/>
          <w:color w:val="auto"/>
          <w:sz w:val="24"/>
          <w:szCs w:val="24"/>
        </w:rPr>
        <w:t>.</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rPr>
        <w:t>To ensure the model's simplicity and practical utility for clinical decision-making, we chose to merge these two subgroups into a single category</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rPr>
        <w:t xml:space="preserve">designated as AFP-FIB-4 score 2. The </w:t>
      </w:r>
      <w:r>
        <w:rPr>
          <w:rFonts w:hint="eastAsia" w:ascii="Times New Roman" w:hAnsi="Times New Roman" w:eastAsia="宋体" w:cs="Times New Roman"/>
          <w:color w:val="auto"/>
          <w:sz w:val="24"/>
          <w:szCs w:val="24"/>
          <w:lang w:val="en-US" w:eastAsia="zh-CN"/>
        </w:rPr>
        <w:t>aspartate aminotransferase to platelet ratio index (</w:t>
      </w:r>
      <w:r>
        <w:rPr>
          <w:rFonts w:hint="default" w:ascii="Times New Roman" w:hAnsi="Times New Roman" w:eastAsia="宋体" w:cs="Times New Roman"/>
          <w:b w:val="0"/>
          <w:bCs w:val="0"/>
          <w:color w:val="auto"/>
          <w:sz w:val="24"/>
          <w:szCs w:val="24"/>
        </w:rPr>
        <w:t>APRI</w:t>
      </w:r>
      <w:r>
        <w:rPr>
          <w:rFonts w:hint="eastAsia" w:ascii="Times New Roman" w:hAnsi="Times New Roman" w:eastAsia="宋体"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rPr>
        <w:t xml:space="preserve"> score was calculated as </w:t>
      </w:r>
      <w:r>
        <w:rPr>
          <w:rFonts w:hint="default" w:ascii="Times New Roman" w:hAnsi="Times New Roman" w:eastAsia="宋体" w:cs="Times New Roman"/>
          <w:color w:val="auto"/>
          <w:sz w:val="24"/>
          <w:szCs w:val="24"/>
          <w:lang w:val="en-US" w:eastAsia="zh-CN"/>
        </w:rPr>
        <w:t>100 × ([AST/ULN]/PLT count [10</w:t>
      </w:r>
      <w:r>
        <w:rPr>
          <w:rFonts w:hint="default" w:ascii="Times New Roman" w:hAnsi="Times New Roman" w:eastAsia="宋体" w:cs="Times New Roman"/>
          <w:color w:val="auto"/>
          <w:sz w:val="24"/>
          <w:szCs w:val="24"/>
          <w:vertAlign w:val="superscript"/>
          <w:lang w:val="en-US" w:eastAsia="zh-CN"/>
        </w:rPr>
        <w:t>9</w:t>
      </w:r>
      <w:r>
        <w:rPr>
          <w:rFonts w:hint="default" w:ascii="Times New Roman" w:hAnsi="Times New Roman" w:eastAsia="宋体" w:cs="Times New Roman"/>
          <w:color w:val="auto"/>
          <w:sz w:val="24"/>
          <w:szCs w:val="24"/>
          <w:lang w:val="en-US" w:eastAsia="zh-CN"/>
        </w:rPr>
        <w:t>/L])</w:t>
      </w:r>
      <w:r>
        <w:rPr>
          <w:rFonts w:hint="default" w:ascii="Times New Roman" w:hAnsi="Times New Roman" w:eastAsia="宋体" w:cs="Times New Roman"/>
          <w:b w:val="0"/>
          <w:bCs w:val="0"/>
          <w:color w:val="auto"/>
          <w:sz w:val="24"/>
          <w:szCs w:val="24"/>
        </w:rPr>
        <w:t xml:space="preserve"> and was categorised into two grades: grade 1 (&lt;1.5) and grade 2 (≥1.5)</w:t>
      </w:r>
      <w:r>
        <w:rPr>
          <w:rFonts w:hint="default" w:ascii="Times New Roman" w:hAnsi="Times New Roman" w:eastAsia="宋体" w:cs="Times New Roman"/>
          <w:b w:val="0"/>
          <w:bCs w:val="0"/>
          <w:color w:val="auto"/>
          <w:sz w:val="24"/>
          <w:szCs w:val="24"/>
        </w:rPr>
        <w:fldChar w:fldCharType="begin"/>
      </w:r>
      <w:r>
        <w:rPr>
          <w:rFonts w:hint="eastAsia" w:ascii="Times New Roman" w:hAnsi="Times New Roman" w:eastAsia="宋体" w:cs="Times New Roman"/>
          <w:b w:val="0"/>
          <w:bCs w:val="0"/>
          <w:color w:val="auto"/>
          <w:sz w:val="24"/>
          <w:szCs w:val="24"/>
          <w:lang w:eastAsia="zh-CN"/>
        </w:rPr>
        <w:instrText xml:space="preserve"> ADDIN NE.Ref.{3A4BA147-B3EA-4B7B-88AB-D4C9BBFE7C2D}</w:instrText>
      </w:r>
      <w:r>
        <w:rPr>
          <w:rFonts w:hint="default" w:ascii="Times New Roman" w:hAnsi="Times New Roman" w:eastAsia="宋体" w:cs="Times New Roman"/>
          <w:b w:val="0"/>
          <w:bCs w:val="0"/>
          <w:color w:val="auto"/>
          <w:sz w:val="24"/>
          <w:szCs w:val="24"/>
        </w:rPr>
        <w:fldChar w:fldCharType="separate"/>
      </w:r>
      <w:r>
        <w:rPr>
          <w:rFonts w:hint="eastAsia" w:ascii="宋体" w:hAnsi="宋体"/>
          <w:color w:val="auto"/>
          <w:sz w:val="21"/>
          <w:szCs w:val="24"/>
        </w:rPr>
        <w:t>[11]</w:t>
      </w:r>
      <w:r>
        <w:rPr>
          <w:rFonts w:hint="default" w:ascii="Times New Roman" w:hAnsi="Times New Roman" w:eastAsia="宋体" w:cs="Times New Roman"/>
          <w:b w:val="0"/>
          <w:bCs w:val="0"/>
          <w:color w:val="auto"/>
          <w:sz w:val="24"/>
          <w:szCs w:val="24"/>
        </w:rPr>
        <w:fldChar w:fldCharType="end"/>
      </w:r>
      <w:r>
        <w:rPr>
          <w:rFonts w:hint="eastAsia" w:ascii="Times New Roman" w:hAnsi="Times New Roman" w:eastAsia="宋体" w:cs="Times New Roman"/>
          <w:b w:val="0"/>
          <w:bCs w:val="0"/>
          <w:color w:val="auto"/>
          <w:sz w:val="24"/>
          <w:szCs w:val="24"/>
          <w:lang w:val="en-US" w:eastAsia="zh-CN"/>
        </w:rPr>
        <w:t>.</w:t>
      </w:r>
    </w:p>
    <w:p w14:paraId="703E68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szCs w:val="24"/>
          <w:lang w:val="en-US" w:eastAsia="zh-CN"/>
        </w:rPr>
      </w:pPr>
    </w:p>
    <w:p w14:paraId="785BB463">
      <w:pP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Follow-up</w:t>
      </w:r>
    </w:p>
    <w:p w14:paraId="4E8D8C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Patients with HCC underwent follow-up assessments one month after hepatectomy, with subsequent evaluations every 3 months during the first year and then every 3 to 6 months in subsequent years, depending on individual clinical needs. Each follow-up included testing for serum AFP, biochemical analysis, ultrasound, and magnetic resonance imaging (MRI) or computed tomography (CT</w:t>
      </w:r>
      <w:r>
        <w:rPr>
          <w:rFonts w:hint="eastAsia" w:ascii="Times New Roman" w:hAnsi="Times New Roman" w:eastAsia="宋体" w:cs="Times New Roman"/>
          <w:b w:val="0"/>
          <w:bCs w:val="0"/>
          <w:color w:val="auto"/>
          <w:sz w:val="24"/>
          <w:szCs w:val="24"/>
          <w:highlight w:val="none"/>
          <w:lang w:val="en-US" w:eastAsia="zh-CN"/>
        </w:rPr>
        <w:t xml:space="preserve">). The </w:t>
      </w:r>
      <w:r>
        <w:rPr>
          <w:rFonts w:hint="eastAsia" w:ascii="Times New Roman" w:hAnsi="Times New Roman" w:eastAsia="宋体" w:cs="Times New Roman"/>
          <w:b w:val="0"/>
          <w:bCs w:val="0"/>
          <w:color w:val="auto"/>
          <w:sz w:val="24"/>
          <w:szCs w:val="24"/>
          <w:lang w:val="en-US" w:eastAsia="zh-CN"/>
        </w:rPr>
        <w:t xml:space="preserve">study endpoints were OS and DFS. OS was defined as the time from surgery to death or study conclusion, while DFS was defined as the time from hepatectomy to tumor recurrence. </w:t>
      </w:r>
    </w:p>
    <w:p w14:paraId="64DDC741">
      <w:pPr>
        <w:rPr>
          <w:rFonts w:hint="eastAsia" w:ascii="Times New Roman" w:hAnsi="Times New Roman" w:eastAsia="宋体" w:cs="Times New Roman"/>
          <w:b w:val="0"/>
          <w:bCs w:val="0"/>
          <w:color w:val="auto"/>
          <w:sz w:val="24"/>
          <w:szCs w:val="24"/>
          <w:lang w:val="en-US" w:eastAsia="zh-CN"/>
        </w:rPr>
      </w:pPr>
    </w:p>
    <w:p w14:paraId="79950399">
      <w:pP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Statistical Analysis</w:t>
      </w:r>
    </w:p>
    <w:p w14:paraId="5888CA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rPr>
        <w:t>All statistical analyses were performed using R software (version 4.2.1; The R Foundation for Statistical Computing, Vienna, Austria). Continuous variables were presented as mean ± standard deviation for normally distributed data and as median with range for non-normally distributed data. To handle missing data, variables with a high proportion of missingness were excluded, whereas those with minimal missing data were imputed using the mean or median</w:t>
      </w:r>
      <w:r>
        <w:rPr>
          <w:rFonts w:hint="default" w:ascii="Times New Roman" w:hAnsi="Times New Roman" w:eastAsia="宋体" w:cs="Times New Roman"/>
          <w:b w:val="0"/>
          <w:bCs w:val="0"/>
          <w:color w:val="auto"/>
          <w:sz w:val="24"/>
          <w:szCs w:val="24"/>
        </w:rPr>
        <w:fldChar w:fldCharType="begin"/>
      </w:r>
      <w:r>
        <w:rPr>
          <w:rFonts w:hint="eastAsia" w:ascii="Times New Roman" w:hAnsi="Times New Roman" w:eastAsia="宋体" w:cs="Times New Roman"/>
          <w:b w:val="0"/>
          <w:bCs w:val="0"/>
          <w:color w:val="auto"/>
          <w:sz w:val="24"/>
          <w:szCs w:val="24"/>
          <w:lang w:eastAsia="zh-CN"/>
        </w:rPr>
        <w:instrText xml:space="preserve"> ADDIN NE.Ref.{D1ACD4D8-2A81-4347-9897-F9BA4D6B0F31}</w:instrText>
      </w:r>
      <w:r>
        <w:rPr>
          <w:rFonts w:hint="default" w:ascii="Times New Roman" w:hAnsi="Times New Roman" w:eastAsia="宋体" w:cs="Times New Roman"/>
          <w:b w:val="0"/>
          <w:bCs w:val="0"/>
          <w:color w:val="auto"/>
          <w:sz w:val="24"/>
          <w:szCs w:val="24"/>
        </w:rPr>
        <w:fldChar w:fldCharType="separate"/>
      </w:r>
      <w:r>
        <w:rPr>
          <w:rFonts w:hint="eastAsia" w:ascii="宋体" w:hAnsi="宋体"/>
          <w:color w:val="auto"/>
          <w:sz w:val="21"/>
          <w:szCs w:val="24"/>
        </w:rPr>
        <w:t>[26]</w:t>
      </w:r>
      <w:r>
        <w:rPr>
          <w:rFonts w:hint="default" w:ascii="Times New Roman" w:hAnsi="Times New Roman" w:eastAsia="宋体" w:cs="Times New Roman"/>
          <w:b w:val="0"/>
          <w:bCs w:val="0"/>
          <w:color w:val="auto"/>
          <w:sz w:val="24"/>
          <w:szCs w:val="24"/>
        </w:rPr>
        <w:fldChar w:fldCharType="end"/>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rPr>
        <w:t>Survival analysis was conducted using Kaplan-Meier curves, with differences assessed by the log-rank test. Independent prognostic factors were identified using Cox proportional hazards regression. The optimal cutoff for the FIB-4 index was determined using ROC curve analysis to maximize diagnostic accuracy. Statistical significance was set at a p-value &lt; 0.05.</w:t>
      </w:r>
    </w:p>
    <w:p w14:paraId="72C208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val="0"/>
          <w:color w:val="auto"/>
          <w:sz w:val="24"/>
          <w:szCs w:val="24"/>
          <w:lang w:val="en-US" w:eastAsia="zh-CN"/>
        </w:rPr>
      </w:pPr>
    </w:p>
    <w:p w14:paraId="0105925B">
      <w:pPr>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Results</w:t>
      </w:r>
    </w:p>
    <w:p w14:paraId="577744FF">
      <w:pPr>
        <w:ind w:firstLine="482" w:firstLineChars="200"/>
        <w:rPr>
          <w:rFonts w:hint="default" w:ascii="Times New Roman" w:hAnsi="Times New Roman" w:eastAsia="宋体" w:cs="Times New Roman"/>
          <w:b/>
          <w:bCs/>
          <w:color w:val="auto"/>
          <w:sz w:val="24"/>
          <w:szCs w:val="24"/>
          <w:lang w:val="en-US" w:eastAsia="zh-CN"/>
        </w:rPr>
      </w:pPr>
    </w:p>
    <w:p w14:paraId="214D1838">
      <w:pPr>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Study population</w:t>
      </w:r>
    </w:p>
    <w:p w14:paraId="125DE6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Between May 201</w:t>
      </w:r>
      <w:r>
        <w:rPr>
          <w:rFonts w:hint="eastAsia" w:ascii="Times New Roman" w:hAnsi="Times New Roman" w:eastAsia="宋体" w:cs="Times New Roman"/>
          <w:b w:val="0"/>
          <w:bCs w:val="0"/>
          <w:color w:val="auto"/>
          <w:sz w:val="24"/>
          <w:szCs w:val="24"/>
          <w:lang w:val="en-US" w:eastAsia="zh-CN"/>
        </w:rPr>
        <w:t>4</w:t>
      </w:r>
      <w:r>
        <w:rPr>
          <w:rFonts w:hint="default" w:ascii="Times New Roman" w:hAnsi="Times New Roman" w:eastAsia="宋体" w:cs="Times New Roman"/>
          <w:b w:val="0"/>
          <w:bCs w:val="0"/>
          <w:color w:val="auto"/>
          <w:sz w:val="24"/>
          <w:szCs w:val="24"/>
          <w:lang w:val="en-US" w:eastAsia="zh-CN"/>
        </w:rPr>
        <w:t xml:space="preserve"> and May 202</w:t>
      </w:r>
      <w:r>
        <w:rPr>
          <w:rFonts w:hint="eastAsia" w:ascii="Times New Roman" w:hAnsi="Times New Roman" w:eastAsia="宋体" w:cs="Times New Roman"/>
          <w:b w:val="0"/>
          <w:bCs w:val="0"/>
          <w:color w:val="auto"/>
          <w:sz w:val="24"/>
          <w:szCs w:val="24"/>
          <w:lang w:val="en-US" w:eastAsia="zh-CN"/>
        </w:rPr>
        <w:t>4</w:t>
      </w:r>
      <w:r>
        <w:rPr>
          <w:rFonts w:hint="default" w:ascii="Times New Roman" w:hAnsi="Times New Roman" w:eastAsia="宋体" w:cs="Times New Roman"/>
          <w:b w:val="0"/>
          <w:bCs w:val="0"/>
          <w:color w:val="auto"/>
          <w:sz w:val="24"/>
          <w:szCs w:val="24"/>
          <w:lang w:val="en-US" w:eastAsia="zh-CN"/>
        </w:rPr>
        <w:t xml:space="preserve">, a total of 1518 patients with HCC underwent hepatectomy with curative intent. Of these, 251 patients (16.5%) had received other treatments before hepatectomy; 38 patients (2.5%) had concurrent hematologic disorders; 32 patients (2.1%) had additional malignant tumors; and 23 patients (1.5%) </w:t>
      </w:r>
      <w:bookmarkStart w:id="50" w:name="_GoBack"/>
      <w:bookmarkEnd w:id="50"/>
      <w:r>
        <w:rPr>
          <w:rFonts w:hint="default" w:ascii="Times New Roman" w:hAnsi="Times New Roman" w:eastAsia="宋体" w:cs="Times New Roman"/>
          <w:b w:val="0"/>
          <w:bCs w:val="0"/>
          <w:color w:val="auto"/>
          <w:sz w:val="24"/>
          <w:szCs w:val="24"/>
          <w:lang w:val="en-US" w:eastAsia="zh-CN"/>
        </w:rPr>
        <w:t>had preoperative cerebral, cardiopulmonary, or renal dysfunction. After applying the exclusion criteria, 1174 patients (77.3%) were included in our study.</w:t>
      </w:r>
    </w:p>
    <w:p w14:paraId="647DF96E">
      <w:pPr>
        <w:pStyle w:val="3"/>
        <w:keepNext w:val="0"/>
        <w:keepLines w:val="0"/>
        <w:pageBreakBefore w:val="0"/>
        <w:widowControl/>
        <w:suppressLineNumbers w:val="0"/>
        <w:shd w:val="clear"/>
        <w:kinsoku/>
        <w:wordWrap/>
        <w:overflowPunct/>
        <w:topLinePunct w:val="0"/>
        <w:autoSpaceDE/>
        <w:autoSpaceDN/>
        <w:bidi w:val="0"/>
        <w:adjustRightInd/>
        <w:snapToGrid/>
        <w:spacing w:before="240" w:beforeAutospacing="0" w:after="160" w:afterAutospacing="0" w:line="240" w:lineRule="auto"/>
        <w:ind w:left="0" w:firstLine="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bCs/>
          <w:color w:val="auto"/>
          <w:sz w:val="24"/>
          <w:szCs w:val="24"/>
          <w:lang w:val="en-US" w:eastAsia="zh-CN"/>
        </w:rPr>
        <w:t>Patient characteristics</w:t>
      </w:r>
    </w:p>
    <w:p w14:paraId="4BC17077">
      <w:pPr>
        <w:pStyle w:val="3"/>
        <w:keepNext w:val="0"/>
        <w:keepLines w:val="0"/>
        <w:pageBreakBefore w:val="0"/>
        <w:widowControl/>
        <w:suppressLineNumbers w:val="0"/>
        <w:shd w:val="clear"/>
        <w:kinsoku/>
        <w:wordWrap/>
        <w:overflowPunct/>
        <w:topLinePunct w:val="0"/>
        <w:autoSpaceDE/>
        <w:autoSpaceDN/>
        <w:bidi w:val="0"/>
        <w:adjustRightInd/>
        <w:snapToGrid/>
        <w:spacing w:before="240" w:beforeAutospacing="0" w:after="160" w:afterAutospacing="0" w:line="360" w:lineRule="auto"/>
        <w:ind w:left="0" w:firstLine="480" w:firstLineChars="200"/>
        <w:jc w:val="both"/>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Demographic and clinical characteristics of the studied HCC</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lang w:val="en-US" w:eastAsia="zh-CN"/>
        </w:rPr>
        <w:t>cohort (n=1174) are presented in Table 1. Based on the established cutoff threshold of 3.0, 868 patients (73.9%) were classified as having low FIB-4 scores (&lt; 3.0), while 306 patients (26.1%) were classified as having high FIB-4 scores (≥ 3.0). Regarding serum AFP levels, 615 patients (52.4%) were classified as having low AFP levels (&lt; 200 ng/mL), while 559 patients (47.6%) were classified as having high AFP levels (≥ 200 ng/mL). According to the combined AFP-FIB-4 scoring system, 446 patients (38.0%) were categorized as AFP-FIB-4 score 1, while 728 patients (62.0%) were categorized as AFP-FIB-4 score 2.</w:t>
      </w:r>
    </w:p>
    <w:p w14:paraId="48C5F258">
      <w:pPr>
        <w:pStyle w:val="3"/>
        <w:keepNext w:val="0"/>
        <w:keepLines w:val="0"/>
        <w:pageBreakBefore w:val="0"/>
        <w:widowControl/>
        <w:suppressLineNumbers w:val="0"/>
        <w:shd w:val="clear"/>
        <w:kinsoku/>
        <w:wordWrap/>
        <w:overflowPunct/>
        <w:topLinePunct w:val="0"/>
        <w:autoSpaceDE/>
        <w:autoSpaceDN/>
        <w:bidi w:val="0"/>
        <w:adjustRightInd/>
        <w:snapToGrid/>
        <w:spacing w:before="240" w:beforeAutospacing="0" w:after="160" w:afterAutospacing="0" w:line="240" w:lineRule="auto"/>
        <w:ind w:left="0" w:firstLine="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Univariate and multivariate analysis of prognostic factors for long-term survival</w:t>
      </w:r>
    </w:p>
    <w:p w14:paraId="01527329">
      <w:pPr>
        <w:pStyle w:val="3"/>
        <w:keepNext w:val="0"/>
        <w:keepLines w:val="0"/>
        <w:pageBreakBefore w:val="0"/>
        <w:widowControl/>
        <w:suppressLineNumbers w:val="0"/>
        <w:shd w:val="clear"/>
        <w:kinsoku/>
        <w:wordWrap/>
        <w:overflowPunct/>
        <w:topLinePunct w:val="0"/>
        <w:autoSpaceDE/>
        <w:autoSpaceDN/>
        <w:bidi w:val="0"/>
        <w:adjustRightInd/>
        <w:snapToGrid/>
        <w:spacing w:before="240" w:beforeAutospacing="0" w:after="160" w:afterAutospacing="0" w:line="360" w:lineRule="auto"/>
        <w:ind w:left="0"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lang w:val="en-US" w:eastAsia="zh-CN"/>
        </w:rPr>
        <w:t>We conducted univariate analysis and Cox proportional hazards regression to identify potential factors associated with DFS and OS. For multivariate analysis, preliminary correlation analysis revealed significant collinearity between the AFP-FIB-4 score and serum AFP levels. To address this multicollinearity issue and ensure the validity of our statistical analysis, these two variables were evaluated in separate Cox proportional hazards regression models.</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lang w:val="en-US" w:eastAsia="zh-CN"/>
        </w:rPr>
        <w:t xml:space="preserve">Table 2 presents the results of the univariate and multivariate analyses for DFS. Univariate analysis identified </w:t>
      </w:r>
      <w:r>
        <w:rPr>
          <w:rFonts w:hint="default" w:ascii="Times New Roman" w:hAnsi="Times New Roman" w:eastAsia="宋体" w:cs="Times New Roman"/>
          <w:b w:val="0"/>
          <w:bCs w:val="0"/>
          <w:color w:val="auto"/>
          <w:sz w:val="24"/>
          <w:szCs w:val="24"/>
          <w:highlight w:val="none"/>
          <w:lang w:val="en-US" w:eastAsia="zh-CN"/>
        </w:rPr>
        <w:t>significant associations between DFS and the AFP-FIB-4 score, FIB-4 ≥ 3.0, AST ≥ 80 U/L, AFP ≥ 200 ng/mL, platelet count ≥ 100×10⁹/L, tumor capsule, BCLC stage B or C, tumor number, tumor size ≥ 5 cm. Multivariate analysis revealed seven independent risk factors for DFS: AFP-FIB-4 score, AFP ≥ 200 ng/mL, platelet count ≥ 100×10⁹/L, tumor capsule, BCLC stage B or C, tumor size ≥ 5 cm, and tumor number (all P &lt; 0.05).</w:t>
      </w:r>
    </w:p>
    <w:p w14:paraId="1513700F">
      <w:pPr>
        <w:pStyle w:val="3"/>
        <w:keepNext w:val="0"/>
        <w:keepLines w:val="0"/>
        <w:pageBreakBefore w:val="0"/>
        <w:widowControl/>
        <w:suppressLineNumbers w:val="0"/>
        <w:shd w:val="clear"/>
        <w:kinsoku/>
        <w:wordWrap/>
        <w:overflowPunct/>
        <w:topLinePunct w:val="0"/>
        <w:autoSpaceDE/>
        <w:autoSpaceDN/>
        <w:bidi w:val="0"/>
        <w:adjustRightInd/>
        <w:snapToGrid/>
        <w:spacing w:before="240" w:beforeAutospacing="0" w:after="160" w:afterAutospacing="0" w:line="360" w:lineRule="auto"/>
        <w:ind w:left="0" w:firstLine="480" w:firstLineChars="200"/>
        <w:jc w:val="both"/>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highlight w:val="none"/>
          <w:lang w:val="en-US" w:eastAsia="zh-CN"/>
        </w:rPr>
        <w:t xml:space="preserve">As shown in Table 3, univariate analysis for OS identified several factors associated with poor prognosis, including APRI ≥ 1.5, AFP-FIB-4 score, FIB-4 ≥ 3.0, AST ≥ 80 U/L, AFP ≥ 200 ng/mL, albumin ≥ 35 g/L, tumor capsule, BCLC stage B or C, tumor number, and tumor size ≥ 5 cm. Multivariate analysis revealed six </w:t>
      </w:r>
      <w:r>
        <w:rPr>
          <w:rFonts w:hint="default" w:ascii="Times New Roman" w:hAnsi="Times New Roman" w:eastAsia="宋体" w:cs="Times New Roman"/>
          <w:b w:val="0"/>
          <w:bCs w:val="0"/>
          <w:color w:val="auto"/>
          <w:sz w:val="24"/>
          <w:szCs w:val="24"/>
          <w:lang w:val="en-US" w:eastAsia="zh-CN"/>
        </w:rPr>
        <w:t>independent risk factors for poor prognosis: AFP-FIB-4 score, AFP ≥ 200 ng/mL, tumor capsule, BCLC stage B or C, tumor size ≥ 5 cm, and tumor number (all P &lt; 0.05).</w:t>
      </w:r>
    </w:p>
    <w:p w14:paraId="0B7A9466">
      <w:pPr>
        <w:pStyle w:val="3"/>
        <w:keepNext w:val="0"/>
        <w:keepLines w:val="0"/>
        <w:pageBreakBefore w:val="0"/>
        <w:widowControl/>
        <w:suppressLineNumbers w:val="0"/>
        <w:shd w:val="clear"/>
        <w:kinsoku/>
        <w:wordWrap/>
        <w:overflowPunct/>
        <w:topLinePunct w:val="0"/>
        <w:autoSpaceDE/>
        <w:autoSpaceDN/>
        <w:bidi w:val="0"/>
        <w:adjustRightInd/>
        <w:snapToGrid/>
        <w:spacing w:before="240" w:beforeAutospacing="0" w:after="160" w:afterAutospacing="0" w:line="360" w:lineRule="auto"/>
        <w:jc w:val="both"/>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 xml:space="preserve">Comparative </w:t>
      </w:r>
      <w:r>
        <w:rPr>
          <w:rFonts w:hint="eastAsia" w:ascii="Times New Roman" w:hAnsi="Times New Roman" w:cs="Times New Roman"/>
          <w:b/>
          <w:bCs/>
          <w:color w:val="auto"/>
          <w:sz w:val="24"/>
          <w:szCs w:val="24"/>
          <w:lang w:val="en-US" w:eastAsia="zh-CN"/>
        </w:rPr>
        <w:t>p</w:t>
      </w:r>
      <w:r>
        <w:rPr>
          <w:rFonts w:hint="default" w:ascii="Times New Roman" w:hAnsi="Times New Roman" w:eastAsia="宋体" w:cs="Times New Roman"/>
          <w:b/>
          <w:bCs/>
          <w:color w:val="auto"/>
          <w:sz w:val="24"/>
          <w:szCs w:val="24"/>
          <w:lang w:val="en-US" w:eastAsia="zh-CN"/>
        </w:rPr>
        <w:t>erformance of FIB-4</w:t>
      </w:r>
      <w:r>
        <w:rPr>
          <w:rFonts w:hint="eastAsia" w:ascii="Times New Roman" w:hAnsi="Times New Roman" w:eastAsia="宋体" w:cs="Times New Roman"/>
          <w:b/>
          <w:bCs/>
          <w:color w:val="auto"/>
          <w:sz w:val="24"/>
          <w:szCs w:val="24"/>
          <w:lang w:val="en-US" w:eastAsia="zh-CN"/>
        </w:rPr>
        <w:t xml:space="preserve"> </w:t>
      </w:r>
      <w:r>
        <w:rPr>
          <w:rFonts w:hint="default" w:ascii="Times New Roman" w:hAnsi="Times New Roman" w:eastAsia="宋体" w:cs="Times New Roman"/>
          <w:b/>
          <w:bCs/>
          <w:color w:val="auto"/>
          <w:sz w:val="24"/>
          <w:szCs w:val="24"/>
          <w:lang w:val="en-US" w:eastAsia="zh-CN"/>
        </w:rPr>
        <w:t xml:space="preserve">index, AFP, and AFP-FIB-4 </w:t>
      </w:r>
      <w:r>
        <w:rPr>
          <w:rFonts w:hint="eastAsia" w:ascii="Times New Roman" w:hAnsi="Times New Roman" w:cs="Times New Roman"/>
          <w:b/>
          <w:bCs/>
          <w:color w:val="auto"/>
          <w:sz w:val="24"/>
          <w:szCs w:val="24"/>
          <w:lang w:val="en-US" w:eastAsia="zh-CN"/>
        </w:rPr>
        <w:t>s</w:t>
      </w:r>
      <w:r>
        <w:rPr>
          <w:rFonts w:hint="default" w:ascii="Times New Roman" w:hAnsi="Times New Roman" w:eastAsia="宋体" w:cs="Times New Roman"/>
          <w:b/>
          <w:bCs/>
          <w:color w:val="auto"/>
          <w:sz w:val="24"/>
          <w:szCs w:val="24"/>
          <w:lang w:val="en-US" w:eastAsia="zh-CN"/>
        </w:rPr>
        <w:t xml:space="preserve">core </w:t>
      </w:r>
      <w:r>
        <w:rPr>
          <w:rFonts w:hint="eastAsia" w:ascii="Times New Roman" w:hAnsi="Times New Roman" w:cs="Times New Roman"/>
          <w:b/>
          <w:bCs/>
          <w:color w:val="auto"/>
          <w:sz w:val="24"/>
          <w:szCs w:val="24"/>
          <w:lang w:val="en-US" w:eastAsia="zh-CN"/>
        </w:rPr>
        <w:t>a</w:t>
      </w:r>
      <w:r>
        <w:rPr>
          <w:rFonts w:hint="default" w:ascii="Times New Roman" w:hAnsi="Times New Roman" w:eastAsia="宋体" w:cs="Times New Roman"/>
          <w:b/>
          <w:bCs/>
          <w:color w:val="auto"/>
          <w:sz w:val="24"/>
          <w:szCs w:val="24"/>
          <w:lang w:val="en-US" w:eastAsia="zh-CN"/>
        </w:rPr>
        <w:t xml:space="preserve">cross BCLC </w:t>
      </w:r>
      <w:r>
        <w:rPr>
          <w:rFonts w:hint="eastAsia" w:ascii="Times New Roman" w:hAnsi="Times New Roman" w:cs="Times New Roman"/>
          <w:b/>
          <w:bCs/>
          <w:color w:val="auto"/>
          <w:sz w:val="24"/>
          <w:szCs w:val="24"/>
          <w:lang w:val="en-US" w:eastAsia="zh-CN"/>
        </w:rPr>
        <w:t>s</w:t>
      </w:r>
      <w:r>
        <w:rPr>
          <w:rFonts w:hint="default" w:ascii="Times New Roman" w:hAnsi="Times New Roman" w:eastAsia="宋体" w:cs="Times New Roman"/>
          <w:b/>
          <w:bCs/>
          <w:color w:val="auto"/>
          <w:sz w:val="24"/>
          <w:szCs w:val="24"/>
          <w:lang w:val="en-US" w:eastAsia="zh-CN"/>
        </w:rPr>
        <w:t>tages</w:t>
      </w:r>
    </w:p>
    <w:p w14:paraId="2164287E">
      <w:pPr>
        <w:pStyle w:val="3"/>
        <w:keepNext w:val="0"/>
        <w:keepLines w:val="0"/>
        <w:pageBreakBefore w:val="0"/>
        <w:widowControl/>
        <w:suppressLineNumbers w:val="0"/>
        <w:shd w:val="clear"/>
        <w:kinsoku/>
        <w:wordWrap/>
        <w:overflowPunct/>
        <w:topLinePunct w:val="0"/>
        <w:autoSpaceDE/>
        <w:autoSpaceDN/>
        <w:bidi w:val="0"/>
        <w:adjustRightInd/>
        <w:snapToGrid/>
        <w:spacing w:before="240" w:beforeAutospacing="0" w:after="160" w:afterAutospacing="0" w:line="360" w:lineRule="auto"/>
        <w:ind w:firstLine="480" w:firstLineChars="200"/>
        <w:jc w:val="both"/>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Survival analyses were performed among patients with different FIB-4 scores, serum AFP levels and AFP-FIB-4 score across BCLC stages.</w:t>
      </w:r>
    </w:p>
    <w:p w14:paraId="51C51408">
      <w:pPr>
        <w:keepNext w:val="0"/>
        <w:keepLines w:val="0"/>
        <w:pageBreakBefore w:val="0"/>
        <w:widowControl w:val="0"/>
        <w:kinsoku/>
        <w:wordWrap/>
        <w:overflowPunct/>
        <w:topLinePunct w:val="0"/>
        <w:autoSpaceDE/>
        <w:autoSpaceDN/>
        <w:bidi w:val="0"/>
        <w:adjustRightInd/>
        <w:snapToGrid/>
        <w:spacing w:beforeLines="0" w:afterLines="0" w:line="360" w:lineRule="auto"/>
        <w:ind w:firstLine="480" w:firstLineChars="200"/>
        <w:jc w:val="both"/>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 xml:space="preserve">Among patients with early-stage disease (BCLC stage 0/A), those with high FIB-4 scores (≥ 3.0) exhibited significantly inferior </w:t>
      </w:r>
      <w:r>
        <w:rPr>
          <w:rFonts w:hint="default" w:ascii="Times New Roman" w:hAnsi="Times New Roman" w:eastAsia="宋体" w:cs="Times New Roman"/>
          <w:b w:val="0"/>
          <w:bCs w:val="0"/>
          <w:color w:val="auto"/>
          <w:sz w:val="24"/>
          <w:szCs w:val="24"/>
          <w:highlight w:val="none"/>
          <w:lang w:val="en-US" w:eastAsia="zh-CN"/>
        </w:rPr>
        <w:t xml:space="preserve">DFS and OS </w:t>
      </w:r>
      <w:r>
        <w:rPr>
          <w:rFonts w:hint="default" w:ascii="Times New Roman" w:hAnsi="Times New Roman" w:eastAsia="宋体" w:cs="Times New Roman"/>
          <w:b w:val="0"/>
          <w:bCs w:val="0"/>
          <w:color w:val="auto"/>
          <w:sz w:val="24"/>
          <w:szCs w:val="24"/>
          <w:lang w:val="en-US" w:eastAsia="zh-CN"/>
        </w:rPr>
        <w:t>compared to those with low FIB-4 scores (&lt; 3.0) (P = 0.002 for DFS and P &lt; 0.001 for OS; Figure 1A and 1B). Conversely, in patients with intermediate to advanced disease (BCLC stages B and C), FIB-4 scores failed to demonstrate prognostic significance for either survival endpoint, with no statistically significant differences observed between low and high FIB-4 score groups (P = 0.699 and P = 0.126 for BCLC stage B; P = 0.363 and P = 0.184 for BCLC stage C; Figure 1C-F).</w:t>
      </w:r>
    </w:p>
    <w:p w14:paraId="36F6375A">
      <w:pPr>
        <w:keepNext w:val="0"/>
        <w:keepLines w:val="0"/>
        <w:pageBreakBefore w:val="0"/>
        <w:widowControl w:val="0"/>
        <w:kinsoku/>
        <w:wordWrap/>
        <w:overflowPunct/>
        <w:topLinePunct w:val="0"/>
        <w:autoSpaceDE/>
        <w:autoSpaceDN/>
        <w:bidi w:val="0"/>
        <w:adjustRightInd/>
        <w:snapToGrid/>
        <w:spacing w:beforeLines="0" w:afterLines="0" w:line="360" w:lineRule="auto"/>
        <w:ind w:firstLine="480" w:firstLineChars="200"/>
        <w:jc w:val="both"/>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 xml:space="preserve">In contrast to FIB-4, serum AFP levels demonstrated a distinct prognostic pattern across different disease stages. Among patients with early-stage disease (BCLC stage 0/A), AFP levels failed to discriminate survival outcomes, with no significant differences in either </w:t>
      </w:r>
      <w:r>
        <w:rPr>
          <w:rFonts w:hint="eastAsia" w:ascii="Times New Roman" w:hAnsi="Times New Roman" w:eastAsia="宋体" w:cs="Times New Roman"/>
          <w:b w:val="0"/>
          <w:bCs w:val="0"/>
          <w:color w:val="auto"/>
          <w:sz w:val="24"/>
          <w:szCs w:val="24"/>
          <w:highlight w:val="none"/>
          <w:lang w:val="en-US" w:eastAsia="zh-CN"/>
        </w:rPr>
        <w:t>DFS</w:t>
      </w:r>
      <w:r>
        <w:rPr>
          <w:rFonts w:hint="default" w:ascii="Times New Roman" w:hAnsi="Times New Roman" w:eastAsia="宋体" w:cs="Times New Roman"/>
          <w:b w:val="0"/>
          <w:bCs w:val="0"/>
          <w:color w:val="auto"/>
          <w:sz w:val="24"/>
          <w:szCs w:val="24"/>
          <w:highlight w:val="none"/>
          <w:lang w:val="en-US" w:eastAsia="zh-CN"/>
        </w:rPr>
        <w:t xml:space="preserve"> or OS </w:t>
      </w:r>
      <w:r>
        <w:rPr>
          <w:rFonts w:hint="default" w:ascii="Times New Roman" w:hAnsi="Times New Roman" w:eastAsia="宋体" w:cs="Times New Roman"/>
          <w:b w:val="0"/>
          <w:bCs w:val="0"/>
          <w:color w:val="auto"/>
          <w:sz w:val="24"/>
          <w:szCs w:val="24"/>
          <w:lang w:val="en-US" w:eastAsia="zh-CN"/>
        </w:rPr>
        <w:t xml:space="preserve">between low AFP (&lt; 200 ng/mL) and high AFP (≥ 200 ng/mL) groups (P = 0.289 for DFS and P = 0.199 for OS; Figure 2A and 2B). Conversely, in patients with intermediate to advanced disease (BCLC stages B and C), elevated serum AFP levels (≥ 200 ng/mL) were associated with significantly inferior survival outcomes compared to those with low AFP levels (&lt; 200 ng/mL). Specifically, patients with high AFP levels demonstrated worse </w:t>
      </w:r>
      <w:r>
        <w:rPr>
          <w:rFonts w:hint="eastAsia" w:ascii="Times New Roman" w:hAnsi="Times New Roman" w:eastAsia="宋体" w:cs="Times New Roman"/>
          <w:b w:val="0"/>
          <w:bCs w:val="0"/>
          <w:color w:val="auto"/>
          <w:sz w:val="24"/>
          <w:szCs w:val="24"/>
          <w:highlight w:val="none"/>
          <w:lang w:val="en-US" w:eastAsia="zh-CN"/>
        </w:rPr>
        <w:t>DFS</w:t>
      </w:r>
      <w:r>
        <w:rPr>
          <w:rFonts w:hint="default" w:ascii="Times New Roman" w:hAnsi="Times New Roman" w:eastAsia="宋体" w:cs="Times New Roman"/>
          <w:b w:val="0"/>
          <w:bCs w:val="0"/>
          <w:color w:val="auto"/>
          <w:sz w:val="24"/>
          <w:szCs w:val="24"/>
          <w:lang w:val="en-US" w:eastAsia="zh-CN"/>
        </w:rPr>
        <w:t xml:space="preserve"> (P &lt; 0.001 for BCLC stage B and P = 0.004 for BCLC stage C) and</w:t>
      </w:r>
      <w:r>
        <w:rPr>
          <w:rFonts w:hint="default" w:ascii="Times New Roman" w:hAnsi="Times New Roman" w:eastAsia="宋体" w:cs="Times New Roman"/>
          <w:b w:val="0"/>
          <w:bCs w:val="0"/>
          <w:color w:val="auto"/>
          <w:sz w:val="24"/>
          <w:szCs w:val="24"/>
          <w:highlight w:val="none"/>
          <w:lang w:val="en-US" w:eastAsia="zh-CN"/>
        </w:rPr>
        <w:t xml:space="preserve"> OS</w:t>
      </w:r>
      <w:r>
        <w:rPr>
          <w:rFonts w:hint="default" w:ascii="Times New Roman" w:hAnsi="Times New Roman" w:eastAsia="宋体" w:cs="Times New Roman"/>
          <w:b w:val="0"/>
          <w:bCs w:val="0"/>
          <w:color w:val="auto"/>
          <w:sz w:val="24"/>
          <w:szCs w:val="24"/>
          <w:lang w:val="en-US" w:eastAsia="zh-CN"/>
        </w:rPr>
        <w:t xml:space="preserve"> (P = 0.019 for BCLC stage B and P &lt; 0.001 for BCLC stage C) (Figure 2C-F).</w:t>
      </w:r>
    </w:p>
    <w:p w14:paraId="79B514F7">
      <w:pPr>
        <w:keepNext w:val="0"/>
        <w:keepLines w:val="0"/>
        <w:pageBreakBefore w:val="0"/>
        <w:widowControl w:val="0"/>
        <w:kinsoku/>
        <w:wordWrap/>
        <w:overflowPunct/>
        <w:topLinePunct w:val="0"/>
        <w:autoSpaceDE/>
        <w:autoSpaceDN/>
        <w:bidi w:val="0"/>
        <w:adjustRightInd/>
        <w:snapToGrid/>
        <w:spacing w:beforeLines="0" w:afterLines="0"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lang w:val="en-US" w:eastAsia="zh-CN"/>
        </w:rPr>
        <w:t>Most importantly, the AFP-FIB-4 combined scoring system achieved what individual biomarkers could not: effective prognostic stratification across all BCLC stages. Patients with</w:t>
      </w:r>
      <w:r>
        <w:rPr>
          <w:rFonts w:hint="default" w:ascii="Times New Roman" w:hAnsi="Times New Roman" w:eastAsia="宋体" w:cs="Times New Roman"/>
          <w:b w:val="0"/>
          <w:bCs w:val="0"/>
          <w:color w:val="auto"/>
          <w:sz w:val="24"/>
          <w:szCs w:val="24"/>
          <w:highlight w:val="none"/>
          <w:lang w:val="en-US" w:eastAsia="zh-CN"/>
        </w:rPr>
        <w:t xml:space="preserve"> high AFP-FIB-4 scores (score 2) demonstrated consistently worse survival outcomes compared to those with low scores (score 1) in early-stage (P =0.001 and P&lt; 0.001), intermediate-stage (P=0.007 and P=0.042), and a</w:t>
      </w:r>
      <w:r>
        <w:rPr>
          <w:rFonts w:hint="default" w:ascii="Times New Roman" w:hAnsi="Times New Roman" w:eastAsia="宋体" w:cs="Times New Roman"/>
          <w:b w:val="0"/>
          <w:bCs w:val="0"/>
          <w:color w:val="auto"/>
          <w:sz w:val="24"/>
          <w:szCs w:val="24"/>
          <w:lang w:val="en-US" w:eastAsia="zh-CN"/>
        </w:rPr>
        <w:t>dvanced-stage dise</w:t>
      </w:r>
      <w:r>
        <w:rPr>
          <w:rFonts w:hint="default" w:ascii="Times New Roman" w:hAnsi="Times New Roman" w:eastAsia="宋体" w:cs="Times New Roman"/>
          <w:b w:val="0"/>
          <w:bCs w:val="0"/>
          <w:color w:val="auto"/>
          <w:sz w:val="24"/>
          <w:szCs w:val="24"/>
          <w:highlight w:val="none"/>
          <w:lang w:val="en-US" w:eastAsia="zh-CN"/>
        </w:rPr>
        <w:t xml:space="preserve">ase (P &lt; 0.001 and P = 0.007) for DFS and OS, respectively (Figure 3). </w:t>
      </w:r>
    </w:p>
    <w:p w14:paraId="165D2309">
      <w:pPr>
        <w:keepNext w:val="0"/>
        <w:keepLines w:val="0"/>
        <w:pageBreakBefore w:val="0"/>
        <w:widowControl w:val="0"/>
        <w:kinsoku/>
        <w:wordWrap/>
        <w:overflowPunct/>
        <w:topLinePunct w:val="0"/>
        <w:autoSpaceDE/>
        <w:autoSpaceDN/>
        <w:bidi w:val="0"/>
        <w:adjustRightInd/>
        <w:snapToGrid/>
        <w:spacing w:beforeLines="0" w:afterLines="0" w:line="360" w:lineRule="auto"/>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Comparison of predictive capacity of AFP, ALBI, FIB-4 index and AFP-FIB-4 scores</w:t>
      </w:r>
    </w:p>
    <w:p w14:paraId="11C57ABE">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highlight w:val="none"/>
          <w:lang w:val="en-US" w:eastAsia="zh-CN"/>
        </w:rPr>
        <w:t>ROC curve a</w:t>
      </w:r>
      <w:r>
        <w:rPr>
          <w:rFonts w:hint="default" w:ascii="Times New Roman" w:hAnsi="Times New Roman" w:eastAsia="宋体" w:cs="Times New Roman"/>
          <w:b w:val="0"/>
          <w:bCs w:val="0"/>
          <w:color w:val="auto"/>
          <w:sz w:val="24"/>
          <w:szCs w:val="24"/>
          <w:lang w:val="en-US" w:eastAsia="zh-CN"/>
        </w:rPr>
        <w:t>nalysis was performed to evaluate the predictive performance of individual biomarkers and their combination for long-term survival. The integrated AFP-FIB-4 scoring system demonstrated superior discriminatory capacity (AUC = 0.623) compared to individual biomarkers: FIB-4 index (AUC = 0.565, p &lt; 0.001)</w:t>
      </w:r>
      <w:r>
        <w:rPr>
          <w:rFonts w:hint="eastAsia" w:ascii="Times New Roman" w:hAnsi="Times New Roman" w:eastAsia="宋体" w:cs="Times New Roman"/>
          <w:b w:val="0"/>
          <w:bCs w:val="0"/>
          <w:color w:val="auto"/>
          <w:sz w:val="24"/>
          <w:szCs w:val="24"/>
          <w:lang w:val="en-US" w:eastAsia="zh-CN"/>
        </w:rPr>
        <w:t>, ALBI</w:t>
      </w:r>
      <w:r>
        <w:rPr>
          <w:rFonts w:hint="default" w:ascii="Times New Roman" w:hAnsi="Times New Roman" w:eastAsia="宋体" w:cs="Times New Roman"/>
          <w:b w:val="0"/>
          <w:bCs w:val="0"/>
          <w:color w:val="auto"/>
          <w:sz w:val="24"/>
          <w:szCs w:val="24"/>
          <w:lang w:val="en-US" w:eastAsia="zh-CN"/>
        </w:rPr>
        <w:t xml:space="preserve"> (AUC = 0.</w:t>
      </w:r>
      <w:r>
        <w:rPr>
          <w:rFonts w:hint="eastAsia" w:ascii="Times New Roman" w:hAnsi="Times New Roman" w:eastAsia="宋体" w:cs="Times New Roman"/>
          <w:b w:val="0"/>
          <w:bCs w:val="0"/>
          <w:color w:val="auto"/>
          <w:sz w:val="24"/>
          <w:szCs w:val="24"/>
          <w:lang w:val="en-US" w:eastAsia="zh-CN"/>
        </w:rPr>
        <w:t>517</w:t>
      </w:r>
      <w:r>
        <w:rPr>
          <w:rFonts w:hint="default" w:ascii="Times New Roman" w:hAnsi="Times New Roman" w:eastAsia="宋体" w:cs="Times New Roman"/>
          <w:b w:val="0"/>
          <w:bCs w:val="0"/>
          <w:color w:val="auto"/>
          <w:sz w:val="24"/>
          <w:szCs w:val="24"/>
          <w:lang w:val="en-US" w:eastAsia="zh-CN"/>
        </w:rPr>
        <w:t>, p &lt; 0.001)</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lang w:val="en-US" w:eastAsia="zh-CN"/>
        </w:rPr>
        <w:t>and AFP (AUC = 0.553, p &lt; 0.001) (Figure 4).</w:t>
      </w:r>
    </w:p>
    <w:p w14:paraId="554F9BFF">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Subgroup Analysis</w:t>
      </w:r>
    </w:p>
    <w:p w14:paraId="015A68C0">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 xml:space="preserve">   Subgroup analyses were performed to evaluate the prognostic value of the AFP-FIB-4 score across different clinical strata (Tables 4 and 5). The results indicated that the AFP-FIB-4 score lacked significant discriminative power for DFS in patients characterized by age </w:t>
      </w:r>
      <w:r>
        <w:rPr>
          <w:rFonts w:hint="eastAsia" w:ascii="Times New Roman" w:hAnsi="Times New Roman" w:eastAsia="宋体" w:cs="Times New Roman"/>
          <w:b w:val="0"/>
          <w:bCs w:val="0"/>
          <w:color w:val="auto"/>
          <w:sz w:val="24"/>
          <w:szCs w:val="24"/>
          <w:lang w:val="en-US" w:eastAsia="zh-CN"/>
        </w:rPr>
        <w:t>≥ 60 years, tumor size &lt; 5 cm, Child-Pugh class B, PLT &lt;100×10</w:t>
      </w:r>
      <w:r>
        <w:rPr>
          <w:rFonts w:hint="eastAsia" w:ascii="Times New Roman" w:hAnsi="Times New Roman" w:eastAsia="宋体" w:cs="Times New Roman"/>
          <w:b w:val="0"/>
          <w:bCs w:val="0"/>
          <w:color w:val="auto"/>
          <w:sz w:val="24"/>
          <w:szCs w:val="24"/>
          <w:vertAlign w:val="superscript"/>
          <w:lang w:val="en-US" w:eastAsia="zh-CN"/>
        </w:rPr>
        <w:t>9</w:t>
      </w:r>
      <w:r>
        <w:rPr>
          <w:rFonts w:hint="eastAsia" w:ascii="Times New Roman" w:hAnsi="Times New Roman" w:eastAsia="宋体" w:cs="Times New Roman"/>
          <w:b w:val="0"/>
          <w:bCs w:val="0"/>
          <w:color w:val="auto"/>
          <w:sz w:val="24"/>
          <w:szCs w:val="24"/>
          <w:lang w:val="en-US" w:eastAsia="zh-CN"/>
        </w:rPr>
        <w:t>/L, APRI ≥1.5, AST ≥80 U/L and ALT ≥80 U/L (all P &gt;0.05; Table 4). Similarly, no significant association was observed between the AFP-FIB-4 score and OS in subgroups including age ≥60 years, negative HBsAg, tumor number ≥2, Child-Pugh class B, Albumin &lt; 35g/</w:t>
      </w:r>
      <w:r>
        <w:rPr>
          <w:rFonts w:hint="eastAsia" w:ascii="Times New Roman" w:hAnsi="Times New Roman" w:eastAsia="宋体" w:cs="Times New Roman"/>
          <w:b w:val="0"/>
          <w:bCs w:val="0"/>
          <w:color w:val="auto"/>
          <w:sz w:val="24"/>
          <w:szCs w:val="24"/>
          <w:lang w:val="en-US" w:eastAsia="zh-CN"/>
        </w:rPr>
        <w:t>L, PLT &lt;100×10</w:t>
      </w:r>
      <w:r>
        <w:rPr>
          <w:rFonts w:hint="eastAsia" w:ascii="Times New Roman" w:hAnsi="Times New Roman" w:eastAsia="宋体" w:cs="Times New Roman"/>
          <w:b w:val="0"/>
          <w:bCs w:val="0"/>
          <w:color w:val="auto"/>
          <w:sz w:val="24"/>
          <w:szCs w:val="24"/>
          <w:vertAlign w:val="superscript"/>
          <w:lang w:val="en-US" w:eastAsia="zh-CN"/>
        </w:rPr>
        <w:t>9</w:t>
      </w:r>
      <w:r>
        <w:rPr>
          <w:rFonts w:hint="eastAsia" w:ascii="Times New Roman" w:hAnsi="Times New Roman" w:eastAsia="宋体" w:cs="Times New Roman"/>
          <w:b w:val="0"/>
          <w:bCs w:val="0"/>
          <w:color w:val="auto"/>
          <w:sz w:val="24"/>
          <w:szCs w:val="24"/>
          <w:lang w:val="en-US" w:eastAsia="zh-CN"/>
        </w:rPr>
        <w:t>/L, APRI≥1.5, AST≥80 U/L, and ALT≥80 U/L (all P &gt; 0.05; Table 5).</w:t>
      </w:r>
    </w:p>
    <w:p w14:paraId="69B5D018">
      <w:pPr>
        <w:shd w:val="clear"/>
        <w:rPr>
          <w:rFonts w:hint="default" w:ascii="Times New Roman" w:hAnsi="Times New Roman" w:eastAsia="宋体" w:cs="Times New Roman"/>
          <w:b w:val="0"/>
          <w:bCs w:val="0"/>
          <w:color w:val="auto"/>
          <w:sz w:val="24"/>
          <w:szCs w:val="24"/>
          <w:lang w:val="en-US" w:eastAsia="zh-CN"/>
        </w:rPr>
      </w:pPr>
    </w:p>
    <w:p w14:paraId="7CCEA90F">
      <w:pPr>
        <w:keepNext w:val="0"/>
        <w:keepLines w:val="0"/>
        <w:widowControl/>
        <w:suppressLineNumbers w:val="0"/>
        <w:shd w:val="clear"/>
        <w:jc w:val="left"/>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bCs/>
          <w:color w:val="auto"/>
          <w:kern w:val="0"/>
          <w:sz w:val="24"/>
          <w:szCs w:val="24"/>
          <w:lang w:val="en-US" w:eastAsia="zh-CN" w:bidi="ar"/>
        </w:rPr>
        <w:t>Discussion</w:t>
      </w:r>
    </w:p>
    <w:p w14:paraId="31B320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The management of HCC presents unique challenges due to the dual influence of liver function and tumor biology on survival outcomes</w:t>
      </w:r>
      <w:r>
        <w:rPr>
          <w:rFonts w:hint="default" w:ascii="Times New Roman" w:hAnsi="Times New Roman" w:eastAsia="宋体" w:cs="Times New Roman"/>
          <w:b w:val="0"/>
          <w:bCs w:val="0"/>
          <w:color w:val="auto"/>
          <w:sz w:val="24"/>
          <w:szCs w:val="24"/>
          <w:lang w:val="en-US" w:eastAsia="zh-CN"/>
        </w:rPr>
        <w:fldChar w:fldCharType="begin"/>
      </w:r>
      <w:r>
        <w:rPr>
          <w:rFonts w:hint="eastAsia" w:ascii="Times New Roman" w:hAnsi="Times New Roman" w:eastAsia="宋体" w:cs="Times New Roman"/>
          <w:b w:val="0"/>
          <w:bCs w:val="0"/>
          <w:color w:val="auto"/>
          <w:sz w:val="24"/>
          <w:szCs w:val="24"/>
          <w:lang w:val="en-US" w:eastAsia="zh-CN"/>
        </w:rPr>
        <w:instrText xml:space="preserve"> ADDIN NE.Ref.{AEB094AE-8B6D-4A78-9E5B-F9DC54F89103}</w:instrText>
      </w:r>
      <w:r>
        <w:rPr>
          <w:rFonts w:hint="default" w:ascii="Times New Roman" w:hAnsi="Times New Roman" w:eastAsia="宋体" w:cs="Times New Roman"/>
          <w:b w:val="0"/>
          <w:bCs w:val="0"/>
          <w:color w:val="auto"/>
          <w:sz w:val="24"/>
          <w:szCs w:val="24"/>
          <w:lang w:val="en-US" w:eastAsia="zh-CN"/>
        </w:rPr>
        <w:fldChar w:fldCharType="separate"/>
      </w:r>
      <w:r>
        <w:rPr>
          <w:rFonts w:hint="eastAsia" w:ascii="宋体" w:hAnsi="宋体"/>
          <w:color w:val="auto"/>
          <w:sz w:val="21"/>
          <w:szCs w:val="24"/>
        </w:rPr>
        <w:t>[27, 28]</w:t>
      </w:r>
      <w:r>
        <w:rPr>
          <w:rFonts w:hint="default" w:ascii="Times New Roman" w:hAnsi="Times New Roman" w:eastAsia="宋体" w:cs="Times New Roman"/>
          <w:b w:val="0"/>
          <w:bCs w:val="0"/>
          <w:color w:val="auto"/>
          <w:sz w:val="24"/>
          <w:szCs w:val="24"/>
          <w:lang w:val="en-US" w:eastAsia="zh-CN"/>
        </w:rPr>
        <w:fldChar w:fldCharType="end"/>
      </w:r>
      <w:r>
        <w:rPr>
          <w:rFonts w:hint="default" w:ascii="Times New Roman" w:hAnsi="Times New Roman" w:eastAsia="宋体" w:cs="Times New Roman"/>
          <w:b w:val="0"/>
          <w:bCs w:val="0"/>
          <w:color w:val="auto"/>
          <w:sz w:val="24"/>
          <w:szCs w:val="24"/>
          <w:lang w:val="en-US" w:eastAsia="zh-CN"/>
        </w:rPr>
        <w:t>. While the BCLC staging system effectively integrates survival prognosis with treatment recommendations, significant heterogeneity exists within each stage category</w:t>
      </w:r>
      <w:r>
        <w:rPr>
          <w:rFonts w:hint="default" w:ascii="Times New Roman" w:hAnsi="Times New Roman" w:eastAsia="宋体" w:cs="Times New Roman"/>
          <w:b w:val="0"/>
          <w:bCs w:val="0"/>
          <w:color w:val="auto"/>
          <w:sz w:val="24"/>
          <w:szCs w:val="24"/>
          <w:lang w:val="en-US" w:eastAsia="zh-CN"/>
        </w:rPr>
        <w:fldChar w:fldCharType="begin"/>
      </w:r>
      <w:r>
        <w:rPr>
          <w:rFonts w:hint="eastAsia" w:ascii="Times New Roman" w:hAnsi="Times New Roman" w:eastAsia="宋体" w:cs="Times New Roman"/>
          <w:b w:val="0"/>
          <w:bCs w:val="0"/>
          <w:color w:val="auto"/>
          <w:sz w:val="24"/>
          <w:szCs w:val="24"/>
          <w:lang w:val="en-US" w:eastAsia="zh-CN"/>
        </w:rPr>
        <w:instrText xml:space="preserve"> ADDIN NE.Ref.{DC8E02C4-CBB5-4804-A169-FADCF9D126F6}</w:instrText>
      </w:r>
      <w:r>
        <w:rPr>
          <w:rFonts w:hint="default" w:ascii="Times New Roman" w:hAnsi="Times New Roman" w:eastAsia="宋体" w:cs="Times New Roman"/>
          <w:b w:val="0"/>
          <w:bCs w:val="0"/>
          <w:color w:val="auto"/>
          <w:sz w:val="24"/>
          <w:szCs w:val="24"/>
          <w:lang w:val="en-US" w:eastAsia="zh-CN"/>
        </w:rPr>
        <w:fldChar w:fldCharType="separate"/>
      </w:r>
      <w:r>
        <w:rPr>
          <w:rFonts w:hint="eastAsia" w:ascii="宋体" w:hAnsi="宋体"/>
          <w:color w:val="auto"/>
          <w:sz w:val="21"/>
          <w:szCs w:val="24"/>
        </w:rPr>
        <w:t>[29]</w:t>
      </w:r>
      <w:r>
        <w:rPr>
          <w:rFonts w:hint="default" w:ascii="Times New Roman" w:hAnsi="Times New Roman" w:eastAsia="宋体" w:cs="Times New Roman"/>
          <w:b w:val="0"/>
          <w:bCs w:val="0"/>
          <w:color w:val="auto"/>
          <w:sz w:val="24"/>
          <w:szCs w:val="24"/>
          <w:lang w:val="en-US" w:eastAsia="zh-CN"/>
        </w:rPr>
        <w:fldChar w:fldCharType="end"/>
      </w:r>
      <w:r>
        <w:rPr>
          <w:rFonts w:hint="default" w:ascii="Times New Roman" w:hAnsi="Times New Roman" w:eastAsia="宋体" w:cs="Times New Roman"/>
          <w:b w:val="0"/>
          <w:bCs w:val="0"/>
          <w:color w:val="auto"/>
          <w:sz w:val="24"/>
          <w:szCs w:val="24"/>
          <w:lang w:val="en-US" w:eastAsia="zh-CN"/>
        </w:rPr>
        <w:t>. This heterogeneity is particularly concerning given that nearly half of patients with early-stage disease succumb within five years despite receiving guideline-recommended therapy</w:t>
      </w:r>
      <w:r>
        <w:rPr>
          <w:rFonts w:hint="default" w:ascii="Times New Roman" w:hAnsi="Times New Roman" w:eastAsia="宋体" w:cs="Times New Roman"/>
          <w:b w:val="0"/>
          <w:bCs w:val="0"/>
          <w:color w:val="auto"/>
          <w:sz w:val="24"/>
          <w:szCs w:val="24"/>
          <w:lang w:val="en-US" w:eastAsia="zh-CN"/>
        </w:rPr>
        <w:fldChar w:fldCharType="begin"/>
      </w:r>
      <w:r>
        <w:rPr>
          <w:rFonts w:hint="eastAsia" w:ascii="Times New Roman" w:hAnsi="Times New Roman" w:eastAsia="宋体" w:cs="Times New Roman"/>
          <w:b w:val="0"/>
          <w:bCs w:val="0"/>
          <w:color w:val="auto"/>
          <w:sz w:val="24"/>
          <w:szCs w:val="24"/>
          <w:lang w:val="en-US" w:eastAsia="zh-CN"/>
        </w:rPr>
        <w:instrText xml:space="preserve"> ADDIN NE.Ref.{29A62007-FE35-478F-A697-66A1D8C56F05}</w:instrText>
      </w:r>
      <w:r>
        <w:rPr>
          <w:rFonts w:hint="default" w:ascii="Times New Roman" w:hAnsi="Times New Roman" w:eastAsia="宋体" w:cs="Times New Roman"/>
          <w:b w:val="0"/>
          <w:bCs w:val="0"/>
          <w:color w:val="auto"/>
          <w:sz w:val="24"/>
          <w:szCs w:val="24"/>
          <w:lang w:val="en-US" w:eastAsia="zh-CN"/>
        </w:rPr>
        <w:fldChar w:fldCharType="separate"/>
      </w:r>
      <w:r>
        <w:rPr>
          <w:rFonts w:hint="eastAsia" w:ascii="宋体" w:hAnsi="宋体"/>
          <w:color w:val="auto"/>
          <w:sz w:val="21"/>
          <w:szCs w:val="24"/>
        </w:rPr>
        <w:t>[30, 31]</w:t>
      </w:r>
      <w:r>
        <w:rPr>
          <w:rFonts w:hint="default" w:ascii="Times New Roman" w:hAnsi="Times New Roman" w:eastAsia="宋体" w:cs="Times New Roman"/>
          <w:b w:val="0"/>
          <w:bCs w:val="0"/>
          <w:color w:val="auto"/>
          <w:sz w:val="24"/>
          <w:szCs w:val="24"/>
          <w:lang w:val="en-US" w:eastAsia="zh-CN"/>
        </w:rPr>
        <w:fldChar w:fldCharType="end"/>
      </w:r>
      <w:r>
        <w:rPr>
          <w:rFonts w:hint="default" w:ascii="Times New Roman" w:hAnsi="Times New Roman" w:eastAsia="宋体" w:cs="Times New Roman"/>
          <w:b w:val="0"/>
          <w:bCs w:val="0"/>
          <w:color w:val="auto"/>
          <w:sz w:val="24"/>
          <w:szCs w:val="24"/>
          <w:lang w:val="en-US" w:eastAsia="zh-CN"/>
        </w:rPr>
        <w:t>. Such outcomes underscore the critical need for refined risk stratification tools that can identify high-risk patients across all disease stages, enabling more personalized treatment approaches and intensive surveillance strategies.</w:t>
      </w:r>
    </w:p>
    <w:p w14:paraId="0B2F49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Our observation regarding the stage-specific performance of individual biomarkers aligns with and expands upon recent literature. Previous studies have heavily emphasized the utility of the FIB-4 index as a reflection of background liver cirrhosis and a predictor of recurrence in HCC patients undergoing curative resection or ablation</w:t>
      </w:r>
      <w:r>
        <w:rPr>
          <w:rFonts w:hint="default" w:ascii="Times New Roman" w:hAnsi="Times New Roman" w:eastAsia="宋体" w:cs="Times New Roman"/>
          <w:b w:val="0"/>
          <w:bCs w:val="0"/>
          <w:color w:val="auto"/>
          <w:sz w:val="24"/>
          <w:szCs w:val="24"/>
          <w:lang w:val="en-US" w:eastAsia="zh-CN"/>
        </w:rPr>
        <w:fldChar w:fldCharType="begin"/>
      </w:r>
      <w:r>
        <w:rPr>
          <w:rFonts w:hint="eastAsia" w:ascii="Times New Roman" w:hAnsi="Times New Roman" w:eastAsia="宋体" w:cs="Times New Roman"/>
          <w:b w:val="0"/>
          <w:bCs w:val="0"/>
          <w:color w:val="auto"/>
          <w:sz w:val="24"/>
          <w:szCs w:val="24"/>
          <w:lang w:val="en-US" w:eastAsia="zh-CN"/>
        </w:rPr>
        <w:instrText xml:space="preserve"> ADDIN NE.Ref.{520482EE-64AF-4ACC-B803-13729824AA66}</w:instrText>
      </w:r>
      <w:r>
        <w:rPr>
          <w:rFonts w:hint="default" w:ascii="Times New Roman" w:hAnsi="Times New Roman" w:eastAsia="宋体" w:cs="Times New Roman"/>
          <w:b w:val="0"/>
          <w:bCs w:val="0"/>
          <w:color w:val="auto"/>
          <w:sz w:val="24"/>
          <w:szCs w:val="24"/>
          <w:lang w:val="en-US" w:eastAsia="zh-CN"/>
        </w:rPr>
        <w:fldChar w:fldCharType="separate"/>
      </w:r>
      <w:r>
        <w:rPr>
          <w:rFonts w:hint="eastAsia" w:ascii="宋体" w:hAnsi="宋体"/>
          <w:color w:val="auto"/>
          <w:sz w:val="21"/>
          <w:szCs w:val="24"/>
        </w:rPr>
        <w:t>[32, 33]</w:t>
      </w:r>
      <w:r>
        <w:rPr>
          <w:rFonts w:hint="default" w:ascii="Times New Roman" w:hAnsi="Times New Roman" w:eastAsia="宋体" w:cs="Times New Roman"/>
          <w:b w:val="0"/>
          <w:bCs w:val="0"/>
          <w:color w:val="auto"/>
          <w:sz w:val="24"/>
          <w:szCs w:val="24"/>
          <w:lang w:val="en-US" w:eastAsia="zh-CN"/>
        </w:rPr>
        <w:fldChar w:fldCharType="end"/>
      </w:r>
      <w:r>
        <w:rPr>
          <w:rFonts w:hint="default" w:ascii="Times New Roman" w:hAnsi="Times New Roman" w:eastAsia="宋体" w:cs="Times New Roman"/>
          <w:b w:val="0"/>
          <w:bCs w:val="0"/>
          <w:color w:val="auto"/>
          <w:sz w:val="24"/>
          <w:szCs w:val="24"/>
          <w:lang w:val="en-US" w:eastAsia="zh-CN"/>
        </w:rPr>
        <w:t>. Concurrently, AFP is widely recognized as a surrogate for tumor biological behavior and a robust prognostic biomarker for HCC</w:t>
      </w:r>
      <w:r>
        <w:rPr>
          <w:rFonts w:hint="default" w:ascii="Times New Roman" w:hAnsi="Times New Roman" w:eastAsia="宋体" w:cs="Times New Roman"/>
          <w:b w:val="0"/>
          <w:bCs w:val="0"/>
          <w:color w:val="auto"/>
          <w:sz w:val="24"/>
          <w:szCs w:val="24"/>
          <w:lang w:val="en-US" w:eastAsia="zh-CN"/>
        </w:rPr>
        <w:fldChar w:fldCharType="begin"/>
      </w:r>
      <w:r>
        <w:rPr>
          <w:rFonts w:hint="eastAsia" w:ascii="Times New Roman" w:hAnsi="Times New Roman" w:eastAsia="宋体" w:cs="Times New Roman"/>
          <w:b w:val="0"/>
          <w:bCs w:val="0"/>
          <w:color w:val="auto"/>
          <w:sz w:val="24"/>
          <w:szCs w:val="24"/>
          <w:lang w:val="en-US" w:eastAsia="zh-CN"/>
        </w:rPr>
        <w:instrText xml:space="preserve"> ADDIN NE.Ref.{BDBF19BD-58A6-484E-A977-8BC4E53775D7}</w:instrText>
      </w:r>
      <w:r>
        <w:rPr>
          <w:rFonts w:hint="default" w:ascii="Times New Roman" w:hAnsi="Times New Roman" w:eastAsia="宋体" w:cs="Times New Roman"/>
          <w:b w:val="0"/>
          <w:bCs w:val="0"/>
          <w:color w:val="auto"/>
          <w:sz w:val="24"/>
          <w:szCs w:val="24"/>
          <w:lang w:val="en-US" w:eastAsia="zh-CN"/>
        </w:rPr>
        <w:fldChar w:fldCharType="separate"/>
      </w:r>
      <w:r>
        <w:rPr>
          <w:rFonts w:hint="eastAsia" w:ascii="宋体" w:hAnsi="宋体"/>
          <w:color w:val="auto"/>
          <w:sz w:val="21"/>
          <w:szCs w:val="24"/>
        </w:rPr>
        <w:t>[34, 35]</w:t>
      </w:r>
      <w:r>
        <w:rPr>
          <w:rFonts w:hint="default" w:ascii="Times New Roman" w:hAnsi="Times New Roman" w:eastAsia="宋体" w:cs="Times New Roman"/>
          <w:b w:val="0"/>
          <w:bCs w:val="0"/>
          <w:color w:val="auto"/>
          <w:sz w:val="24"/>
          <w:szCs w:val="24"/>
          <w:lang w:val="en-US" w:eastAsia="zh-CN"/>
        </w:rPr>
        <w:fldChar w:fldCharType="end"/>
      </w:r>
      <w:r>
        <w:rPr>
          <w:rFonts w:hint="default" w:ascii="Times New Roman" w:hAnsi="Times New Roman" w:eastAsia="宋体" w:cs="Times New Roman"/>
          <w:b w:val="0"/>
          <w:bCs w:val="0"/>
          <w:color w:val="auto"/>
          <w:sz w:val="24"/>
          <w:szCs w:val="24"/>
          <w:lang w:val="en-US" w:eastAsia="zh-CN"/>
        </w:rPr>
        <w:t>. However, investigations into the stage-specific prognostic performance of FIB-4 and AFP across different</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lang w:val="en-US" w:eastAsia="zh-CN"/>
        </w:rPr>
        <w:t>BCLC</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lang w:val="en-US" w:eastAsia="zh-CN"/>
        </w:rPr>
        <w:t>stages remain sparse, and their synergistic potential when combined has rarely been explored. In this comprehensive analysis of a substantial HCC patient cohort, we systematically evaluated the prognostic utility of individual biomarkers (FIB-4 index and AFP) and their novel combination (AFP-FIB-4 score) across different BCLC stages. Our findings revealed distinct stage-specific prognostic patterns: while the FIB-4 index demonstrated predictive value exclusively in early-stage disease (BCLC 0/A), AFP showed prognostic significance primarily in intermediate to advanced stages (BCLC B/C). Notably, the integrated AFP-FIB-4 scoring system overcame these individual limitations, achieving consistent prognostic stratification across all BCLC stages with statistically significant discrimination of both DFS and OS outcomes. ROC curve analysis further validated the superior discriminatory capacity of the combined score (AUC = 0.623) compared to either biomarker alone (FIB-4: AUC = 0.565; AFP: AUC = 0.553). This comprehensive prognostic performance suggests that the AFP-FIB-4 score may serve as a clinically valuable tool for universal risk stratification in HCC patients across all disease stages. Moreover, while recent deep-learning imaging protocols offer high accuracy, their clinical application is often hindered by prohibitive costs and poor standardization</w:t>
      </w:r>
      <w:r>
        <w:rPr>
          <w:rFonts w:hint="default" w:ascii="Times New Roman" w:hAnsi="Times New Roman" w:eastAsia="宋体" w:cs="Times New Roman"/>
          <w:b w:val="0"/>
          <w:bCs w:val="0"/>
          <w:color w:val="auto"/>
          <w:sz w:val="24"/>
          <w:szCs w:val="24"/>
          <w:lang w:val="en-US" w:eastAsia="zh-CN"/>
        </w:rPr>
        <w:fldChar w:fldCharType="begin"/>
      </w:r>
      <w:r>
        <w:rPr>
          <w:rFonts w:hint="eastAsia" w:ascii="Times New Roman" w:hAnsi="Times New Roman" w:eastAsia="宋体" w:cs="Times New Roman"/>
          <w:b w:val="0"/>
          <w:bCs w:val="0"/>
          <w:color w:val="auto"/>
          <w:sz w:val="24"/>
          <w:szCs w:val="24"/>
          <w:lang w:val="en-US" w:eastAsia="zh-CN"/>
        </w:rPr>
        <w:instrText xml:space="preserve"> ADDIN NE.Ref.{20AA4666-2EDD-4755-A1A9-DA9C9ACC958B}</w:instrText>
      </w:r>
      <w:r>
        <w:rPr>
          <w:rFonts w:hint="default" w:ascii="Times New Roman" w:hAnsi="Times New Roman" w:eastAsia="宋体" w:cs="Times New Roman"/>
          <w:b w:val="0"/>
          <w:bCs w:val="0"/>
          <w:color w:val="auto"/>
          <w:sz w:val="24"/>
          <w:szCs w:val="24"/>
          <w:lang w:val="en-US" w:eastAsia="zh-CN"/>
        </w:rPr>
        <w:fldChar w:fldCharType="separate"/>
      </w:r>
      <w:r>
        <w:rPr>
          <w:rFonts w:hint="eastAsia" w:ascii="宋体" w:hAnsi="宋体"/>
          <w:color w:val="auto"/>
          <w:sz w:val="21"/>
          <w:szCs w:val="24"/>
        </w:rPr>
        <w:t>[36]</w:t>
      </w:r>
      <w:r>
        <w:rPr>
          <w:rFonts w:hint="default" w:ascii="Times New Roman" w:hAnsi="Times New Roman" w:eastAsia="宋体" w:cs="Times New Roman"/>
          <w:b w:val="0"/>
          <w:bCs w:val="0"/>
          <w:color w:val="auto"/>
          <w:sz w:val="24"/>
          <w:szCs w:val="24"/>
          <w:lang w:val="en-US" w:eastAsia="zh-CN"/>
        </w:rPr>
        <w:fldChar w:fldCharType="end"/>
      </w:r>
      <w:r>
        <w:rPr>
          <w:rFonts w:hint="default" w:ascii="Times New Roman" w:hAnsi="Times New Roman" w:eastAsia="宋体" w:cs="Times New Roman"/>
          <w:b w:val="0"/>
          <w:bCs w:val="0"/>
          <w:color w:val="auto"/>
          <w:sz w:val="24"/>
          <w:szCs w:val="24"/>
          <w:lang w:val="en-US" w:eastAsia="zh-CN"/>
        </w:rPr>
        <w:t xml:space="preserve">, the AFP-FIB-4 score leverages routinely available, objective laboratory parameters. </w:t>
      </w:r>
    </w:p>
    <w:p w14:paraId="5E03CF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 xml:space="preserve">  In our study, multivariate analysis demonstrated that FIB-4 index</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lang w:val="en-US" w:eastAsia="zh-CN"/>
        </w:rPr>
        <w:t>failed to emerge as an independent prognostic factor. This finding is consistent with previous studies</w:t>
      </w:r>
      <w:r>
        <w:rPr>
          <w:rFonts w:hint="default" w:ascii="Times New Roman" w:hAnsi="Times New Roman" w:eastAsia="宋体" w:cs="Times New Roman"/>
          <w:b w:val="0"/>
          <w:bCs w:val="0"/>
          <w:color w:val="auto"/>
          <w:sz w:val="24"/>
          <w:szCs w:val="24"/>
          <w:lang w:val="en-US" w:eastAsia="zh-CN"/>
        </w:rPr>
        <w:fldChar w:fldCharType="begin"/>
      </w:r>
      <w:r>
        <w:rPr>
          <w:rFonts w:hint="eastAsia" w:ascii="Times New Roman" w:hAnsi="Times New Roman" w:eastAsia="宋体" w:cs="Times New Roman"/>
          <w:b w:val="0"/>
          <w:bCs w:val="0"/>
          <w:color w:val="auto"/>
          <w:sz w:val="24"/>
          <w:szCs w:val="24"/>
          <w:lang w:val="en-US" w:eastAsia="zh-CN"/>
        </w:rPr>
        <w:instrText xml:space="preserve"> ADDIN NE.Ref.{FF2EDE91-91DE-4492-8A10-B22D798F92F2}</w:instrText>
      </w:r>
      <w:r>
        <w:rPr>
          <w:rFonts w:hint="default" w:ascii="Times New Roman" w:hAnsi="Times New Roman" w:eastAsia="宋体" w:cs="Times New Roman"/>
          <w:b w:val="0"/>
          <w:bCs w:val="0"/>
          <w:color w:val="auto"/>
          <w:sz w:val="24"/>
          <w:szCs w:val="24"/>
          <w:lang w:val="en-US" w:eastAsia="zh-CN"/>
        </w:rPr>
        <w:fldChar w:fldCharType="separate"/>
      </w:r>
      <w:r>
        <w:rPr>
          <w:rFonts w:hint="eastAsia" w:ascii="宋体" w:hAnsi="宋体"/>
          <w:color w:val="auto"/>
          <w:sz w:val="21"/>
          <w:szCs w:val="24"/>
        </w:rPr>
        <w:t>[13, 37]</w:t>
      </w:r>
      <w:r>
        <w:rPr>
          <w:rFonts w:hint="default" w:ascii="Times New Roman" w:hAnsi="Times New Roman" w:eastAsia="宋体" w:cs="Times New Roman"/>
          <w:b w:val="0"/>
          <w:bCs w:val="0"/>
          <w:color w:val="auto"/>
          <w:sz w:val="24"/>
          <w:szCs w:val="24"/>
          <w:lang w:val="en-US" w:eastAsia="zh-CN"/>
        </w:rPr>
        <w:fldChar w:fldCharType="end"/>
      </w:r>
      <w:r>
        <w:rPr>
          <w:rFonts w:hint="default" w:ascii="Times New Roman" w:hAnsi="Times New Roman" w:eastAsia="宋体" w:cs="Times New Roman"/>
          <w:b w:val="0"/>
          <w:bCs w:val="0"/>
          <w:color w:val="auto"/>
          <w:sz w:val="24"/>
          <w:szCs w:val="24"/>
          <w:lang w:val="en-US" w:eastAsia="zh-CN"/>
        </w:rPr>
        <w:t>. The FIB-4 index, calculated from platelet count, age, ALT, and AST levels, primarily reflects hepatic inflammation and fibrosis status</w:t>
      </w:r>
      <w:r>
        <w:rPr>
          <w:rFonts w:hint="default" w:ascii="Times New Roman" w:hAnsi="Times New Roman" w:eastAsia="宋体" w:cs="Times New Roman"/>
          <w:b w:val="0"/>
          <w:bCs w:val="0"/>
          <w:color w:val="auto"/>
          <w:sz w:val="24"/>
          <w:szCs w:val="24"/>
          <w:lang w:val="en-US" w:eastAsia="zh-CN"/>
        </w:rPr>
        <w:fldChar w:fldCharType="begin"/>
      </w:r>
      <w:r>
        <w:rPr>
          <w:rFonts w:hint="eastAsia" w:ascii="Times New Roman" w:hAnsi="Times New Roman" w:eastAsia="宋体" w:cs="Times New Roman"/>
          <w:b w:val="0"/>
          <w:bCs w:val="0"/>
          <w:color w:val="auto"/>
          <w:sz w:val="24"/>
          <w:szCs w:val="24"/>
          <w:lang w:val="en-US" w:eastAsia="zh-CN"/>
        </w:rPr>
        <w:instrText xml:space="preserve"> ADDIN NE.Ref.{3B20D1DE-1CF3-415C-9ABE-30D82BF317D4}</w:instrText>
      </w:r>
      <w:r>
        <w:rPr>
          <w:rFonts w:hint="default" w:ascii="Times New Roman" w:hAnsi="Times New Roman" w:eastAsia="宋体" w:cs="Times New Roman"/>
          <w:b w:val="0"/>
          <w:bCs w:val="0"/>
          <w:color w:val="auto"/>
          <w:sz w:val="24"/>
          <w:szCs w:val="24"/>
          <w:lang w:val="en-US" w:eastAsia="zh-CN"/>
        </w:rPr>
        <w:fldChar w:fldCharType="separate"/>
      </w:r>
      <w:r>
        <w:rPr>
          <w:rFonts w:hint="eastAsia" w:ascii="宋体" w:hAnsi="宋体"/>
          <w:color w:val="auto"/>
          <w:sz w:val="21"/>
          <w:szCs w:val="24"/>
        </w:rPr>
        <w:t>[38]</w:t>
      </w:r>
      <w:r>
        <w:rPr>
          <w:rFonts w:hint="default" w:ascii="Times New Roman" w:hAnsi="Times New Roman" w:eastAsia="宋体" w:cs="Times New Roman"/>
          <w:b w:val="0"/>
          <w:bCs w:val="0"/>
          <w:color w:val="auto"/>
          <w:sz w:val="24"/>
          <w:szCs w:val="24"/>
          <w:lang w:val="en-US" w:eastAsia="zh-CN"/>
        </w:rPr>
        <w:fldChar w:fldCharType="end"/>
      </w:r>
      <w:r>
        <w:rPr>
          <w:rFonts w:hint="default" w:ascii="Times New Roman" w:hAnsi="Times New Roman" w:eastAsia="宋体" w:cs="Times New Roman"/>
          <w:b w:val="0"/>
          <w:bCs w:val="0"/>
          <w:color w:val="auto"/>
          <w:sz w:val="24"/>
          <w:szCs w:val="24"/>
          <w:lang w:val="en-US" w:eastAsia="zh-CN"/>
        </w:rPr>
        <w:t xml:space="preserve">. The observed association between FIB-4 </w:t>
      </w:r>
      <w:r>
        <w:rPr>
          <w:rFonts w:hint="eastAsia" w:ascii="Times New Roman" w:hAnsi="Times New Roman" w:eastAsia="宋体" w:cs="Times New Roman"/>
          <w:b w:val="0"/>
          <w:bCs w:val="0"/>
          <w:color w:val="auto"/>
          <w:sz w:val="24"/>
          <w:szCs w:val="24"/>
          <w:lang w:val="en-US" w:eastAsia="zh-CN"/>
        </w:rPr>
        <w:t xml:space="preserve">index </w:t>
      </w:r>
      <w:r>
        <w:rPr>
          <w:rFonts w:hint="default" w:ascii="Times New Roman" w:hAnsi="Times New Roman" w:eastAsia="宋体" w:cs="Times New Roman"/>
          <w:b w:val="0"/>
          <w:bCs w:val="0"/>
          <w:color w:val="auto"/>
          <w:sz w:val="24"/>
          <w:szCs w:val="24"/>
          <w:lang w:val="en-US" w:eastAsia="zh-CN"/>
        </w:rPr>
        <w:t xml:space="preserve">and survival outcomes likely reflects the severity of underlying liver disease, thereby indirectly influencing patient prognosis. Nevertheless, when tumor-related variables directly associated with biological behavior—including tumor stage, size, and number—were incorporated into the multivariate model, these factors demonstrated more pronounced prognostic significance, rendering the predictive value of FIB-4 </w:t>
      </w:r>
      <w:r>
        <w:rPr>
          <w:rFonts w:hint="eastAsia" w:ascii="Times New Roman" w:hAnsi="Times New Roman" w:eastAsia="宋体" w:cs="Times New Roman"/>
          <w:b w:val="0"/>
          <w:bCs w:val="0"/>
          <w:color w:val="auto"/>
          <w:sz w:val="24"/>
          <w:szCs w:val="24"/>
          <w:lang w:val="en-US" w:eastAsia="zh-CN"/>
        </w:rPr>
        <w:t xml:space="preserve">index </w:t>
      </w:r>
      <w:r>
        <w:rPr>
          <w:rFonts w:hint="default" w:ascii="Times New Roman" w:hAnsi="Times New Roman" w:eastAsia="宋体" w:cs="Times New Roman"/>
          <w:b w:val="0"/>
          <w:bCs w:val="0"/>
          <w:color w:val="auto"/>
          <w:sz w:val="24"/>
          <w:szCs w:val="24"/>
          <w:lang w:val="en-US" w:eastAsia="zh-CN"/>
        </w:rPr>
        <w:t>non-significant in the multivariate analysis.</w:t>
      </w:r>
    </w:p>
    <w:p w14:paraId="042B9B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 xml:space="preserve">Differences in prognostic performance of FIB-4 </w:t>
      </w:r>
      <w:r>
        <w:rPr>
          <w:rFonts w:hint="eastAsia" w:ascii="Times New Roman" w:hAnsi="Times New Roman" w:eastAsia="宋体" w:cs="Times New Roman"/>
          <w:b w:val="0"/>
          <w:bCs w:val="0"/>
          <w:color w:val="auto"/>
          <w:sz w:val="24"/>
          <w:szCs w:val="24"/>
          <w:lang w:val="en-US" w:eastAsia="zh-CN"/>
        </w:rPr>
        <w:t xml:space="preserve">index </w:t>
      </w:r>
      <w:r>
        <w:rPr>
          <w:rFonts w:hint="default" w:ascii="Times New Roman" w:hAnsi="Times New Roman" w:eastAsia="宋体" w:cs="Times New Roman"/>
          <w:b w:val="0"/>
          <w:bCs w:val="0"/>
          <w:color w:val="auto"/>
          <w:sz w:val="24"/>
          <w:szCs w:val="24"/>
          <w:lang w:val="en-US" w:eastAsia="zh-CN"/>
        </w:rPr>
        <w:t xml:space="preserve">and AFP across BCLC stages can be attributed to multiple factors. In BCLC </w:t>
      </w:r>
      <w:r>
        <w:rPr>
          <w:rFonts w:hint="default" w:ascii="Times New Roman" w:hAnsi="Times New Roman" w:eastAsia="宋体" w:cs="Times New Roman"/>
          <w:b w:val="0"/>
          <w:bCs w:val="0"/>
          <w:color w:val="auto"/>
          <w:sz w:val="24"/>
          <w:szCs w:val="24"/>
          <w:highlight w:val="none"/>
          <w:lang w:val="en-US" w:eastAsia="zh-CN"/>
        </w:rPr>
        <w:t>stage 0 or A,</w:t>
      </w:r>
      <w:r>
        <w:rPr>
          <w:rFonts w:hint="default" w:ascii="Times New Roman" w:hAnsi="Times New Roman" w:eastAsia="宋体" w:cs="Times New Roman"/>
          <w:b w:val="0"/>
          <w:bCs w:val="0"/>
          <w:color w:val="auto"/>
          <w:sz w:val="24"/>
          <w:szCs w:val="24"/>
          <w:lang w:val="en-US" w:eastAsia="zh-CN"/>
        </w:rPr>
        <w:t xml:space="preserve"> where tumor burden is minimal and metastasis is absent</w:t>
      </w:r>
      <w:r>
        <w:rPr>
          <w:rFonts w:hint="default" w:ascii="Times New Roman" w:hAnsi="Times New Roman" w:eastAsia="宋体" w:cs="Times New Roman"/>
          <w:b w:val="0"/>
          <w:bCs w:val="0"/>
          <w:color w:val="auto"/>
          <w:sz w:val="24"/>
          <w:szCs w:val="24"/>
          <w:lang w:val="en-US" w:eastAsia="zh-CN"/>
        </w:rPr>
        <w:fldChar w:fldCharType="begin"/>
      </w:r>
      <w:r>
        <w:rPr>
          <w:rFonts w:hint="eastAsia" w:ascii="Times New Roman" w:hAnsi="Times New Roman" w:eastAsia="宋体" w:cs="Times New Roman"/>
          <w:b w:val="0"/>
          <w:bCs w:val="0"/>
          <w:color w:val="auto"/>
          <w:sz w:val="24"/>
          <w:szCs w:val="24"/>
          <w:lang w:val="en-US" w:eastAsia="zh-CN"/>
        </w:rPr>
        <w:instrText xml:space="preserve"> ADDIN NE.Ref.{3F645ACC-C3CA-4FB4-B894-598992F37F9A}</w:instrText>
      </w:r>
      <w:r>
        <w:rPr>
          <w:rFonts w:hint="default" w:ascii="Times New Roman" w:hAnsi="Times New Roman" w:eastAsia="宋体" w:cs="Times New Roman"/>
          <w:b w:val="0"/>
          <w:bCs w:val="0"/>
          <w:color w:val="auto"/>
          <w:sz w:val="24"/>
          <w:szCs w:val="24"/>
          <w:lang w:val="en-US" w:eastAsia="zh-CN"/>
        </w:rPr>
        <w:fldChar w:fldCharType="separate"/>
      </w:r>
      <w:r>
        <w:rPr>
          <w:rFonts w:hint="eastAsia" w:ascii="宋体" w:hAnsi="宋体"/>
          <w:color w:val="auto"/>
          <w:sz w:val="21"/>
          <w:szCs w:val="24"/>
        </w:rPr>
        <w:t>[29]</w:t>
      </w:r>
      <w:r>
        <w:rPr>
          <w:rFonts w:hint="default" w:ascii="Times New Roman" w:hAnsi="Times New Roman" w:eastAsia="宋体" w:cs="Times New Roman"/>
          <w:b w:val="0"/>
          <w:bCs w:val="0"/>
          <w:color w:val="auto"/>
          <w:sz w:val="24"/>
          <w:szCs w:val="24"/>
          <w:lang w:val="en-US" w:eastAsia="zh-CN"/>
        </w:rPr>
        <w:fldChar w:fldCharType="end"/>
      </w:r>
      <w:r>
        <w:rPr>
          <w:rFonts w:hint="default" w:ascii="Times New Roman" w:hAnsi="Times New Roman" w:eastAsia="宋体" w:cs="Times New Roman"/>
          <w:b w:val="0"/>
          <w:bCs w:val="0"/>
          <w:color w:val="auto"/>
          <w:sz w:val="24"/>
          <w:szCs w:val="24"/>
          <w:lang w:val="en-US" w:eastAsia="zh-CN"/>
        </w:rPr>
        <w:t>, liver fibrosis is a key determinant of patient outcomes</w:t>
      </w:r>
      <w:r>
        <w:rPr>
          <w:rFonts w:hint="default" w:ascii="Times New Roman" w:hAnsi="Times New Roman" w:eastAsia="宋体" w:cs="Times New Roman"/>
          <w:b w:val="0"/>
          <w:bCs w:val="0"/>
          <w:color w:val="auto"/>
          <w:sz w:val="24"/>
          <w:szCs w:val="24"/>
          <w:lang w:val="en-US" w:eastAsia="zh-CN"/>
        </w:rPr>
        <w:fldChar w:fldCharType="begin"/>
      </w:r>
      <w:r>
        <w:rPr>
          <w:rFonts w:hint="eastAsia" w:ascii="Times New Roman" w:hAnsi="Times New Roman" w:eastAsia="宋体" w:cs="Times New Roman"/>
          <w:b w:val="0"/>
          <w:bCs w:val="0"/>
          <w:color w:val="auto"/>
          <w:sz w:val="24"/>
          <w:szCs w:val="24"/>
          <w:lang w:val="en-US" w:eastAsia="zh-CN"/>
        </w:rPr>
        <w:instrText xml:space="preserve"> ADDIN NE.Ref.{D4224F8D-6E82-46FA-BC23-91A7C7E0C519}</w:instrText>
      </w:r>
      <w:r>
        <w:rPr>
          <w:rFonts w:hint="default" w:ascii="Times New Roman" w:hAnsi="Times New Roman" w:eastAsia="宋体" w:cs="Times New Roman"/>
          <w:b w:val="0"/>
          <w:bCs w:val="0"/>
          <w:color w:val="auto"/>
          <w:sz w:val="24"/>
          <w:szCs w:val="24"/>
          <w:lang w:val="en-US" w:eastAsia="zh-CN"/>
        </w:rPr>
        <w:fldChar w:fldCharType="separate"/>
      </w:r>
      <w:r>
        <w:rPr>
          <w:rFonts w:hint="eastAsia" w:ascii="宋体" w:hAnsi="宋体"/>
          <w:color w:val="auto"/>
          <w:sz w:val="21"/>
          <w:szCs w:val="24"/>
        </w:rPr>
        <w:t>[38]</w:t>
      </w:r>
      <w:r>
        <w:rPr>
          <w:rFonts w:hint="default" w:ascii="Times New Roman" w:hAnsi="Times New Roman" w:eastAsia="宋体" w:cs="Times New Roman"/>
          <w:b w:val="0"/>
          <w:bCs w:val="0"/>
          <w:color w:val="auto"/>
          <w:sz w:val="24"/>
          <w:szCs w:val="24"/>
          <w:lang w:val="en-US" w:eastAsia="zh-CN"/>
        </w:rPr>
        <w:fldChar w:fldCharType="end"/>
      </w:r>
      <w:r>
        <w:rPr>
          <w:rFonts w:hint="default" w:ascii="Times New Roman" w:hAnsi="Times New Roman" w:eastAsia="宋体" w:cs="Times New Roman"/>
          <w:b w:val="0"/>
          <w:bCs w:val="0"/>
          <w:color w:val="auto"/>
          <w:sz w:val="24"/>
          <w:szCs w:val="24"/>
          <w:lang w:val="en-US" w:eastAsia="zh-CN"/>
        </w:rPr>
        <w:t>. The FIB-4 index effectively evaluates fibrosis severity, providing insights into liver functional reserve and potential postoperative complications</w:t>
      </w:r>
      <w:r>
        <w:rPr>
          <w:rFonts w:hint="default" w:ascii="Times New Roman" w:hAnsi="Times New Roman" w:eastAsia="宋体" w:cs="Times New Roman"/>
          <w:b w:val="0"/>
          <w:bCs w:val="0"/>
          <w:color w:val="auto"/>
          <w:sz w:val="24"/>
          <w:szCs w:val="24"/>
          <w:lang w:val="en-US" w:eastAsia="zh-CN"/>
        </w:rPr>
        <w:fldChar w:fldCharType="begin"/>
      </w:r>
      <w:r>
        <w:rPr>
          <w:rFonts w:hint="eastAsia" w:ascii="Times New Roman" w:hAnsi="Times New Roman" w:eastAsia="宋体" w:cs="Times New Roman"/>
          <w:b w:val="0"/>
          <w:bCs w:val="0"/>
          <w:color w:val="auto"/>
          <w:sz w:val="24"/>
          <w:szCs w:val="24"/>
          <w:lang w:val="en-US" w:eastAsia="zh-CN"/>
        </w:rPr>
        <w:instrText xml:space="preserve"> ADDIN NE.Ref.{0062959B-0803-4FF0-82F7-54C4E04B750B}</w:instrText>
      </w:r>
      <w:r>
        <w:rPr>
          <w:rFonts w:hint="default" w:ascii="Times New Roman" w:hAnsi="Times New Roman" w:eastAsia="宋体" w:cs="Times New Roman"/>
          <w:b w:val="0"/>
          <w:bCs w:val="0"/>
          <w:color w:val="auto"/>
          <w:sz w:val="24"/>
          <w:szCs w:val="24"/>
          <w:lang w:val="en-US" w:eastAsia="zh-CN"/>
        </w:rPr>
        <w:fldChar w:fldCharType="separate"/>
      </w:r>
      <w:r>
        <w:rPr>
          <w:rFonts w:hint="eastAsia" w:ascii="宋体" w:hAnsi="宋体"/>
          <w:color w:val="auto"/>
          <w:sz w:val="21"/>
          <w:szCs w:val="24"/>
        </w:rPr>
        <w:t>[39]</w:t>
      </w:r>
      <w:r>
        <w:rPr>
          <w:rFonts w:hint="default" w:ascii="Times New Roman" w:hAnsi="Times New Roman" w:eastAsia="宋体" w:cs="Times New Roman"/>
          <w:b w:val="0"/>
          <w:bCs w:val="0"/>
          <w:color w:val="auto"/>
          <w:sz w:val="24"/>
          <w:szCs w:val="24"/>
          <w:lang w:val="en-US" w:eastAsia="zh-CN"/>
        </w:rPr>
        <w:fldChar w:fldCharType="end"/>
      </w:r>
      <w:r>
        <w:rPr>
          <w:rFonts w:hint="default" w:ascii="Times New Roman" w:hAnsi="Times New Roman" w:eastAsia="宋体" w:cs="Times New Roman"/>
          <w:b w:val="0"/>
          <w:bCs w:val="0"/>
          <w:color w:val="auto"/>
          <w:sz w:val="24"/>
          <w:szCs w:val="24"/>
          <w:lang w:val="en-US" w:eastAsia="zh-CN"/>
        </w:rPr>
        <w:t>, thereby helping to distinguish survival differences. The mechanism underlying its effectiveness in early stages lies in its ability to reflect the risk of multicentric occurrence (de novo recurrence) and the liver's tolerance to curative treatments like resection or ablation</w:t>
      </w:r>
      <w:r>
        <w:rPr>
          <w:rFonts w:hint="default" w:ascii="Times New Roman" w:hAnsi="Times New Roman" w:eastAsia="宋体" w:cs="Times New Roman"/>
          <w:b w:val="0"/>
          <w:bCs w:val="0"/>
          <w:color w:val="auto"/>
          <w:sz w:val="24"/>
          <w:szCs w:val="24"/>
          <w:lang w:val="en-US" w:eastAsia="zh-CN"/>
        </w:rPr>
        <w:fldChar w:fldCharType="begin"/>
      </w:r>
      <w:r>
        <w:rPr>
          <w:rFonts w:hint="eastAsia" w:ascii="Times New Roman" w:hAnsi="Times New Roman" w:eastAsia="宋体" w:cs="Times New Roman"/>
          <w:b w:val="0"/>
          <w:bCs w:val="0"/>
          <w:color w:val="auto"/>
          <w:sz w:val="24"/>
          <w:szCs w:val="24"/>
          <w:lang w:val="en-US" w:eastAsia="zh-CN"/>
        </w:rPr>
        <w:instrText xml:space="preserve"> ADDIN NE.Ref.{DB21B802-8E43-41D8-951A-58A18C399FDB}</w:instrText>
      </w:r>
      <w:r>
        <w:rPr>
          <w:rFonts w:hint="default" w:ascii="Times New Roman" w:hAnsi="Times New Roman" w:eastAsia="宋体" w:cs="Times New Roman"/>
          <w:b w:val="0"/>
          <w:bCs w:val="0"/>
          <w:color w:val="auto"/>
          <w:sz w:val="24"/>
          <w:szCs w:val="24"/>
          <w:lang w:val="en-US" w:eastAsia="zh-CN"/>
        </w:rPr>
        <w:fldChar w:fldCharType="separate"/>
      </w:r>
      <w:r>
        <w:rPr>
          <w:rFonts w:hint="eastAsia" w:ascii="宋体" w:hAnsi="宋体"/>
          <w:color w:val="auto"/>
          <w:sz w:val="21"/>
          <w:szCs w:val="24"/>
        </w:rPr>
        <w:t>[40]</w:t>
      </w:r>
      <w:r>
        <w:rPr>
          <w:rFonts w:hint="default" w:ascii="Times New Roman" w:hAnsi="Times New Roman" w:eastAsia="宋体" w:cs="Times New Roman"/>
          <w:b w:val="0"/>
          <w:bCs w:val="0"/>
          <w:color w:val="auto"/>
          <w:sz w:val="24"/>
          <w:szCs w:val="24"/>
          <w:lang w:val="en-US" w:eastAsia="zh-CN"/>
        </w:rPr>
        <w:fldChar w:fldCharType="end"/>
      </w:r>
      <w:r>
        <w:rPr>
          <w:rFonts w:hint="default" w:ascii="Times New Roman" w:hAnsi="Times New Roman" w:eastAsia="宋体" w:cs="Times New Roman"/>
          <w:b w:val="0"/>
          <w:bCs w:val="0"/>
          <w:color w:val="auto"/>
          <w:sz w:val="24"/>
          <w:szCs w:val="24"/>
          <w:lang w:val="en-US" w:eastAsia="zh-CN"/>
        </w:rPr>
        <w:t>.</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lang w:val="en-US" w:eastAsia="zh-CN"/>
        </w:rPr>
        <w:t>Conversely, AFP levels are often low at this stage due to the limited presence of tumor cells, many of which are well-differentiated and have low synthetic activity</w:t>
      </w:r>
      <w:r>
        <w:rPr>
          <w:rFonts w:hint="default" w:ascii="Times New Roman" w:hAnsi="Times New Roman" w:eastAsia="宋体" w:cs="Times New Roman"/>
          <w:b w:val="0"/>
          <w:bCs w:val="0"/>
          <w:color w:val="auto"/>
          <w:sz w:val="24"/>
          <w:szCs w:val="24"/>
          <w:lang w:val="en-US" w:eastAsia="zh-CN"/>
        </w:rPr>
        <w:fldChar w:fldCharType="begin"/>
      </w:r>
      <w:r>
        <w:rPr>
          <w:rFonts w:hint="eastAsia" w:ascii="Times New Roman" w:hAnsi="Times New Roman" w:eastAsia="宋体" w:cs="Times New Roman"/>
          <w:b w:val="0"/>
          <w:bCs w:val="0"/>
          <w:color w:val="auto"/>
          <w:sz w:val="24"/>
          <w:szCs w:val="24"/>
          <w:lang w:val="en-US" w:eastAsia="zh-CN"/>
        </w:rPr>
        <w:instrText xml:space="preserve"> ADDIN NE.Ref.{EE4E9006-D1D2-46C6-BD0F-8EA22AC49F29}</w:instrText>
      </w:r>
      <w:r>
        <w:rPr>
          <w:rFonts w:hint="default" w:ascii="Times New Roman" w:hAnsi="Times New Roman" w:eastAsia="宋体" w:cs="Times New Roman"/>
          <w:b w:val="0"/>
          <w:bCs w:val="0"/>
          <w:color w:val="auto"/>
          <w:sz w:val="24"/>
          <w:szCs w:val="24"/>
          <w:lang w:val="en-US" w:eastAsia="zh-CN"/>
        </w:rPr>
        <w:fldChar w:fldCharType="separate"/>
      </w:r>
      <w:r>
        <w:rPr>
          <w:rFonts w:hint="eastAsia" w:ascii="宋体" w:hAnsi="宋体"/>
          <w:color w:val="auto"/>
          <w:sz w:val="21"/>
          <w:szCs w:val="24"/>
        </w:rPr>
        <w:t>[41, 42]</w:t>
      </w:r>
      <w:r>
        <w:rPr>
          <w:rFonts w:hint="default" w:ascii="Times New Roman" w:hAnsi="Times New Roman" w:eastAsia="宋体" w:cs="Times New Roman"/>
          <w:b w:val="0"/>
          <w:bCs w:val="0"/>
          <w:color w:val="auto"/>
          <w:sz w:val="24"/>
          <w:szCs w:val="24"/>
          <w:lang w:val="en-US" w:eastAsia="zh-CN"/>
        </w:rPr>
        <w:fldChar w:fldCharType="end"/>
      </w:r>
      <w:r>
        <w:rPr>
          <w:rFonts w:hint="default" w:ascii="Times New Roman" w:hAnsi="Times New Roman" w:eastAsia="宋体" w:cs="Times New Roman"/>
          <w:b w:val="0"/>
          <w:bCs w:val="0"/>
          <w:color w:val="auto"/>
          <w:sz w:val="24"/>
          <w:szCs w:val="24"/>
          <w:lang w:val="en-US" w:eastAsia="zh-CN"/>
        </w:rPr>
        <w:t>. Moreover, non-tumor liver conditions such as hepatitis or cirrhosis can cause mild AFP elevation</w:t>
      </w:r>
      <w:r>
        <w:rPr>
          <w:rFonts w:hint="default" w:ascii="Times New Roman" w:hAnsi="Times New Roman" w:eastAsia="宋体" w:cs="Times New Roman"/>
          <w:b w:val="0"/>
          <w:bCs w:val="0"/>
          <w:color w:val="auto"/>
          <w:sz w:val="24"/>
          <w:szCs w:val="24"/>
          <w:lang w:val="en-US" w:eastAsia="zh-CN"/>
        </w:rPr>
        <w:fldChar w:fldCharType="begin"/>
      </w:r>
      <w:r>
        <w:rPr>
          <w:rFonts w:hint="eastAsia" w:ascii="Times New Roman" w:hAnsi="Times New Roman" w:eastAsia="宋体" w:cs="Times New Roman"/>
          <w:b w:val="0"/>
          <w:bCs w:val="0"/>
          <w:color w:val="auto"/>
          <w:sz w:val="24"/>
          <w:szCs w:val="24"/>
          <w:lang w:val="en-US" w:eastAsia="zh-CN"/>
        </w:rPr>
        <w:instrText xml:space="preserve"> ADDIN NE.Ref.{D7B6D929-ECAF-425E-86A2-5799221375E2}</w:instrText>
      </w:r>
      <w:r>
        <w:rPr>
          <w:rFonts w:hint="default" w:ascii="Times New Roman" w:hAnsi="Times New Roman" w:eastAsia="宋体" w:cs="Times New Roman"/>
          <w:b w:val="0"/>
          <w:bCs w:val="0"/>
          <w:color w:val="auto"/>
          <w:sz w:val="24"/>
          <w:szCs w:val="24"/>
          <w:lang w:val="en-US" w:eastAsia="zh-CN"/>
        </w:rPr>
        <w:fldChar w:fldCharType="separate"/>
      </w:r>
      <w:r>
        <w:rPr>
          <w:rFonts w:hint="eastAsia" w:ascii="宋体" w:hAnsi="宋体"/>
          <w:color w:val="auto"/>
          <w:sz w:val="21"/>
          <w:szCs w:val="24"/>
        </w:rPr>
        <w:t>[43]</w:t>
      </w:r>
      <w:r>
        <w:rPr>
          <w:rFonts w:hint="default" w:ascii="Times New Roman" w:hAnsi="Times New Roman" w:eastAsia="宋体" w:cs="Times New Roman"/>
          <w:b w:val="0"/>
          <w:bCs w:val="0"/>
          <w:color w:val="auto"/>
          <w:sz w:val="24"/>
          <w:szCs w:val="24"/>
          <w:lang w:val="en-US" w:eastAsia="zh-CN"/>
        </w:rPr>
        <w:fldChar w:fldCharType="end"/>
      </w:r>
      <w:r>
        <w:rPr>
          <w:rFonts w:hint="default" w:ascii="Times New Roman" w:hAnsi="Times New Roman" w:eastAsia="宋体" w:cs="Times New Roman"/>
          <w:b w:val="0"/>
          <w:bCs w:val="0"/>
          <w:color w:val="auto"/>
          <w:sz w:val="24"/>
          <w:szCs w:val="24"/>
          <w:lang w:val="en-US" w:eastAsia="zh-CN"/>
        </w:rPr>
        <w:t>, reducing its specificity and limiting its standalone prognostic value.</w:t>
      </w:r>
      <w:r>
        <w:rPr>
          <w:rFonts w:hint="default" w:ascii="Times New Roman" w:hAnsi="Times New Roman" w:eastAsia="宋体" w:cs="Times New Roman"/>
          <w:b w:val="0"/>
          <w:bCs w:val="0"/>
          <w:color w:val="auto"/>
          <w:sz w:val="24"/>
          <w:szCs w:val="24"/>
          <w:highlight w:val="none"/>
          <w:lang w:val="en-US" w:eastAsia="zh-CN"/>
        </w:rPr>
        <w:t xml:space="preserve"> In BCLC stages B </w:t>
      </w:r>
      <w:r>
        <w:rPr>
          <w:rFonts w:hint="eastAsia" w:ascii="Times New Roman" w:hAnsi="Times New Roman" w:eastAsia="宋体" w:cs="Times New Roman"/>
          <w:b w:val="0"/>
          <w:bCs w:val="0"/>
          <w:color w:val="auto"/>
          <w:sz w:val="24"/>
          <w:szCs w:val="24"/>
          <w:highlight w:val="none"/>
          <w:lang w:val="en-US" w:eastAsia="zh-CN"/>
        </w:rPr>
        <w:t>or</w:t>
      </w:r>
      <w:r>
        <w:rPr>
          <w:rFonts w:hint="default" w:ascii="Times New Roman" w:hAnsi="Times New Roman" w:eastAsia="宋体" w:cs="Times New Roman"/>
          <w:b w:val="0"/>
          <w:bCs w:val="0"/>
          <w:color w:val="auto"/>
          <w:sz w:val="24"/>
          <w:szCs w:val="24"/>
          <w:highlight w:val="none"/>
          <w:lang w:val="en-US" w:eastAsia="zh-CN"/>
        </w:rPr>
        <w:t xml:space="preserve"> C, the disease typically involves a higher tumor burden, multiple nodules, vascular invasion, or distant metastases</w:t>
      </w:r>
      <w:r>
        <w:rPr>
          <w:rFonts w:hint="default" w:ascii="Times New Roman" w:hAnsi="Times New Roman" w:eastAsia="宋体" w:cs="Times New Roman"/>
          <w:b w:val="0"/>
          <w:bCs w:val="0"/>
          <w:color w:val="auto"/>
          <w:sz w:val="24"/>
          <w:szCs w:val="24"/>
          <w:highlight w:val="none"/>
          <w:lang w:val="en-US" w:eastAsia="zh-CN"/>
        </w:rPr>
        <w:fldChar w:fldCharType="begin"/>
      </w:r>
      <w:r>
        <w:rPr>
          <w:rFonts w:hint="eastAsia" w:ascii="Times New Roman" w:hAnsi="Times New Roman" w:eastAsia="宋体" w:cs="Times New Roman"/>
          <w:b w:val="0"/>
          <w:bCs w:val="0"/>
          <w:color w:val="auto"/>
          <w:sz w:val="24"/>
          <w:szCs w:val="24"/>
          <w:highlight w:val="none"/>
          <w:lang w:val="en-US" w:eastAsia="zh-CN"/>
        </w:rPr>
        <w:instrText xml:space="preserve"> ADDIN NE.Ref.{32CA5B56-81EC-443B-B0BD-CFAAD19105E4}</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eastAsia" w:ascii="宋体" w:hAnsi="宋体"/>
          <w:color w:val="auto"/>
          <w:sz w:val="21"/>
          <w:szCs w:val="24"/>
        </w:rPr>
        <w:t>[29]</w:t>
      </w:r>
      <w:r>
        <w:rPr>
          <w:rFonts w:hint="default" w:ascii="Times New Roman" w:hAnsi="Times New Roman" w:eastAsia="宋体" w:cs="Times New Roman"/>
          <w:b w:val="0"/>
          <w:bCs w:val="0"/>
          <w:color w:val="auto"/>
          <w:sz w:val="24"/>
          <w:szCs w:val="24"/>
          <w:highlight w:val="none"/>
          <w:lang w:val="en-US" w:eastAsia="zh-CN"/>
        </w:rPr>
        <w:fldChar w:fldCharType="end"/>
      </w:r>
      <w:r>
        <w:rPr>
          <w:rFonts w:hint="default" w:ascii="Times New Roman" w:hAnsi="Times New Roman" w:eastAsia="宋体" w:cs="Times New Roman"/>
          <w:b w:val="0"/>
          <w:bCs w:val="0"/>
          <w:color w:val="auto"/>
          <w:sz w:val="24"/>
          <w:szCs w:val="24"/>
          <w:highlight w:val="none"/>
          <w:lang w:val="en-US" w:eastAsia="zh-CN"/>
        </w:rPr>
        <w:t>. Here, tumor biology becomes the primary determinant of prognosis, while liver function plays a relatively lesser role. Consequently, the predictive value of FIB-4 diminishes. However, AFP lev</w:t>
      </w:r>
      <w:r>
        <w:rPr>
          <w:rFonts w:hint="default" w:ascii="Times New Roman" w:hAnsi="Times New Roman" w:eastAsia="宋体" w:cs="Times New Roman"/>
          <w:b w:val="0"/>
          <w:bCs w:val="0"/>
          <w:color w:val="auto"/>
          <w:sz w:val="24"/>
          <w:szCs w:val="24"/>
          <w:lang w:val="en-US" w:eastAsia="zh-CN"/>
        </w:rPr>
        <w:t>els are often markedly elevated due to aggressive tumor behavior and active synthesis, correlating strongly with malignancy and effectively distinguishing survival outcomes in these patients. Marked AFP elevation in these patients is often associated with epithelial-mesenchymal transition (EMT) and vascular invasion</w:t>
      </w:r>
      <w:r>
        <w:rPr>
          <w:rFonts w:hint="default" w:ascii="Times New Roman" w:hAnsi="Times New Roman" w:eastAsia="宋体" w:cs="Times New Roman"/>
          <w:b w:val="0"/>
          <w:bCs w:val="0"/>
          <w:color w:val="auto"/>
          <w:sz w:val="24"/>
          <w:szCs w:val="24"/>
          <w:lang w:val="en-US" w:eastAsia="zh-CN"/>
        </w:rPr>
        <w:fldChar w:fldCharType="begin"/>
      </w:r>
      <w:r>
        <w:rPr>
          <w:rFonts w:hint="eastAsia" w:ascii="Times New Roman" w:hAnsi="Times New Roman" w:eastAsia="宋体" w:cs="Times New Roman"/>
          <w:b w:val="0"/>
          <w:bCs w:val="0"/>
          <w:color w:val="auto"/>
          <w:sz w:val="24"/>
          <w:szCs w:val="24"/>
          <w:lang w:val="en-US" w:eastAsia="zh-CN"/>
        </w:rPr>
        <w:instrText xml:space="preserve"> ADDIN NE.Ref.{28ECABD8-13D3-4D25-922A-2CC0333EB60B}</w:instrText>
      </w:r>
      <w:r>
        <w:rPr>
          <w:rFonts w:hint="default" w:ascii="Times New Roman" w:hAnsi="Times New Roman" w:eastAsia="宋体" w:cs="Times New Roman"/>
          <w:b w:val="0"/>
          <w:bCs w:val="0"/>
          <w:color w:val="auto"/>
          <w:sz w:val="24"/>
          <w:szCs w:val="24"/>
          <w:lang w:val="en-US" w:eastAsia="zh-CN"/>
        </w:rPr>
        <w:fldChar w:fldCharType="separate"/>
      </w:r>
      <w:r>
        <w:rPr>
          <w:rFonts w:hint="eastAsia" w:ascii="宋体" w:hAnsi="宋体"/>
          <w:color w:val="auto"/>
          <w:sz w:val="21"/>
          <w:szCs w:val="24"/>
        </w:rPr>
        <w:t>[44, 45]</w:t>
      </w:r>
      <w:r>
        <w:rPr>
          <w:rFonts w:hint="default" w:ascii="Times New Roman" w:hAnsi="Times New Roman" w:eastAsia="宋体" w:cs="Times New Roman"/>
          <w:b w:val="0"/>
          <w:bCs w:val="0"/>
          <w:color w:val="auto"/>
          <w:sz w:val="24"/>
          <w:szCs w:val="24"/>
          <w:lang w:val="en-US" w:eastAsia="zh-CN"/>
        </w:rPr>
        <w:fldChar w:fldCharType="end"/>
      </w:r>
      <w:r>
        <w:rPr>
          <w:rFonts w:hint="default" w:ascii="Times New Roman" w:hAnsi="Times New Roman" w:eastAsia="宋体" w:cs="Times New Roman"/>
          <w:b w:val="0"/>
          <w:bCs w:val="0"/>
          <w:color w:val="auto"/>
          <w:sz w:val="24"/>
          <w:szCs w:val="24"/>
          <w:lang w:val="en-US" w:eastAsia="zh-CN"/>
        </w:rPr>
        <w:t>, directly reflecting a high proliferative capacity.</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lang w:val="en-US" w:eastAsia="zh-CN"/>
        </w:rPr>
        <w:t>The prognosis of HCC is a complex process influenced by both liver function and tumor biology</w:t>
      </w:r>
      <w:r>
        <w:rPr>
          <w:rFonts w:hint="default" w:ascii="Times New Roman" w:hAnsi="Times New Roman" w:eastAsia="宋体" w:cs="Times New Roman"/>
          <w:b w:val="0"/>
          <w:bCs w:val="0"/>
          <w:color w:val="auto"/>
          <w:sz w:val="24"/>
          <w:szCs w:val="24"/>
          <w:lang w:val="en-US" w:eastAsia="zh-CN"/>
        </w:rPr>
        <w:fldChar w:fldCharType="begin"/>
      </w:r>
      <w:r>
        <w:rPr>
          <w:rFonts w:hint="eastAsia" w:ascii="Times New Roman" w:hAnsi="Times New Roman" w:eastAsia="宋体" w:cs="Times New Roman"/>
          <w:b w:val="0"/>
          <w:bCs w:val="0"/>
          <w:color w:val="auto"/>
          <w:sz w:val="24"/>
          <w:szCs w:val="24"/>
          <w:lang w:val="en-US" w:eastAsia="zh-CN"/>
        </w:rPr>
        <w:instrText xml:space="preserve"> ADDIN NE.Ref.{8D4CAF8B-0D87-4C0B-AA31-35CD8A553064}</w:instrText>
      </w:r>
      <w:r>
        <w:rPr>
          <w:rFonts w:hint="default" w:ascii="Times New Roman" w:hAnsi="Times New Roman" w:eastAsia="宋体" w:cs="Times New Roman"/>
          <w:b w:val="0"/>
          <w:bCs w:val="0"/>
          <w:color w:val="auto"/>
          <w:sz w:val="24"/>
          <w:szCs w:val="24"/>
          <w:lang w:val="en-US" w:eastAsia="zh-CN"/>
        </w:rPr>
        <w:fldChar w:fldCharType="separate"/>
      </w:r>
      <w:r>
        <w:rPr>
          <w:rFonts w:hint="eastAsia" w:ascii="宋体" w:hAnsi="宋体"/>
          <w:color w:val="auto"/>
          <w:sz w:val="21"/>
          <w:szCs w:val="24"/>
        </w:rPr>
        <w:t>[46]</w:t>
      </w:r>
      <w:r>
        <w:rPr>
          <w:rFonts w:hint="default" w:ascii="Times New Roman" w:hAnsi="Times New Roman" w:eastAsia="宋体" w:cs="Times New Roman"/>
          <w:b w:val="0"/>
          <w:bCs w:val="0"/>
          <w:color w:val="auto"/>
          <w:sz w:val="24"/>
          <w:szCs w:val="24"/>
          <w:lang w:val="en-US" w:eastAsia="zh-CN"/>
        </w:rPr>
        <w:fldChar w:fldCharType="end"/>
      </w:r>
      <w:r>
        <w:rPr>
          <w:rFonts w:hint="default" w:ascii="Times New Roman" w:hAnsi="Times New Roman" w:eastAsia="宋体" w:cs="Times New Roman"/>
          <w:b w:val="0"/>
          <w:bCs w:val="0"/>
          <w:color w:val="auto"/>
          <w:sz w:val="24"/>
          <w:szCs w:val="24"/>
          <w:lang w:val="en-US" w:eastAsia="zh-CN"/>
        </w:rPr>
        <w:t>. Compared with other scoring systems like ALBI and PALBI, which focus predominantly on hepatic functional reserve via albumin and bilirubin levels, FIB-4</w:t>
      </w:r>
      <w:r>
        <w:rPr>
          <w:rFonts w:hint="default" w:ascii="Times New Roman" w:hAnsi="Times New Roman" w:eastAsia="宋体" w:cs="Times New Roman"/>
          <w:b w:val="0"/>
          <w:bCs w:val="0"/>
          <w:color w:val="auto"/>
          <w:sz w:val="24"/>
          <w:szCs w:val="24"/>
          <w:lang w:val="en-US" w:eastAsia="zh-CN"/>
        </w:rPr>
        <w:fldChar w:fldCharType="begin"/>
      </w:r>
      <w:r>
        <w:rPr>
          <w:rFonts w:hint="eastAsia" w:ascii="Times New Roman" w:hAnsi="Times New Roman" w:eastAsia="宋体" w:cs="Times New Roman"/>
          <w:b w:val="0"/>
          <w:bCs w:val="0"/>
          <w:color w:val="auto"/>
          <w:sz w:val="24"/>
          <w:szCs w:val="24"/>
          <w:lang w:val="en-US" w:eastAsia="zh-CN"/>
        </w:rPr>
        <w:instrText xml:space="preserve"> ADDIN NE.Ref.{1FA6E5AF-575B-4458-941B-476EF620F149}</w:instrText>
      </w:r>
      <w:r>
        <w:rPr>
          <w:rFonts w:hint="default" w:ascii="Times New Roman" w:hAnsi="Times New Roman" w:eastAsia="宋体" w:cs="Times New Roman"/>
          <w:b w:val="0"/>
          <w:bCs w:val="0"/>
          <w:color w:val="auto"/>
          <w:sz w:val="24"/>
          <w:szCs w:val="24"/>
          <w:lang w:val="en-US" w:eastAsia="zh-CN"/>
        </w:rPr>
        <w:fldChar w:fldCharType="separate"/>
      </w:r>
      <w:r>
        <w:rPr>
          <w:rFonts w:hint="eastAsia" w:ascii="宋体" w:hAnsi="宋体"/>
          <w:color w:val="auto"/>
          <w:sz w:val="21"/>
          <w:szCs w:val="24"/>
        </w:rPr>
        <w:t>[47]</w:t>
      </w:r>
      <w:r>
        <w:rPr>
          <w:rFonts w:hint="default" w:ascii="Times New Roman" w:hAnsi="Times New Roman" w:eastAsia="宋体" w:cs="Times New Roman"/>
          <w:b w:val="0"/>
          <w:bCs w:val="0"/>
          <w:color w:val="auto"/>
          <w:sz w:val="24"/>
          <w:szCs w:val="24"/>
          <w:lang w:val="en-US" w:eastAsia="zh-CN"/>
        </w:rPr>
        <w:fldChar w:fldCharType="end"/>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lang w:val="en-US" w:eastAsia="zh-CN"/>
        </w:rPr>
        <w:t>offers a unique advantage by incorporating age and AST, potentially capturing a broader spectrum of chronic liver injury and inflammation. However, ALBI</w:t>
      </w:r>
      <w:r>
        <w:rPr>
          <w:rFonts w:hint="default" w:ascii="Times New Roman" w:hAnsi="Times New Roman" w:eastAsia="宋体" w:cs="Times New Roman"/>
          <w:b w:val="0"/>
          <w:bCs w:val="0"/>
          <w:color w:val="auto"/>
          <w:sz w:val="24"/>
          <w:szCs w:val="24"/>
          <w:lang w:val="en-US" w:eastAsia="zh-CN"/>
        </w:rPr>
        <w:fldChar w:fldCharType="begin"/>
      </w:r>
      <w:r>
        <w:rPr>
          <w:rFonts w:hint="eastAsia" w:ascii="Times New Roman" w:hAnsi="Times New Roman" w:eastAsia="宋体" w:cs="Times New Roman"/>
          <w:b w:val="0"/>
          <w:bCs w:val="0"/>
          <w:color w:val="auto"/>
          <w:sz w:val="24"/>
          <w:szCs w:val="24"/>
          <w:lang w:val="en-US" w:eastAsia="zh-CN"/>
        </w:rPr>
        <w:instrText xml:space="preserve"> ADDIN NE.Ref.{CF30655F-5DCB-4248-99C7-1BC3A37EDCFD}</w:instrText>
      </w:r>
      <w:r>
        <w:rPr>
          <w:rFonts w:hint="default" w:ascii="Times New Roman" w:hAnsi="Times New Roman" w:eastAsia="宋体" w:cs="Times New Roman"/>
          <w:b w:val="0"/>
          <w:bCs w:val="0"/>
          <w:color w:val="auto"/>
          <w:sz w:val="24"/>
          <w:szCs w:val="24"/>
          <w:lang w:val="en-US" w:eastAsia="zh-CN"/>
        </w:rPr>
        <w:fldChar w:fldCharType="separate"/>
      </w:r>
      <w:r>
        <w:rPr>
          <w:rFonts w:hint="eastAsia" w:ascii="宋体" w:hAnsi="宋体"/>
          <w:color w:val="auto"/>
          <w:sz w:val="21"/>
          <w:szCs w:val="24"/>
        </w:rPr>
        <w:t>[48]</w:t>
      </w:r>
      <w:r>
        <w:rPr>
          <w:rFonts w:hint="default" w:ascii="Times New Roman" w:hAnsi="Times New Roman" w:eastAsia="宋体" w:cs="Times New Roman"/>
          <w:b w:val="0"/>
          <w:bCs w:val="0"/>
          <w:color w:val="auto"/>
          <w:sz w:val="24"/>
          <w:szCs w:val="24"/>
          <w:lang w:val="en-US" w:eastAsia="zh-CN"/>
        </w:rPr>
        <w:fldChar w:fldCharType="end"/>
      </w:r>
      <w:r>
        <w:rPr>
          <w:rFonts w:hint="default" w:ascii="Times New Roman" w:hAnsi="Times New Roman" w:eastAsia="宋体" w:cs="Times New Roman"/>
          <w:b w:val="0"/>
          <w:bCs w:val="0"/>
          <w:color w:val="auto"/>
          <w:sz w:val="24"/>
          <w:szCs w:val="24"/>
          <w:lang w:val="en-US" w:eastAsia="zh-CN"/>
        </w:rPr>
        <w:t xml:space="preserve"> may be more sensitive in detecting subtle changes in bilirubin metabolism that FIB-4 might overlook.</w:t>
      </w:r>
    </w:p>
    <w:p w14:paraId="6D5986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In our study, the prognostic power of the AFP-FIB-4 score was attenuated in high-risk/inflammatory subgroups (PLT &lt; 100 × 109/L, APRI ≥ 1.5, elevated AST/ALT, and Child-Pugh B status) but remained robust in favorable cohorts (PLT ≥ 100 × 109/L, APRI &lt; 1.5, normal transaminase levels, and Child-Pugh A status). This discrepancy is likely due to several reasons.</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lang w:val="en-US" w:eastAsia="zh-CN"/>
        </w:rPr>
        <w:t>Methodologically, severe thrombocytopenia or acute inflammatory flare-ups artificially inflate and cluster FIB-4 values at the higher end. This compression of statistical variance diminishes its intra-strata discriminatory power and causes the score to reflect acute injury rather than chronic fibrosis. Conversely, in well-compensated patients, the absence of such mathematical distortion unlocks optimal statistical resolution. Stable transaminases allow the FIB-4 score to serve as a true surrogate for baseline chronic fibrosis, which acts synergistically with AFP to maximize risk stratification without confounding effects.</w:t>
      </w:r>
    </w:p>
    <w:p w14:paraId="76FFBA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kern w:val="0"/>
          <w:sz w:val="24"/>
          <w:szCs w:val="24"/>
          <w:lang w:val="en-US" w:eastAsia="zh-CN" w:bidi="ar"/>
        </w:rPr>
      </w:pPr>
      <w:r>
        <w:rPr>
          <w:rFonts w:hint="eastAsia" w:ascii="Times New Roman" w:hAnsi="Times New Roman" w:eastAsia="宋体" w:cs="Times New Roman"/>
          <w:b w:val="0"/>
          <w:bCs w:val="0"/>
          <w:color w:val="auto"/>
          <w:kern w:val="0"/>
          <w:sz w:val="24"/>
          <w:szCs w:val="24"/>
          <w:lang w:val="en-US" w:eastAsia="zh-CN" w:bidi="ar"/>
        </w:rPr>
        <w:t xml:space="preserve">Our study has several limitations. First, its retrospective design may introduce biases, and the lack of external validation further limits the robustness of our findings. Future research should include prospective studies and external validation to address these limitations. Second, the study population was limited to Chinese patients with HCC, predominantly infected with HBV (85%), which restricts the generalizability of our results to other etiologies, such as </w:t>
      </w:r>
      <w:r>
        <w:rPr>
          <w:rFonts w:hint="default" w:ascii="Times New Roman" w:hAnsi="Times New Roman" w:eastAsia="宋体" w:cs="Times New Roman"/>
          <w:b w:val="0"/>
          <w:bCs w:val="0"/>
          <w:color w:val="auto"/>
          <w:sz w:val="24"/>
          <w:szCs w:val="24"/>
        </w:rPr>
        <w:t xml:space="preserve">hepatitis </w:t>
      </w:r>
      <w:r>
        <w:rPr>
          <w:rFonts w:hint="eastAsia" w:ascii="Times New Roman" w:hAnsi="Times New Roman" w:eastAsia="宋体" w:cs="Times New Roman"/>
          <w:b w:val="0"/>
          <w:bCs w:val="0"/>
          <w:color w:val="auto"/>
          <w:sz w:val="24"/>
          <w:szCs w:val="24"/>
          <w:lang w:val="en-US" w:eastAsia="zh-CN"/>
        </w:rPr>
        <w:t>C</w:t>
      </w:r>
      <w:r>
        <w:rPr>
          <w:rFonts w:hint="default" w:ascii="Times New Roman" w:hAnsi="Times New Roman" w:eastAsia="宋体" w:cs="Times New Roman"/>
          <w:b w:val="0"/>
          <w:bCs w:val="0"/>
          <w:color w:val="auto"/>
          <w:sz w:val="24"/>
          <w:szCs w:val="24"/>
        </w:rPr>
        <w:t xml:space="preserve"> virus (</w:t>
      </w:r>
      <w:r>
        <w:rPr>
          <w:rFonts w:hint="eastAsia" w:ascii="Times New Roman" w:hAnsi="Times New Roman" w:eastAsia="宋体" w:cs="Times New Roman"/>
          <w:b w:val="0"/>
          <w:bCs w:val="0"/>
          <w:color w:val="auto"/>
          <w:kern w:val="0"/>
          <w:sz w:val="24"/>
          <w:szCs w:val="24"/>
          <w:lang w:val="en-US" w:eastAsia="zh-CN" w:bidi="ar"/>
        </w:rPr>
        <w:t xml:space="preserve">HCV) or alcohol-related liver diseases. Third, while we derived the optimal FIB-4 index cutoff value through ROC curve analysis within our study population, this threshold lacks universal validation and standardization in clinical practice. The clinical utility of this cutoff value requires further validation through independent cohorts and prospective studies before widespread clinical implementation can be recommended. </w:t>
      </w:r>
      <w:r>
        <w:rPr>
          <w:rFonts w:hint="eastAsia" w:ascii="Times New Roman" w:hAnsi="Times New Roman" w:eastAsia="宋体" w:cs="Times New Roman"/>
          <w:b w:val="0"/>
          <w:bCs w:val="0"/>
          <w:color w:val="auto"/>
          <w:kern w:val="0"/>
          <w:sz w:val="24"/>
          <w:szCs w:val="24"/>
          <w:lang w:val="en-US" w:eastAsia="zh-CN" w:bidi="ar"/>
        </w:rPr>
        <w:t>Last, our exploratory subgroup analyses lacked multiple-comparison adjustments (e.g., Bonferroni correction) and should be interpreted cautiously as hypothesis-generating rather than confirmatory.</w:t>
      </w:r>
    </w:p>
    <w:p w14:paraId="394C1CD5">
      <w:pPr>
        <w:keepNext w:val="0"/>
        <w:keepLines w:val="0"/>
        <w:pageBreakBefore w:val="0"/>
        <w:widowControl w:val="0"/>
        <w:kinsoku/>
        <w:wordWrap/>
        <w:overflowPunct/>
        <w:topLinePunct w:val="0"/>
        <w:autoSpaceDE/>
        <w:autoSpaceDN/>
        <w:bidi w:val="0"/>
        <w:adjustRightInd/>
        <w:snapToGrid/>
        <w:spacing w:beforeLines="0" w:afterLines="0" w:line="360" w:lineRule="auto"/>
        <w:jc w:val="both"/>
        <w:textAlignment w:val="auto"/>
        <w:rPr>
          <w:rFonts w:hint="default" w:ascii="Times New Roman" w:hAnsi="Times New Roman" w:eastAsia="宋体" w:cs="Times New Roman"/>
          <w:b/>
          <w:bCs/>
          <w:color w:val="auto"/>
          <w:kern w:val="0"/>
          <w:sz w:val="24"/>
          <w:szCs w:val="24"/>
          <w:lang w:val="en-US" w:eastAsia="zh-CN" w:bidi="ar"/>
        </w:rPr>
      </w:pPr>
      <w:r>
        <w:rPr>
          <w:rFonts w:hint="eastAsia" w:ascii="Times New Roman" w:hAnsi="Times New Roman" w:eastAsia="宋体" w:cs="Times New Roman"/>
          <w:b/>
          <w:bCs/>
          <w:color w:val="auto"/>
          <w:kern w:val="0"/>
          <w:sz w:val="24"/>
          <w:szCs w:val="24"/>
          <w:lang w:val="en-US" w:eastAsia="zh-CN" w:bidi="ar"/>
        </w:rPr>
        <w:t>C</w:t>
      </w:r>
      <w:r>
        <w:rPr>
          <w:rFonts w:hint="default" w:ascii="Times New Roman" w:hAnsi="Times New Roman" w:eastAsia="宋体" w:cs="Times New Roman"/>
          <w:b/>
          <w:bCs/>
          <w:color w:val="auto"/>
          <w:kern w:val="0"/>
          <w:sz w:val="24"/>
          <w:szCs w:val="24"/>
          <w:lang w:val="en-US" w:eastAsia="zh-CN" w:bidi="ar"/>
        </w:rPr>
        <w:t>onclusion</w:t>
      </w:r>
    </w:p>
    <w:p w14:paraId="529A1198">
      <w:pPr>
        <w:keepNext w:val="0"/>
        <w:keepLines w:val="0"/>
        <w:pageBreakBefore w:val="0"/>
        <w:widowControl w:val="0"/>
        <w:kinsoku/>
        <w:wordWrap/>
        <w:overflowPunct/>
        <w:topLinePunct w:val="0"/>
        <w:autoSpaceDE/>
        <w:autoSpaceDN/>
        <w:bidi w:val="0"/>
        <w:adjustRightInd/>
        <w:snapToGrid/>
        <w:spacing w:beforeLines="0" w:afterLines="0" w:line="360" w:lineRule="auto"/>
        <w:ind w:firstLine="480" w:firstLineChars="200"/>
        <w:jc w:val="both"/>
        <w:textAlignment w:val="auto"/>
        <w:rPr>
          <w:rFonts w:hint="eastAsia" w:ascii="Times New Roman" w:hAnsi="Times New Roman" w:eastAsia="宋体" w:cs="Times New Roman"/>
          <w:b w:val="0"/>
          <w:bCs w:val="0"/>
          <w:color w:val="auto"/>
          <w:kern w:val="0"/>
          <w:sz w:val="24"/>
          <w:szCs w:val="24"/>
          <w:lang w:val="en-US" w:eastAsia="zh-CN" w:bidi="ar"/>
        </w:rPr>
      </w:pPr>
      <w:r>
        <w:rPr>
          <w:rFonts w:hint="default" w:ascii="Times New Roman" w:hAnsi="Times New Roman" w:eastAsia="宋体" w:cs="Times New Roman"/>
          <w:b w:val="0"/>
          <w:bCs w:val="0"/>
          <w:color w:val="auto"/>
          <w:kern w:val="0"/>
          <w:sz w:val="24"/>
          <w:szCs w:val="24"/>
          <w:lang w:val="en-US" w:eastAsia="zh-CN" w:bidi="ar"/>
        </w:rPr>
        <w:t>In conclusion, our study demonstrates that incorporating AFP into the FIB-4 index enhances its prognostic performance. The AFP-FIB-4 score is a robust predictor of DFS and OS in patients with HCC undergoing hepatectomy across different BCLC stage</w:t>
      </w:r>
      <w:r>
        <w:rPr>
          <w:rFonts w:hint="default" w:ascii="Times New Roman" w:hAnsi="Times New Roman" w:eastAsia="宋体" w:cs="Times New Roman"/>
          <w:b w:val="0"/>
          <w:bCs w:val="0"/>
          <w:color w:val="auto"/>
          <w:kern w:val="0"/>
          <w:sz w:val="24"/>
          <w:szCs w:val="24"/>
          <w:highlight w:val="none"/>
          <w:lang w:val="en-US" w:eastAsia="zh-CN" w:bidi="ar"/>
        </w:rPr>
        <w:t>s.</w:t>
      </w:r>
      <w:r>
        <w:rPr>
          <w:rFonts w:hint="eastAsia" w:ascii="Times New Roman" w:hAnsi="Times New Roman" w:eastAsia="宋体" w:cs="Times New Roman"/>
          <w:b w:val="0"/>
          <w:bCs w:val="0"/>
          <w:color w:val="auto"/>
          <w:kern w:val="0"/>
          <w:sz w:val="24"/>
          <w:szCs w:val="24"/>
          <w:highlight w:val="none"/>
          <w:lang w:val="en-US" w:eastAsia="zh-CN" w:bidi="ar"/>
        </w:rPr>
        <w:t xml:space="preserve"> Hi</w:t>
      </w:r>
      <w:r>
        <w:rPr>
          <w:rFonts w:hint="eastAsia" w:ascii="Times New Roman" w:hAnsi="Times New Roman" w:eastAsia="宋体" w:cs="Times New Roman"/>
          <w:b w:val="0"/>
          <w:bCs w:val="0"/>
          <w:color w:val="auto"/>
          <w:kern w:val="0"/>
          <w:sz w:val="24"/>
          <w:szCs w:val="24"/>
          <w:lang w:val="en-US" w:eastAsia="zh-CN" w:bidi="ar"/>
        </w:rPr>
        <w:t>gher AFP-FIB-4 scores were associated with increased postoperative recurrence rates and poorer long-term survival. In clinical practice, the primary utility of this score lies in its synergistic integration of liver fibrosis and tumor burden indicators. By transcending the stage-specific limitations inherent to individual biomarkers, the score enables robust and consistent prognostic stratification across the entire BCLC spectrum, from early-stage to advanced disease.</w:t>
      </w:r>
    </w:p>
    <w:p w14:paraId="7CBFDF07">
      <w:pPr>
        <w:keepNext w:val="0"/>
        <w:keepLines w:val="0"/>
        <w:pageBreakBefore w:val="0"/>
        <w:widowControl w:val="0"/>
        <w:kinsoku/>
        <w:wordWrap/>
        <w:overflowPunct/>
        <w:topLinePunct w:val="0"/>
        <w:autoSpaceDE/>
        <w:autoSpaceDN/>
        <w:bidi w:val="0"/>
        <w:adjustRightInd/>
        <w:snapToGrid/>
        <w:spacing w:beforeLines="0" w:afterLines="0" w:line="360" w:lineRule="auto"/>
        <w:ind w:firstLine="480" w:firstLineChars="200"/>
        <w:jc w:val="both"/>
        <w:textAlignment w:val="auto"/>
        <w:rPr>
          <w:rFonts w:hint="eastAsia" w:ascii="Times New Roman" w:hAnsi="Times New Roman" w:eastAsia="宋体" w:cs="Times New Roman"/>
          <w:b w:val="0"/>
          <w:bCs w:val="0"/>
          <w:color w:val="auto"/>
          <w:kern w:val="0"/>
          <w:sz w:val="24"/>
          <w:szCs w:val="24"/>
          <w:lang w:val="en-US" w:eastAsia="zh-CN" w:bidi="ar"/>
        </w:rPr>
      </w:pPr>
    </w:p>
    <w:p w14:paraId="222B0535">
      <w:pPr>
        <w:keepNext w:val="0"/>
        <w:keepLines w:val="0"/>
        <w:pageBreakBefore w:val="0"/>
        <w:widowControl w:val="0"/>
        <w:kinsoku/>
        <w:wordWrap/>
        <w:overflowPunct/>
        <w:topLinePunct w:val="0"/>
        <w:autoSpaceDE/>
        <w:autoSpaceDN/>
        <w:bidi w:val="0"/>
        <w:adjustRightInd/>
        <w:snapToGrid/>
        <w:spacing w:beforeLines="0" w:afterLines="0" w:line="360" w:lineRule="auto"/>
        <w:ind w:firstLine="480" w:firstLineChars="200"/>
        <w:jc w:val="both"/>
        <w:textAlignment w:val="auto"/>
        <w:rPr>
          <w:rFonts w:hint="eastAsia" w:ascii="Times New Roman" w:hAnsi="Times New Roman" w:eastAsia="宋体" w:cs="Times New Roman"/>
          <w:b w:val="0"/>
          <w:bCs w:val="0"/>
          <w:color w:val="auto"/>
          <w:kern w:val="0"/>
          <w:sz w:val="24"/>
          <w:szCs w:val="24"/>
          <w:lang w:val="en-US" w:eastAsia="zh-CN" w:bidi="ar"/>
        </w:rPr>
      </w:pPr>
    </w:p>
    <w:p w14:paraId="2D6F0D00">
      <w:pPr>
        <w:keepNext w:val="0"/>
        <w:keepLines w:val="0"/>
        <w:pageBreakBefore w:val="0"/>
        <w:widowControl w:val="0"/>
        <w:kinsoku/>
        <w:wordWrap/>
        <w:overflowPunct/>
        <w:topLinePunct w:val="0"/>
        <w:autoSpaceDE/>
        <w:autoSpaceDN/>
        <w:bidi w:val="0"/>
        <w:adjustRightInd/>
        <w:snapToGrid/>
        <w:spacing w:beforeLines="0" w:afterLines="0" w:line="360" w:lineRule="auto"/>
        <w:ind w:firstLine="480"/>
        <w:jc w:val="both"/>
        <w:textAlignment w:val="auto"/>
        <w:rPr>
          <w:rFonts w:hint="eastAsia" w:ascii="Times New Roman" w:hAnsi="Times New Roman" w:eastAsia="宋体" w:cs="Times New Roman"/>
          <w:b w:val="0"/>
          <w:bCs w:val="0"/>
          <w:color w:val="auto"/>
          <w:kern w:val="0"/>
          <w:sz w:val="24"/>
          <w:szCs w:val="24"/>
          <w:lang w:val="en-US" w:eastAsia="zh-CN" w:bidi="ar"/>
        </w:rPr>
      </w:pPr>
    </w:p>
    <w:p w14:paraId="08EE7565">
      <w:pPr>
        <w:keepNext w:val="0"/>
        <w:keepLines w:val="0"/>
        <w:pageBreakBefore w:val="0"/>
        <w:widowControl w:val="0"/>
        <w:kinsoku/>
        <w:wordWrap/>
        <w:overflowPunct/>
        <w:topLinePunct w:val="0"/>
        <w:autoSpaceDE/>
        <w:autoSpaceDN/>
        <w:bidi w:val="0"/>
        <w:adjustRightInd/>
        <w:snapToGrid/>
        <w:spacing w:beforeLines="0" w:afterLines="0" w:line="360" w:lineRule="auto"/>
        <w:ind w:firstLine="480"/>
        <w:jc w:val="both"/>
        <w:textAlignment w:val="auto"/>
        <w:rPr>
          <w:rFonts w:hint="eastAsia" w:ascii="Times New Roman" w:hAnsi="Times New Roman" w:eastAsia="宋体" w:cs="Times New Roman"/>
          <w:b w:val="0"/>
          <w:bCs w:val="0"/>
          <w:color w:val="auto"/>
          <w:kern w:val="0"/>
          <w:sz w:val="24"/>
          <w:szCs w:val="24"/>
          <w:lang w:val="en-US" w:eastAsia="zh-CN" w:bidi="ar"/>
        </w:rPr>
      </w:pPr>
    </w:p>
    <w:p w14:paraId="3915EA33">
      <w:pPr>
        <w:keepNext w:val="0"/>
        <w:keepLines w:val="0"/>
        <w:pageBreakBefore w:val="0"/>
        <w:widowControl w:val="0"/>
        <w:kinsoku/>
        <w:wordWrap/>
        <w:overflowPunct/>
        <w:topLinePunct w:val="0"/>
        <w:autoSpaceDE/>
        <w:autoSpaceDN/>
        <w:bidi w:val="0"/>
        <w:adjustRightInd/>
        <w:snapToGrid/>
        <w:spacing w:beforeLines="0" w:afterLines="0" w:line="360" w:lineRule="auto"/>
        <w:jc w:val="both"/>
        <w:textAlignment w:val="auto"/>
        <w:rPr>
          <w:rFonts w:hint="eastAsia" w:ascii="Times New Roman" w:hAnsi="Times New Roman" w:eastAsia="宋体" w:cs="Times New Roman"/>
          <w:b/>
          <w:bCs/>
          <w:color w:val="auto"/>
          <w:kern w:val="0"/>
          <w:sz w:val="24"/>
          <w:szCs w:val="24"/>
          <w:lang w:val="en-US" w:eastAsia="zh-CN" w:bidi="ar"/>
        </w:rPr>
      </w:pPr>
      <w:r>
        <w:rPr>
          <w:rFonts w:hint="eastAsia" w:ascii="Times New Roman" w:hAnsi="Times New Roman" w:eastAsia="宋体" w:cs="Times New Roman"/>
          <w:b/>
          <w:bCs/>
          <w:color w:val="auto"/>
          <w:kern w:val="0"/>
          <w:sz w:val="24"/>
          <w:szCs w:val="24"/>
          <w:lang w:val="en-US" w:eastAsia="zh-CN" w:bidi="ar"/>
        </w:rPr>
        <w:t>Abbreviations</w:t>
      </w:r>
    </w:p>
    <w:p w14:paraId="69EF1A1D">
      <w:pPr>
        <w:tabs>
          <w:tab w:val="left" w:pos="2129"/>
        </w:tabs>
        <w:rPr>
          <w:rFonts w:hint="eastAsia" w:ascii="Calibri" w:hAnsi="Calibri" w:eastAsia="宋体" w:cs="Times New Roman"/>
          <w:color w:val="auto"/>
          <w:lang w:val="en-US" w:eastAsia="zh-CN"/>
        </w:rPr>
      </w:pPr>
      <w:r>
        <w:rPr>
          <w:rFonts w:hint="default" w:ascii="Times New Roman" w:hAnsi="Times New Roman" w:eastAsia="宋体" w:cs="Times New Roman"/>
          <w:b w:val="0"/>
          <w:bCs w:val="0"/>
          <w:color w:val="auto"/>
          <w:sz w:val="24"/>
          <w:szCs w:val="24"/>
        </w:rPr>
        <w:t>HCC</w:t>
      </w:r>
      <w:r>
        <w:rPr>
          <w:rFonts w:ascii="Calibri" w:hAnsi="Calibri" w:eastAsia="宋体" w:cs="Times New Roman"/>
          <w:color w:val="auto"/>
        </w:rPr>
        <w:tab/>
      </w:r>
      <w:r>
        <w:rPr>
          <w:rFonts w:hint="eastAsia" w:ascii="Times New Roman" w:hAnsi="Times New Roman" w:eastAsia="宋体" w:cs="Times New Roman"/>
          <w:b w:val="0"/>
          <w:bCs w:val="0"/>
          <w:color w:val="auto"/>
          <w:sz w:val="24"/>
          <w:szCs w:val="24"/>
          <w:lang w:val="en-US" w:eastAsia="zh-CN"/>
        </w:rPr>
        <w:t>H</w:t>
      </w:r>
      <w:r>
        <w:rPr>
          <w:rFonts w:hint="default" w:ascii="Times New Roman" w:hAnsi="Times New Roman" w:eastAsia="宋体" w:cs="Times New Roman"/>
          <w:b w:val="0"/>
          <w:bCs w:val="0"/>
          <w:color w:val="auto"/>
          <w:sz w:val="24"/>
          <w:szCs w:val="24"/>
        </w:rPr>
        <w:t>epatocellular</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rPr>
        <w:t>carcinoma</w:t>
      </w:r>
    </w:p>
    <w:p w14:paraId="72110C57">
      <w:pPr>
        <w:tabs>
          <w:tab w:val="left" w:pos="2129"/>
        </w:tabs>
        <w:rPr>
          <w:rFonts w:ascii="Calibri" w:hAnsi="Calibri" w:eastAsia="宋体" w:cs="Times New Roman"/>
          <w:color w:val="auto"/>
        </w:rPr>
      </w:pPr>
      <w:r>
        <w:rPr>
          <w:rFonts w:hint="default" w:ascii="Times New Roman" w:hAnsi="Times New Roman" w:eastAsia="宋体" w:cs="Times New Roman"/>
          <w:b w:val="0"/>
          <w:bCs w:val="0"/>
          <w:color w:val="auto"/>
          <w:sz w:val="24"/>
          <w:szCs w:val="24"/>
        </w:rPr>
        <w:t>FIB-4</w:t>
      </w:r>
      <w:r>
        <w:rPr>
          <w:rFonts w:ascii="Calibri" w:hAnsi="Calibri" w:eastAsia="宋体" w:cs="Times New Roman"/>
          <w:color w:val="auto"/>
        </w:rPr>
        <w:tab/>
      </w:r>
      <w:r>
        <w:rPr>
          <w:rFonts w:hint="eastAsia" w:ascii="Times New Roman" w:hAnsi="Times New Roman" w:eastAsia="宋体" w:cs="Times New Roman"/>
          <w:b w:val="0"/>
          <w:bCs w:val="0"/>
          <w:color w:val="auto"/>
          <w:sz w:val="24"/>
          <w:szCs w:val="24"/>
          <w:lang w:val="en-US" w:eastAsia="zh-CN"/>
        </w:rPr>
        <w:t>F</w:t>
      </w:r>
      <w:r>
        <w:rPr>
          <w:rFonts w:hint="default" w:ascii="Times New Roman" w:hAnsi="Times New Roman" w:eastAsia="宋体" w:cs="Times New Roman"/>
          <w:b w:val="0"/>
          <w:bCs w:val="0"/>
          <w:color w:val="auto"/>
          <w:sz w:val="24"/>
          <w:szCs w:val="24"/>
        </w:rPr>
        <w:t>ibrosis-4</w:t>
      </w:r>
    </w:p>
    <w:p w14:paraId="77FAC913">
      <w:pPr>
        <w:tabs>
          <w:tab w:val="left" w:pos="2129"/>
        </w:tabs>
        <w:rPr>
          <w:rFonts w:ascii="Calibri" w:hAnsi="Calibri" w:eastAsia="宋体" w:cs="Times New Roman"/>
          <w:color w:val="auto"/>
        </w:rPr>
      </w:pPr>
      <w:r>
        <w:rPr>
          <w:rFonts w:hint="default" w:ascii="Times New Roman" w:hAnsi="Times New Roman" w:eastAsia="宋体" w:cs="Times New Roman"/>
          <w:b w:val="0"/>
          <w:bCs w:val="0"/>
          <w:color w:val="auto"/>
          <w:sz w:val="24"/>
          <w:szCs w:val="24"/>
        </w:rPr>
        <w:t>AFP</w:t>
      </w:r>
      <w:r>
        <w:rPr>
          <w:rFonts w:ascii="Calibri" w:hAnsi="Calibri" w:eastAsia="宋体" w:cs="Times New Roman"/>
          <w:color w:val="auto"/>
        </w:rPr>
        <w:tab/>
      </w:r>
      <w:r>
        <w:rPr>
          <w:rFonts w:hint="eastAsia" w:ascii="Times New Roman" w:hAnsi="Times New Roman" w:eastAsia="宋体" w:cs="Times New Roman"/>
          <w:b w:val="0"/>
          <w:bCs w:val="0"/>
          <w:color w:val="auto"/>
          <w:sz w:val="24"/>
          <w:szCs w:val="24"/>
          <w:lang w:val="en-US" w:eastAsia="zh-CN"/>
        </w:rPr>
        <w:t>A</w:t>
      </w:r>
      <w:r>
        <w:rPr>
          <w:rFonts w:hint="default" w:ascii="Times New Roman" w:hAnsi="Times New Roman" w:eastAsia="宋体" w:cs="Times New Roman"/>
          <w:b w:val="0"/>
          <w:bCs w:val="0"/>
          <w:color w:val="auto"/>
          <w:sz w:val="24"/>
          <w:szCs w:val="24"/>
        </w:rPr>
        <w:t>lpha-fetoprotein</w:t>
      </w:r>
    </w:p>
    <w:p w14:paraId="1EE265F7">
      <w:pPr>
        <w:tabs>
          <w:tab w:val="left" w:pos="2129"/>
        </w:tabs>
        <w:rPr>
          <w:rFonts w:ascii="Calibri" w:hAnsi="Calibri" w:eastAsia="宋体" w:cs="Times New Roman"/>
          <w:color w:val="auto"/>
        </w:rPr>
      </w:pPr>
      <w:r>
        <w:rPr>
          <w:rFonts w:hint="default" w:ascii="Times New Roman" w:hAnsi="Times New Roman" w:eastAsia="宋体" w:cs="Times New Roman"/>
          <w:b w:val="0"/>
          <w:bCs w:val="0"/>
          <w:color w:val="auto"/>
          <w:sz w:val="24"/>
          <w:szCs w:val="24"/>
        </w:rPr>
        <w:t>ROC</w:t>
      </w:r>
      <w:r>
        <w:rPr>
          <w:rFonts w:ascii="Calibri" w:hAnsi="Calibri" w:eastAsia="宋体" w:cs="Times New Roman"/>
          <w:color w:val="auto"/>
        </w:rPr>
        <w:tab/>
      </w:r>
      <w:r>
        <w:rPr>
          <w:rFonts w:hint="default" w:ascii="Times New Roman" w:hAnsi="Times New Roman" w:eastAsia="宋体" w:cs="Times New Roman"/>
          <w:b w:val="0"/>
          <w:bCs w:val="0"/>
          <w:color w:val="auto"/>
          <w:sz w:val="24"/>
          <w:szCs w:val="24"/>
        </w:rPr>
        <w:t>Receiver</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rPr>
        <w:t>operating characteristic</w:t>
      </w:r>
    </w:p>
    <w:p w14:paraId="073C5D35">
      <w:pPr>
        <w:tabs>
          <w:tab w:val="left" w:pos="2129"/>
        </w:tabs>
        <w:rPr>
          <w:rFonts w:ascii="Calibri" w:hAnsi="Calibri" w:eastAsia="宋体" w:cs="Times New Roman"/>
          <w:color w:val="auto"/>
        </w:rPr>
      </w:pPr>
      <w:r>
        <w:rPr>
          <w:rFonts w:hint="default" w:ascii="Times New Roman" w:hAnsi="Times New Roman" w:eastAsia="宋体" w:cs="Times New Roman"/>
          <w:b w:val="0"/>
          <w:bCs w:val="0"/>
          <w:color w:val="auto"/>
          <w:sz w:val="24"/>
          <w:szCs w:val="24"/>
        </w:rPr>
        <w:t>DFS</w:t>
      </w:r>
      <w:r>
        <w:rPr>
          <w:rFonts w:ascii="Calibri" w:hAnsi="Calibri" w:eastAsia="宋体" w:cs="Times New Roman"/>
          <w:color w:val="auto"/>
        </w:rPr>
        <w:tab/>
      </w:r>
      <w:r>
        <w:rPr>
          <w:rFonts w:hint="eastAsia" w:ascii="Times New Roman" w:hAnsi="Times New Roman" w:eastAsia="宋体" w:cs="Times New Roman"/>
          <w:b w:val="0"/>
          <w:bCs w:val="0"/>
          <w:color w:val="auto"/>
          <w:sz w:val="24"/>
          <w:szCs w:val="24"/>
          <w:lang w:val="en-US" w:eastAsia="zh-CN"/>
        </w:rPr>
        <w:t>D</w:t>
      </w:r>
      <w:r>
        <w:rPr>
          <w:rFonts w:hint="default" w:ascii="Times New Roman" w:hAnsi="Times New Roman" w:eastAsia="宋体" w:cs="Times New Roman"/>
          <w:b w:val="0"/>
          <w:bCs w:val="0"/>
          <w:color w:val="auto"/>
          <w:sz w:val="24"/>
          <w:szCs w:val="24"/>
        </w:rPr>
        <w:t>isease-free survival</w:t>
      </w:r>
    </w:p>
    <w:p w14:paraId="37A31452">
      <w:pPr>
        <w:tabs>
          <w:tab w:val="left" w:pos="2129"/>
        </w:tabs>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OS</w:t>
      </w:r>
      <w:r>
        <w:rPr>
          <w:rFonts w:hint="default" w:ascii="Times New Roman" w:hAnsi="Times New Roman" w:eastAsia="宋体" w:cs="Times New Roman"/>
          <w:b w:val="0"/>
          <w:bCs w:val="0"/>
          <w:color w:val="auto"/>
          <w:sz w:val="24"/>
          <w:szCs w:val="24"/>
        </w:rPr>
        <w:tab/>
      </w:r>
      <w:r>
        <w:rPr>
          <w:rFonts w:hint="eastAsia" w:ascii="Times New Roman" w:hAnsi="Times New Roman" w:eastAsia="宋体" w:cs="Times New Roman"/>
          <w:b w:val="0"/>
          <w:bCs w:val="0"/>
          <w:color w:val="auto"/>
          <w:sz w:val="24"/>
          <w:szCs w:val="24"/>
          <w:lang w:val="en-US" w:eastAsia="zh-CN"/>
        </w:rPr>
        <w:t>O</w:t>
      </w:r>
      <w:r>
        <w:rPr>
          <w:rFonts w:hint="default" w:ascii="Times New Roman" w:hAnsi="Times New Roman" w:eastAsia="宋体" w:cs="Times New Roman"/>
          <w:b w:val="0"/>
          <w:bCs w:val="0"/>
          <w:color w:val="auto"/>
          <w:sz w:val="24"/>
          <w:szCs w:val="24"/>
        </w:rPr>
        <w:t>verall survival</w:t>
      </w:r>
    </w:p>
    <w:p w14:paraId="055155E5">
      <w:pPr>
        <w:tabs>
          <w:tab w:val="left" w:pos="2129"/>
        </w:tabs>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BCLC</w:t>
      </w:r>
      <w:r>
        <w:rPr>
          <w:rFonts w:hint="default" w:ascii="Times New Roman" w:hAnsi="Times New Roman" w:eastAsia="宋体" w:cs="Times New Roman"/>
          <w:b w:val="0"/>
          <w:bCs w:val="0"/>
          <w:color w:val="auto"/>
          <w:sz w:val="24"/>
          <w:szCs w:val="24"/>
        </w:rPr>
        <w:tab/>
      </w:r>
      <w:r>
        <w:rPr>
          <w:rFonts w:hint="default" w:ascii="Times New Roman" w:hAnsi="Times New Roman" w:eastAsia="宋体" w:cs="Times New Roman"/>
          <w:b w:val="0"/>
          <w:bCs w:val="0"/>
          <w:color w:val="auto"/>
          <w:sz w:val="24"/>
          <w:szCs w:val="24"/>
        </w:rPr>
        <w:t>Barcelona Clinic</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rPr>
        <w:t>Liver Cancer</w:t>
      </w:r>
    </w:p>
    <w:p w14:paraId="62D7FE16">
      <w:pPr>
        <w:tabs>
          <w:tab w:val="left" w:pos="2129"/>
        </w:tabs>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HBV</w:t>
      </w:r>
      <w:r>
        <w:rPr>
          <w:rFonts w:hint="default" w:ascii="Times New Roman" w:hAnsi="Times New Roman" w:eastAsia="宋体" w:cs="Times New Roman"/>
          <w:b w:val="0"/>
          <w:bCs w:val="0"/>
          <w:color w:val="auto"/>
          <w:sz w:val="24"/>
          <w:szCs w:val="24"/>
        </w:rPr>
        <w:tab/>
      </w:r>
      <w:r>
        <w:rPr>
          <w:rFonts w:hint="eastAsia" w:ascii="Times New Roman" w:hAnsi="Times New Roman" w:eastAsia="宋体" w:cs="Times New Roman"/>
          <w:b w:val="0"/>
          <w:bCs w:val="0"/>
          <w:color w:val="auto"/>
          <w:sz w:val="24"/>
          <w:szCs w:val="24"/>
          <w:lang w:val="en-US" w:eastAsia="zh-CN"/>
        </w:rPr>
        <w:t>H</w:t>
      </w:r>
      <w:r>
        <w:rPr>
          <w:rFonts w:hint="default" w:ascii="Times New Roman" w:hAnsi="Times New Roman" w:eastAsia="宋体" w:cs="Times New Roman"/>
          <w:b w:val="0"/>
          <w:bCs w:val="0"/>
          <w:color w:val="auto"/>
          <w:sz w:val="24"/>
          <w:szCs w:val="24"/>
        </w:rPr>
        <w:t>epatitis B virus</w:t>
      </w:r>
    </w:p>
    <w:p w14:paraId="11E13805">
      <w:pPr>
        <w:tabs>
          <w:tab w:val="left" w:pos="2129"/>
        </w:tabs>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AST</w:t>
      </w:r>
      <w:r>
        <w:rPr>
          <w:rFonts w:hint="default" w:ascii="Times New Roman" w:hAnsi="Times New Roman" w:eastAsia="宋体" w:cs="Times New Roman"/>
          <w:b w:val="0"/>
          <w:bCs w:val="0"/>
          <w:color w:val="auto"/>
          <w:sz w:val="24"/>
          <w:szCs w:val="24"/>
        </w:rPr>
        <w:tab/>
      </w:r>
      <w:r>
        <w:rPr>
          <w:rFonts w:hint="eastAsia" w:ascii="Times New Roman" w:hAnsi="Times New Roman" w:eastAsia="宋体" w:cs="Times New Roman"/>
          <w:b w:val="0"/>
          <w:bCs w:val="0"/>
          <w:color w:val="auto"/>
          <w:sz w:val="24"/>
          <w:szCs w:val="24"/>
          <w:lang w:val="en-US" w:eastAsia="zh-CN"/>
        </w:rPr>
        <w:t>A</w:t>
      </w:r>
      <w:r>
        <w:rPr>
          <w:rFonts w:hint="default" w:ascii="Times New Roman" w:hAnsi="Times New Roman" w:eastAsia="宋体" w:cs="Times New Roman"/>
          <w:b w:val="0"/>
          <w:bCs w:val="0"/>
          <w:color w:val="auto"/>
          <w:sz w:val="24"/>
          <w:szCs w:val="24"/>
        </w:rPr>
        <w:t>spartate aminotransferase</w:t>
      </w:r>
    </w:p>
    <w:p w14:paraId="023883A2">
      <w:pPr>
        <w:tabs>
          <w:tab w:val="left" w:pos="2129"/>
        </w:tabs>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ALT</w:t>
      </w:r>
      <w:r>
        <w:rPr>
          <w:rFonts w:hint="default" w:ascii="Times New Roman" w:hAnsi="Times New Roman" w:eastAsia="宋体" w:cs="Times New Roman"/>
          <w:b w:val="0"/>
          <w:bCs w:val="0"/>
          <w:color w:val="auto"/>
          <w:sz w:val="24"/>
          <w:szCs w:val="24"/>
        </w:rPr>
        <w:tab/>
      </w:r>
      <w:r>
        <w:rPr>
          <w:rFonts w:hint="eastAsia" w:ascii="Times New Roman" w:hAnsi="Times New Roman" w:eastAsia="宋体" w:cs="Times New Roman"/>
          <w:b w:val="0"/>
          <w:bCs w:val="0"/>
          <w:color w:val="auto"/>
          <w:sz w:val="24"/>
          <w:szCs w:val="24"/>
          <w:lang w:val="en-US" w:eastAsia="zh-CN"/>
        </w:rPr>
        <w:t>A</w:t>
      </w:r>
      <w:r>
        <w:rPr>
          <w:rFonts w:hint="default" w:ascii="Times New Roman" w:hAnsi="Times New Roman" w:eastAsia="宋体" w:cs="Times New Roman"/>
          <w:b w:val="0"/>
          <w:bCs w:val="0"/>
          <w:color w:val="auto"/>
          <w:sz w:val="24"/>
          <w:szCs w:val="24"/>
        </w:rPr>
        <w:t>lanine aminotransferase</w:t>
      </w:r>
    </w:p>
    <w:p w14:paraId="4AF68485">
      <w:pPr>
        <w:tabs>
          <w:tab w:val="left" w:pos="2129"/>
        </w:tabs>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APRI</w:t>
      </w:r>
      <w:r>
        <w:rPr>
          <w:rFonts w:hint="default" w:ascii="Times New Roman" w:hAnsi="Times New Roman" w:eastAsia="宋体" w:cs="Times New Roman"/>
          <w:b w:val="0"/>
          <w:bCs w:val="0"/>
          <w:color w:val="auto"/>
          <w:sz w:val="24"/>
          <w:szCs w:val="24"/>
        </w:rPr>
        <w:tab/>
      </w:r>
      <w:r>
        <w:rPr>
          <w:rFonts w:hint="eastAsia" w:ascii="Times New Roman" w:hAnsi="Times New Roman" w:eastAsia="宋体" w:cs="Times New Roman"/>
          <w:color w:val="auto"/>
          <w:sz w:val="24"/>
          <w:szCs w:val="24"/>
          <w:lang w:val="en-US" w:eastAsia="zh-CN"/>
        </w:rPr>
        <w:t xml:space="preserve">Aspartate aminotransferase to platelet ratio index </w:t>
      </w:r>
    </w:p>
    <w:p w14:paraId="4978FA5B">
      <w:pPr>
        <w:tabs>
          <w:tab w:val="left" w:pos="2129"/>
        </w:tabs>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MRI</w:t>
      </w:r>
      <w:r>
        <w:rPr>
          <w:rFonts w:hint="default" w:ascii="Times New Roman" w:hAnsi="Times New Roman" w:eastAsia="宋体" w:cs="Times New Roman"/>
          <w:b w:val="0"/>
          <w:bCs w:val="0"/>
          <w:color w:val="auto"/>
          <w:sz w:val="24"/>
          <w:szCs w:val="24"/>
        </w:rPr>
        <w:tab/>
      </w:r>
      <w:r>
        <w:rPr>
          <w:rFonts w:hint="eastAsia" w:ascii="Times New Roman" w:hAnsi="Times New Roman" w:eastAsia="宋体" w:cs="Times New Roman"/>
          <w:b w:val="0"/>
          <w:bCs w:val="0"/>
          <w:color w:val="auto"/>
          <w:sz w:val="24"/>
          <w:szCs w:val="24"/>
          <w:lang w:val="en-US" w:eastAsia="zh-CN"/>
        </w:rPr>
        <w:t>Magnetic resonance imaging</w:t>
      </w:r>
    </w:p>
    <w:p w14:paraId="100F994E">
      <w:pPr>
        <w:tabs>
          <w:tab w:val="left" w:pos="2129"/>
        </w:tabs>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CT</w:t>
      </w:r>
      <w:r>
        <w:rPr>
          <w:rFonts w:hint="eastAsia" w:ascii="Times New Roman" w:hAnsi="Times New Roman" w:eastAsia="宋体" w:cs="Times New Roman"/>
          <w:b w:val="0"/>
          <w:bCs w:val="0"/>
          <w:color w:val="auto"/>
          <w:sz w:val="24"/>
          <w:szCs w:val="24"/>
          <w:lang w:val="en-US" w:eastAsia="zh-CN"/>
        </w:rPr>
        <w:tab/>
      </w:r>
      <w:r>
        <w:rPr>
          <w:rFonts w:hint="eastAsia" w:ascii="Times New Roman" w:hAnsi="Times New Roman" w:eastAsia="宋体" w:cs="Times New Roman"/>
          <w:b w:val="0"/>
          <w:bCs w:val="0"/>
          <w:color w:val="auto"/>
          <w:sz w:val="24"/>
          <w:szCs w:val="24"/>
          <w:lang w:val="en-US" w:eastAsia="zh-CN"/>
        </w:rPr>
        <w:t>Computed tomography</w:t>
      </w:r>
    </w:p>
    <w:p w14:paraId="18DAC507">
      <w:pPr>
        <w:tabs>
          <w:tab w:val="left" w:pos="2129"/>
        </w:tabs>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kern w:val="0"/>
          <w:sz w:val="24"/>
          <w:szCs w:val="24"/>
          <w:lang w:val="en-US" w:eastAsia="zh-CN" w:bidi="ar"/>
        </w:rPr>
        <w:t>HCV</w:t>
      </w:r>
      <w:r>
        <w:rPr>
          <w:rFonts w:hint="eastAsia" w:ascii="Times New Roman" w:hAnsi="Times New Roman" w:eastAsia="宋体" w:cs="Times New Roman"/>
          <w:b w:val="0"/>
          <w:bCs w:val="0"/>
          <w:color w:val="auto"/>
          <w:sz w:val="24"/>
          <w:szCs w:val="24"/>
          <w:lang w:val="en-US" w:eastAsia="zh-CN"/>
        </w:rPr>
        <w:tab/>
      </w:r>
      <w:r>
        <w:rPr>
          <w:rFonts w:hint="eastAsia" w:ascii="Times New Roman" w:hAnsi="Times New Roman" w:eastAsia="宋体" w:cs="Times New Roman"/>
          <w:b w:val="0"/>
          <w:bCs w:val="0"/>
          <w:color w:val="auto"/>
          <w:sz w:val="24"/>
          <w:szCs w:val="24"/>
          <w:lang w:val="en-US" w:eastAsia="zh-CN"/>
        </w:rPr>
        <w:t>H</w:t>
      </w:r>
      <w:r>
        <w:rPr>
          <w:rFonts w:hint="default" w:ascii="Times New Roman" w:hAnsi="Times New Roman" w:eastAsia="宋体" w:cs="Times New Roman"/>
          <w:b w:val="0"/>
          <w:bCs w:val="0"/>
          <w:color w:val="auto"/>
          <w:sz w:val="24"/>
          <w:szCs w:val="24"/>
        </w:rPr>
        <w:t xml:space="preserve">epatitis </w:t>
      </w:r>
      <w:r>
        <w:rPr>
          <w:rFonts w:hint="eastAsia" w:ascii="Times New Roman" w:hAnsi="Times New Roman" w:eastAsia="宋体" w:cs="Times New Roman"/>
          <w:b w:val="0"/>
          <w:bCs w:val="0"/>
          <w:color w:val="auto"/>
          <w:sz w:val="24"/>
          <w:szCs w:val="24"/>
          <w:lang w:val="en-US" w:eastAsia="zh-CN"/>
        </w:rPr>
        <w:t>C</w:t>
      </w:r>
      <w:r>
        <w:rPr>
          <w:rFonts w:hint="default" w:ascii="Times New Roman" w:hAnsi="Times New Roman" w:eastAsia="宋体" w:cs="Times New Roman"/>
          <w:b w:val="0"/>
          <w:bCs w:val="0"/>
          <w:color w:val="auto"/>
          <w:sz w:val="24"/>
          <w:szCs w:val="24"/>
        </w:rPr>
        <w:t xml:space="preserve"> virus</w:t>
      </w:r>
    </w:p>
    <w:p w14:paraId="4A8B3CA9">
      <w:pPr>
        <w:keepNext w:val="0"/>
        <w:keepLines w:val="0"/>
        <w:pageBreakBefore w:val="0"/>
        <w:widowControl w:val="0"/>
        <w:kinsoku/>
        <w:wordWrap/>
        <w:overflowPunct/>
        <w:topLinePunct w:val="0"/>
        <w:autoSpaceDE/>
        <w:autoSpaceDN/>
        <w:bidi w:val="0"/>
        <w:adjustRightInd/>
        <w:snapToGrid/>
        <w:spacing w:beforeLines="0" w:afterLines="0" w:line="360" w:lineRule="auto"/>
        <w:ind w:firstLine="480"/>
        <w:jc w:val="both"/>
        <w:textAlignment w:val="auto"/>
        <w:rPr>
          <w:rFonts w:hint="default" w:ascii="Times New Roman" w:hAnsi="Times New Roman" w:eastAsia="宋体" w:cs="Times New Roman"/>
          <w:b w:val="0"/>
          <w:bCs w:val="0"/>
          <w:color w:val="auto"/>
          <w:kern w:val="0"/>
          <w:sz w:val="24"/>
          <w:szCs w:val="24"/>
          <w:lang w:val="en-US" w:eastAsia="zh-CN" w:bidi="ar"/>
        </w:rPr>
      </w:pPr>
      <w:r>
        <w:rPr>
          <w:rFonts w:hint="eastAsia" w:ascii="Times New Roman" w:hAnsi="Times New Roman" w:eastAsia="宋体" w:cs="Times New Roman"/>
          <w:b w:val="0"/>
          <w:bCs w:val="0"/>
          <w:color w:val="auto"/>
          <w:kern w:val="0"/>
          <w:sz w:val="24"/>
          <w:szCs w:val="24"/>
          <w:lang w:val="en-US" w:eastAsia="zh-CN" w:bidi="ar"/>
        </w:rPr>
        <w:t xml:space="preserve">                   </w:t>
      </w:r>
    </w:p>
    <w:p w14:paraId="3063814B">
      <w:pPr>
        <w:keepNext w:val="0"/>
        <w:keepLines w:val="0"/>
        <w:pageBreakBefore w:val="0"/>
        <w:widowControl w:val="0"/>
        <w:kinsoku/>
        <w:wordWrap/>
        <w:overflowPunct/>
        <w:topLinePunct w:val="0"/>
        <w:autoSpaceDE/>
        <w:autoSpaceDN/>
        <w:bidi w:val="0"/>
        <w:adjustRightInd/>
        <w:snapToGrid/>
        <w:spacing w:beforeLines="0" w:afterLines="0" w:line="360" w:lineRule="auto"/>
        <w:ind w:firstLine="480"/>
        <w:jc w:val="both"/>
        <w:textAlignment w:val="auto"/>
        <w:rPr>
          <w:rFonts w:hint="eastAsia" w:ascii="Times New Roman" w:hAnsi="Times New Roman" w:eastAsia="宋体" w:cs="Times New Roman"/>
          <w:b w:val="0"/>
          <w:bCs w:val="0"/>
          <w:color w:val="auto"/>
          <w:kern w:val="0"/>
          <w:sz w:val="24"/>
          <w:szCs w:val="24"/>
          <w:lang w:val="en-US" w:eastAsia="zh-CN" w:bidi="ar"/>
        </w:rPr>
      </w:pPr>
    </w:p>
    <w:p w14:paraId="1F1BF839">
      <w:pPr>
        <w:keepNext w:val="0"/>
        <w:keepLines w:val="0"/>
        <w:pageBreakBefore w:val="0"/>
        <w:widowControl w:val="0"/>
        <w:kinsoku/>
        <w:wordWrap/>
        <w:overflowPunct/>
        <w:topLinePunct w:val="0"/>
        <w:autoSpaceDE/>
        <w:autoSpaceDN/>
        <w:bidi w:val="0"/>
        <w:adjustRightInd/>
        <w:snapToGrid/>
        <w:spacing w:beforeLines="0" w:afterLines="0" w:line="360" w:lineRule="auto"/>
        <w:ind w:firstLine="480"/>
        <w:jc w:val="both"/>
        <w:textAlignment w:val="auto"/>
        <w:rPr>
          <w:rFonts w:hint="eastAsia" w:ascii="Times New Roman" w:hAnsi="Times New Roman" w:eastAsia="宋体" w:cs="Times New Roman"/>
          <w:b w:val="0"/>
          <w:bCs w:val="0"/>
          <w:color w:val="auto"/>
          <w:kern w:val="0"/>
          <w:sz w:val="24"/>
          <w:szCs w:val="24"/>
          <w:lang w:val="en-US" w:eastAsia="zh-CN" w:bidi="ar"/>
        </w:rPr>
      </w:pPr>
    </w:p>
    <w:p w14:paraId="5C297962">
      <w:pPr>
        <w:keepNext w:val="0"/>
        <w:keepLines w:val="0"/>
        <w:pageBreakBefore w:val="0"/>
        <w:widowControl w:val="0"/>
        <w:kinsoku/>
        <w:wordWrap/>
        <w:overflowPunct/>
        <w:topLinePunct w:val="0"/>
        <w:autoSpaceDE/>
        <w:autoSpaceDN/>
        <w:bidi w:val="0"/>
        <w:adjustRightInd/>
        <w:snapToGrid/>
        <w:spacing w:beforeLines="0" w:afterLines="0" w:line="360" w:lineRule="auto"/>
        <w:ind w:firstLine="482" w:firstLineChars="200"/>
        <w:jc w:val="left"/>
        <w:textAlignment w:val="auto"/>
        <w:rPr>
          <w:rFonts w:hint="eastAsia" w:ascii="Times New Roman" w:hAnsi="Times New Roman" w:eastAsia="宋体" w:cs="Times New Roman"/>
          <w:b/>
          <w:bCs/>
          <w:color w:val="auto"/>
          <w:kern w:val="0"/>
          <w:sz w:val="24"/>
          <w:szCs w:val="24"/>
          <w:lang w:val="en-US" w:eastAsia="zh-CN" w:bidi="ar"/>
        </w:rPr>
      </w:pPr>
      <w:r>
        <w:rPr>
          <w:rFonts w:hint="eastAsia" w:ascii="Times New Roman" w:hAnsi="Times New Roman" w:eastAsia="宋体" w:cs="Times New Roman"/>
          <w:b/>
          <w:bCs/>
          <w:color w:val="auto"/>
          <w:kern w:val="0"/>
          <w:sz w:val="24"/>
          <w:szCs w:val="24"/>
          <w:lang w:val="en-US" w:eastAsia="zh-CN" w:bidi="ar"/>
        </w:rPr>
        <w:t>Data availability statement</w:t>
      </w:r>
    </w:p>
    <w:p w14:paraId="4D3A6947">
      <w:pPr>
        <w:keepNext w:val="0"/>
        <w:keepLines w:val="0"/>
        <w:pageBreakBefore w:val="0"/>
        <w:widowControl w:val="0"/>
        <w:kinsoku/>
        <w:wordWrap/>
        <w:overflowPunct/>
        <w:topLinePunct w:val="0"/>
        <w:autoSpaceDE/>
        <w:autoSpaceDN/>
        <w:bidi w:val="0"/>
        <w:adjustRightInd/>
        <w:snapToGrid/>
        <w:spacing w:beforeLines="0" w:afterLines="0" w:line="360" w:lineRule="auto"/>
        <w:ind w:left="479" w:leftChars="228" w:firstLine="480" w:firstLineChars="200"/>
        <w:jc w:val="left"/>
        <w:textAlignment w:val="auto"/>
        <w:rPr>
          <w:rFonts w:hint="eastAsia" w:ascii="Times New Roman" w:hAnsi="Times New Roman" w:eastAsia="宋体" w:cs="Times New Roman"/>
          <w:b/>
          <w:bCs/>
          <w:color w:val="auto"/>
          <w:kern w:val="0"/>
          <w:sz w:val="24"/>
          <w:szCs w:val="24"/>
          <w:lang w:val="en-US" w:eastAsia="zh-CN" w:bidi="ar"/>
        </w:rPr>
      </w:pPr>
      <w:r>
        <w:rPr>
          <w:rFonts w:hint="eastAsia" w:ascii="Times New Roman" w:hAnsi="Times New Roman" w:eastAsia="宋体" w:cs="Times New Roman"/>
          <w:b w:val="0"/>
          <w:bCs w:val="0"/>
          <w:color w:val="auto"/>
          <w:kern w:val="0"/>
          <w:sz w:val="24"/>
          <w:szCs w:val="24"/>
          <w:highlight w:val="none"/>
          <w:lang w:val="en-US" w:eastAsia="zh-CN" w:bidi="ar"/>
        </w:rPr>
        <w:t xml:space="preserve">The data supporting these findings are included in the manuscript and its supplementary materials. Further inquiries may be directed to the corresponding </w:t>
      </w:r>
      <w:r>
        <w:rPr>
          <w:rFonts w:hint="eastAsia" w:ascii="Times New Roman" w:hAnsi="Times New Roman" w:eastAsia="宋体" w:cs="Times New Roman"/>
          <w:b w:val="0"/>
          <w:bCs w:val="0"/>
          <w:color w:val="auto"/>
          <w:kern w:val="0"/>
          <w:sz w:val="24"/>
          <w:szCs w:val="24"/>
          <w:lang w:val="en-US" w:eastAsia="zh-CN" w:bidi="ar"/>
        </w:rPr>
        <w:t>authors.</w:t>
      </w:r>
    </w:p>
    <w:p w14:paraId="4313F85C">
      <w:pPr>
        <w:keepNext w:val="0"/>
        <w:keepLines w:val="0"/>
        <w:pageBreakBefore w:val="0"/>
        <w:widowControl w:val="0"/>
        <w:kinsoku/>
        <w:wordWrap/>
        <w:overflowPunct/>
        <w:topLinePunct w:val="0"/>
        <w:autoSpaceDE/>
        <w:autoSpaceDN/>
        <w:bidi w:val="0"/>
        <w:adjustRightInd/>
        <w:snapToGrid/>
        <w:spacing w:beforeLines="0" w:afterLines="0" w:line="360" w:lineRule="auto"/>
        <w:ind w:firstLine="482" w:firstLineChars="200"/>
        <w:jc w:val="left"/>
        <w:textAlignment w:val="auto"/>
        <w:rPr>
          <w:rFonts w:hint="default" w:ascii="Times New Roman" w:hAnsi="Times New Roman" w:eastAsia="宋体" w:cs="Times New Roman"/>
          <w:b/>
          <w:bCs/>
          <w:color w:val="auto"/>
          <w:kern w:val="0"/>
          <w:sz w:val="24"/>
          <w:szCs w:val="24"/>
          <w:lang w:val="en-US" w:eastAsia="zh-CN" w:bidi="ar"/>
        </w:rPr>
      </w:pPr>
      <w:r>
        <w:rPr>
          <w:rFonts w:hint="eastAsia" w:ascii="Times New Roman" w:hAnsi="Times New Roman" w:eastAsia="宋体" w:cs="Times New Roman"/>
          <w:b/>
          <w:bCs/>
          <w:color w:val="auto"/>
          <w:kern w:val="0"/>
          <w:sz w:val="24"/>
          <w:szCs w:val="24"/>
          <w:lang w:val="en-US" w:eastAsia="zh-CN" w:bidi="ar"/>
        </w:rPr>
        <w:t>Ethics statement and consent to participate</w:t>
      </w:r>
    </w:p>
    <w:p w14:paraId="7591D40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The study was reviewed and approved</w:t>
      </w:r>
      <w:r>
        <w:rPr>
          <w:rFonts w:hint="eastAsia" w:ascii="Times New Roman" w:hAnsi="Times New Roman" w:eastAsia="宋体" w:cs="Times New Roman"/>
          <w:b w:val="0"/>
          <w:bCs w:val="0"/>
          <w:color w:val="auto"/>
          <w:kern w:val="2"/>
          <w:sz w:val="24"/>
          <w:szCs w:val="24"/>
          <w:lang w:val="en-US" w:eastAsia="zh-CN" w:bidi="ar"/>
        </w:rPr>
        <w:t xml:space="preserve"> </w:t>
      </w:r>
      <w:r>
        <w:rPr>
          <w:rFonts w:hint="default" w:ascii="Times New Roman" w:hAnsi="Times New Roman" w:eastAsia="宋体" w:cs="Times New Roman"/>
          <w:b w:val="0"/>
          <w:bCs w:val="0"/>
          <w:color w:val="auto"/>
          <w:kern w:val="2"/>
          <w:sz w:val="24"/>
          <w:szCs w:val="24"/>
          <w:lang w:val="en-US" w:eastAsia="zh-CN" w:bidi="ar"/>
        </w:rPr>
        <w:t>by the ethics committees of Guangxi Medical University Cancer Hospital (approval number: KY2026390)</w:t>
      </w:r>
      <w:r>
        <w:rPr>
          <w:rFonts w:hint="eastAsia" w:ascii="Times New Roman" w:hAnsi="Times New Roman" w:eastAsia="宋体" w:cs="Times New Roman"/>
          <w:b w:val="0"/>
          <w:bCs w:val="0"/>
          <w:color w:val="auto"/>
          <w:kern w:val="2"/>
          <w:sz w:val="24"/>
          <w:szCs w:val="24"/>
          <w:lang w:val="en-US" w:eastAsia="zh-CN" w:bidi="ar"/>
        </w:rPr>
        <w:t xml:space="preserve"> </w:t>
      </w:r>
      <w:r>
        <w:rPr>
          <w:rFonts w:hint="default" w:ascii="Times New Roman" w:hAnsi="Times New Roman" w:eastAsia="宋体" w:cs="Times New Roman"/>
          <w:b w:val="0"/>
          <w:bCs w:val="0"/>
          <w:color w:val="auto"/>
          <w:kern w:val="2"/>
          <w:sz w:val="24"/>
          <w:szCs w:val="24"/>
          <w:lang w:val="en-US" w:eastAsia="zh-CN" w:bidi="ar"/>
        </w:rPr>
        <w:t>and The First People’s Hospital of Changde City(approval number: 2025-260-01).</w:t>
      </w:r>
    </w:p>
    <w:p w14:paraId="647E0968">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Due to the retrospective nature of this study, the requirement for individual informed consent was waived by the ethics committee. All data analyses were performed in strict accordance with the principles of the Declaration of Helsinki, as well as the ethical guidelines established by Guangxi Medical University Cancer Hospital and The First People’s Hospital of Changde City.</w:t>
      </w:r>
    </w:p>
    <w:p w14:paraId="0D70675E">
      <w:pPr>
        <w:keepNext w:val="0"/>
        <w:keepLines w:val="0"/>
        <w:pageBreakBefore w:val="0"/>
        <w:widowControl w:val="0"/>
        <w:kinsoku/>
        <w:wordWrap/>
        <w:overflowPunct/>
        <w:topLinePunct w:val="0"/>
        <w:autoSpaceDE/>
        <w:autoSpaceDN/>
        <w:bidi w:val="0"/>
        <w:adjustRightInd/>
        <w:snapToGrid/>
        <w:spacing w:beforeLines="0" w:afterLines="0" w:line="360" w:lineRule="auto"/>
        <w:ind w:firstLine="482" w:firstLineChars="200"/>
        <w:jc w:val="left"/>
        <w:textAlignment w:val="auto"/>
        <w:rPr>
          <w:rFonts w:hint="eastAsia" w:ascii="Times New Roman" w:hAnsi="Times New Roman" w:eastAsia="宋体" w:cs="Times New Roman"/>
          <w:b w:val="0"/>
          <w:bCs w:val="0"/>
          <w:color w:val="auto"/>
          <w:kern w:val="0"/>
          <w:sz w:val="24"/>
          <w:szCs w:val="24"/>
          <w:lang w:val="en-US" w:eastAsia="zh-CN" w:bidi="ar"/>
        </w:rPr>
      </w:pPr>
      <w:r>
        <w:rPr>
          <w:rFonts w:hint="eastAsia" w:ascii="Times New Roman" w:hAnsi="Times New Roman" w:eastAsia="宋体" w:cs="Times New Roman"/>
          <w:b/>
          <w:bCs/>
          <w:color w:val="auto"/>
          <w:kern w:val="0"/>
          <w:sz w:val="24"/>
          <w:szCs w:val="24"/>
          <w:lang w:val="en-US" w:eastAsia="zh-CN" w:bidi="ar"/>
        </w:rPr>
        <w:t>Author contributions</w:t>
      </w:r>
    </w:p>
    <w:p w14:paraId="3E448322">
      <w:pPr>
        <w:keepNext w:val="0"/>
        <w:keepLines w:val="0"/>
        <w:pageBreakBefore w:val="0"/>
        <w:widowControl w:val="0"/>
        <w:kinsoku/>
        <w:wordWrap/>
        <w:overflowPunct/>
        <w:topLinePunct w:val="0"/>
        <w:autoSpaceDE/>
        <w:autoSpaceDN/>
        <w:bidi w:val="0"/>
        <w:adjustRightInd/>
        <w:snapToGrid/>
        <w:spacing w:beforeLines="0" w:afterLines="0" w:line="360" w:lineRule="auto"/>
        <w:ind w:left="479" w:leftChars="228" w:firstLine="480" w:firstLineChars="200"/>
        <w:jc w:val="both"/>
        <w:textAlignment w:val="auto"/>
        <w:rPr>
          <w:rFonts w:hint="eastAsia" w:ascii="Times New Roman" w:hAnsi="Times New Roman" w:eastAsia="宋体" w:cs="Times New Roman"/>
          <w:b w:val="0"/>
          <w:bCs w:val="0"/>
          <w:color w:val="auto"/>
          <w:kern w:val="0"/>
          <w:sz w:val="24"/>
          <w:szCs w:val="24"/>
          <w:lang w:val="en-US" w:eastAsia="zh-CN" w:bidi="ar"/>
        </w:rPr>
      </w:pPr>
      <w:r>
        <w:rPr>
          <w:rFonts w:hint="eastAsia" w:ascii="Times New Roman" w:hAnsi="Times New Roman" w:eastAsia="宋体" w:cs="Times New Roman"/>
          <w:b w:val="0"/>
          <w:bCs w:val="0"/>
          <w:color w:val="auto"/>
          <w:kern w:val="0"/>
          <w:sz w:val="24"/>
          <w:szCs w:val="24"/>
          <w:highlight w:val="none"/>
          <w:lang w:val="en-US" w:eastAsia="zh-CN" w:bidi="ar"/>
        </w:rPr>
        <w:t>YTY, HJY and YFD contributed equally to this work. SXH: Conceptualization, Data curation, Follow-up with postoperative patients, Writing-review &amp; editing. YFD: Conceptualization, Supervision, Writing-review &amp; editing. ZMX and KLZ: Conceptualization, Supervision, Writing-review &amp; editing. HJY: Data curation, Formal analysis, Writing-original draft, Writing-review &amp; editing. YTY: Formal analysis, Writing-original draft, Writing-review &amp; editing.</w:t>
      </w:r>
    </w:p>
    <w:p w14:paraId="02326621">
      <w:pPr>
        <w:keepNext w:val="0"/>
        <w:keepLines w:val="0"/>
        <w:pageBreakBefore w:val="0"/>
        <w:widowControl w:val="0"/>
        <w:kinsoku/>
        <w:wordWrap/>
        <w:overflowPunct/>
        <w:topLinePunct w:val="0"/>
        <w:autoSpaceDE/>
        <w:autoSpaceDN/>
        <w:bidi w:val="0"/>
        <w:adjustRightInd/>
        <w:snapToGrid/>
        <w:spacing w:beforeLines="0" w:afterLines="0" w:line="360" w:lineRule="auto"/>
        <w:ind w:firstLine="482" w:firstLineChars="200"/>
        <w:jc w:val="left"/>
        <w:textAlignment w:val="auto"/>
        <w:rPr>
          <w:rFonts w:hint="eastAsia" w:ascii="Times New Roman" w:hAnsi="Times New Roman" w:eastAsia="宋体" w:cs="Times New Roman"/>
          <w:b w:val="0"/>
          <w:bCs w:val="0"/>
          <w:color w:val="auto"/>
          <w:kern w:val="0"/>
          <w:sz w:val="24"/>
          <w:szCs w:val="24"/>
          <w:lang w:val="en-US" w:eastAsia="zh-CN" w:bidi="ar"/>
        </w:rPr>
      </w:pPr>
      <w:r>
        <w:rPr>
          <w:rFonts w:hint="eastAsia" w:ascii="Times New Roman" w:hAnsi="Times New Roman" w:eastAsia="宋体" w:cs="Times New Roman"/>
          <w:b/>
          <w:bCs/>
          <w:color w:val="auto"/>
          <w:kern w:val="0"/>
          <w:sz w:val="24"/>
          <w:szCs w:val="24"/>
          <w:lang w:val="en-US" w:eastAsia="zh-CN" w:bidi="ar"/>
        </w:rPr>
        <w:t>Funding</w:t>
      </w:r>
    </w:p>
    <w:p w14:paraId="433DE985">
      <w:pPr>
        <w:keepNext w:val="0"/>
        <w:keepLines w:val="0"/>
        <w:pageBreakBefore w:val="0"/>
        <w:widowControl w:val="0"/>
        <w:kinsoku/>
        <w:wordWrap/>
        <w:overflowPunct/>
        <w:topLinePunct w:val="0"/>
        <w:autoSpaceDE/>
        <w:autoSpaceDN/>
        <w:bidi w:val="0"/>
        <w:adjustRightInd/>
        <w:snapToGrid/>
        <w:spacing w:beforeLines="0" w:afterLines="0" w:line="360" w:lineRule="auto"/>
        <w:ind w:firstLine="480" w:firstLineChars="200"/>
        <w:jc w:val="left"/>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This research was supported by Hunan Provincial Natural Science Foundation Of China (2026JJ82491,2026JJ82492) and The science and technology innovation Program of Changde City</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lang w:val="en-US" w:eastAsia="zh-CN"/>
        </w:rPr>
        <w:t>(2016KZ10,2016KZ09,2016KZ01).</w:t>
      </w:r>
    </w:p>
    <w:p w14:paraId="4A97FFF8">
      <w:pPr>
        <w:keepNext w:val="0"/>
        <w:keepLines w:val="0"/>
        <w:pageBreakBefore w:val="0"/>
        <w:widowControl w:val="0"/>
        <w:kinsoku/>
        <w:wordWrap/>
        <w:overflowPunct/>
        <w:topLinePunct w:val="0"/>
        <w:autoSpaceDE/>
        <w:autoSpaceDN/>
        <w:bidi w:val="0"/>
        <w:adjustRightInd/>
        <w:snapToGrid/>
        <w:spacing w:beforeLines="0" w:afterLines="0" w:line="360" w:lineRule="auto"/>
        <w:ind w:firstLine="482" w:firstLineChars="200"/>
        <w:jc w:val="left"/>
        <w:textAlignment w:val="auto"/>
        <w:rPr>
          <w:rFonts w:hint="eastAsia" w:ascii="Times New Roman" w:hAnsi="Times New Roman" w:eastAsia="宋体" w:cs="Times New Roman"/>
          <w:b/>
          <w:bCs/>
          <w:color w:val="auto"/>
          <w:kern w:val="0"/>
          <w:sz w:val="24"/>
          <w:szCs w:val="24"/>
          <w:lang w:val="en-US" w:eastAsia="zh-CN" w:bidi="ar"/>
        </w:rPr>
      </w:pPr>
      <w:r>
        <w:rPr>
          <w:rFonts w:hint="eastAsia" w:ascii="Times New Roman" w:hAnsi="Times New Roman" w:eastAsia="宋体" w:cs="Times New Roman"/>
          <w:b/>
          <w:bCs/>
          <w:color w:val="auto"/>
          <w:kern w:val="0"/>
          <w:sz w:val="24"/>
          <w:szCs w:val="24"/>
          <w:lang w:val="en-US" w:eastAsia="zh-CN" w:bidi="ar"/>
        </w:rPr>
        <w:t>Acknowledgments</w:t>
      </w:r>
    </w:p>
    <w:p w14:paraId="58389E5E">
      <w:pPr>
        <w:keepNext w:val="0"/>
        <w:keepLines w:val="0"/>
        <w:pageBreakBefore w:val="0"/>
        <w:widowControl w:val="0"/>
        <w:kinsoku/>
        <w:wordWrap/>
        <w:overflowPunct/>
        <w:topLinePunct w:val="0"/>
        <w:autoSpaceDE/>
        <w:autoSpaceDN/>
        <w:bidi w:val="0"/>
        <w:adjustRightInd/>
        <w:snapToGrid/>
        <w:spacing w:beforeLines="0" w:afterLines="0" w:line="360" w:lineRule="auto"/>
        <w:ind w:left="479" w:leftChars="228" w:firstLine="0" w:firstLineChars="0"/>
        <w:jc w:val="left"/>
        <w:textAlignment w:val="auto"/>
        <w:rPr>
          <w:rFonts w:hint="eastAsia" w:ascii="Times New Roman" w:hAnsi="Times New Roman" w:eastAsia="宋体" w:cs="Times New Roman"/>
          <w:b w:val="0"/>
          <w:bCs w:val="0"/>
          <w:color w:val="auto"/>
          <w:kern w:val="0"/>
          <w:sz w:val="24"/>
          <w:szCs w:val="24"/>
          <w:lang w:val="en-US" w:eastAsia="zh-CN" w:bidi="ar"/>
        </w:rPr>
      </w:pPr>
      <w:r>
        <w:rPr>
          <w:rFonts w:hint="eastAsia" w:ascii="Times New Roman" w:hAnsi="Times New Roman" w:eastAsia="宋体" w:cs="Times New Roman"/>
          <w:b w:val="0"/>
          <w:bCs w:val="0"/>
          <w:color w:val="auto"/>
          <w:kern w:val="0"/>
          <w:sz w:val="24"/>
          <w:szCs w:val="24"/>
          <w:lang w:val="en-US" w:eastAsia="zh-CN" w:bidi="ar"/>
        </w:rPr>
        <w:t>The authors extend their sincere gratitude to the patients who participated in this study.</w:t>
      </w:r>
    </w:p>
    <w:p w14:paraId="0D7D5D7E">
      <w:pPr>
        <w:keepNext w:val="0"/>
        <w:keepLines w:val="0"/>
        <w:pageBreakBefore w:val="0"/>
        <w:widowControl w:val="0"/>
        <w:kinsoku/>
        <w:wordWrap/>
        <w:overflowPunct/>
        <w:topLinePunct w:val="0"/>
        <w:autoSpaceDE/>
        <w:autoSpaceDN/>
        <w:bidi w:val="0"/>
        <w:adjustRightInd/>
        <w:snapToGrid/>
        <w:spacing w:beforeLines="0" w:afterLines="0" w:line="360" w:lineRule="auto"/>
        <w:ind w:firstLine="482" w:firstLineChars="200"/>
        <w:jc w:val="left"/>
        <w:textAlignment w:val="auto"/>
        <w:rPr>
          <w:rFonts w:hint="eastAsia" w:ascii="Times New Roman" w:hAnsi="Times New Roman" w:eastAsia="宋体" w:cs="Times New Roman"/>
          <w:b/>
          <w:bCs/>
          <w:color w:val="auto"/>
          <w:kern w:val="0"/>
          <w:sz w:val="24"/>
          <w:szCs w:val="24"/>
          <w:lang w:val="en-US" w:eastAsia="zh-CN" w:bidi="ar"/>
        </w:rPr>
      </w:pPr>
      <w:r>
        <w:rPr>
          <w:rFonts w:hint="eastAsia" w:ascii="Times New Roman" w:hAnsi="Times New Roman" w:eastAsia="宋体" w:cs="Times New Roman"/>
          <w:b/>
          <w:bCs/>
          <w:color w:val="auto"/>
          <w:kern w:val="0"/>
          <w:sz w:val="24"/>
          <w:szCs w:val="24"/>
          <w:lang w:val="en-US" w:eastAsia="zh-CN" w:bidi="ar"/>
        </w:rPr>
        <w:t>Conflict of interest</w:t>
      </w:r>
    </w:p>
    <w:p w14:paraId="1EC521A9">
      <w:pPr>
        <w:keepNext w:val="0"/>
        <w:keepLines w:val="0"/>
        <w:pageBreakBefore w:val="0"/>
        <w:widowControl w:val="0"/>
        <w:kinsoku/>
        <w:wordWrap/>
        <w:overflowPunct/>
        <w:topLinePunct w:val="0"/>
        <w:autoSpaceDE/>
        <w:autoSpaceDN/>
        <w:bidi w:val="0"/>
        <w:adjustRightInd/>
        <w:snapToGrid/>
        <w:spacing w:beforeLines="0" w:afterLines="0" w:line="360" w:lineRule="auto"/>
        <w:ind w:firstLine="480" w:firstLineChars="200"/>
        <w:jc w:val="left"/>
        <w:textAlignment w:val="auto"/>
        <w:rPr>
          <w:rFonts w:hint="eastAsia" w:ascii="Times New Roman" w:hAnsi="Times New Roman" w:eastAsia="宋体" w:cs="Times New Roman"/>
          <w:b w:val="0"/>
          <w:bCs w:val="0"/>
          <w:color w:val="auto"/>
          <w:kern w:val="0"/>
          <w:sz w:val="24"/>
          <w:szCs w:val="24"/>
          <w:lang w:val="en-US" w:eastAsia="zh-CN" w:bidi="ar"/>
        </w:rPr>
      </w:pPr>
      <w:r>
        <w:rPr>
          <w:rFonts w:hint="eastAsia" w:ascii="Times New Roman" w:hAnsi="Times New Roman" w:eastAsia="宋体" w:cs="Times New Roman"/>
          <w:b w:val="0"/>
          <w:bCs w:val="0"/>
          <w:color w:val="auto"/>
          <w:kern w:val="0"/>
          <w:sz w:val="24"/>
          <w:szCs w:val="24"/>
          <w:lang w:val="en-US" w:eastAsia="zh-CN" w:bidi="ar"/>
        </w:rPr>
        <w:t>The authors declare that this research was conducted in the absence of any commercial or financial relationships that could be construed as a potential conflict of interest.</w:t>
      </w:r>
    </w:p>
    <w:p w14:paraId="0AC424F1">
      <w:pPr>
        <w:keepNext w:val="0"/>
        <w:keepLines w:val="0"/>
        <w:pageBreakBefore w:val="0"/>
        <w:widowControl w:val="0"/>
        <w:kinsoku/>
        <w:wordWrap/>
        <w:overflowPunct/>
        <w:topLinePunct w:val="0"/>
        <w:autoSpaceDE/>
        <w:autoSpaceDN/>
        <w:bidi w:val="0"/>
        <w:adjustRightInd/>
        <w:snapToGrid/>
        <w:spacing w:beforeLines="0" w:afterLines="0" w:line="360" w:lineRule="auto"/>
        <w:ind w:firstLine="482" w:firstLineChars="200"/>
        <w:jc w:val="left"/>
        <w:textAlignment w:val="auto"/>
        <w:rPr>
          <w:rFonts w:hint="eastAsia" w:ascii="Times New Roman" w:hAnsi="Times New Roman" w:eastAsia="宋体" w:cs="Times New Roman"/>
          <w:b/>
          <w:bCs/>
          <w:color w:val="auto"/>
          <w:kern w:val="0"/>
          <w:sz w:val="24"/>
          <w:szCs w:val="24"/>
          <w:lang w:val="en-US" w:eastAsia="zh-CN" w:bidi="ar"/>
        </w:rPr>
      </w:pPr>
      <w:r>
        <w:rPr>
          <w:rFonts w:hint="eastAsia" w:ascii="Times New Roman" w:hAnsi="Times New Roman" w:eastAsia="宋体" w:cs="Times New Roman"/>
          <w:b/>
          <w:bCs/>
          <w:color w:val="auto"/>
          <w:kern w:val="0"/>
          <w:sz w:val="24"/>
          <w:szCs w:val="24"/>
          <w:lang w:val="en-US" w:eastAsia="zh-CN" w:bidi="ar"/>
        </w:rPr>
        <w:t>Competing interests</w:t>
      </w:r>
    </w:p>
    <w:p w14:paraId="598BCDB0">
      <w:pPr>
        <w:keepNext w:val="0"/>
        <w:keepLines w:val="0"/>
        <w:pageBreakBefore w:val="0"/>
        <w:widowControl w:val="0"/>
        <w:kinsoku/>
        <w:wordWrap/>
        <w:overflowPunct/>
        <w:topLinePunct w:val="0"/>
        <w:autoSpaceDE/>
        <w:autoSpaceDN/>
        <w:bidi w:val="0"/>
        <w:adjustRightInd/>
        <w:snapToGrid/>
        <w:spacing w:beforeLines="0" w:afterLines="0" w:line="360" w:lineRule="auto"/>
        <w:ind w:firstLine="480" w:firstLineChars="200"/>
        <w:jc w:val="left"/>
        <w:textAlignment w:val="auto"/>
        <w:rPr>
          <w:rFonts w:hint="eastAsia" w:ascii="Times New Roman" w:hAnsi="Times New Roman" w:eastAsia="宋体" w:cs="Times New Roman"/>
          <w:b w:val="0"/>
          <w:bCs w:val="0"/>
          <w:color w:val="auto"/>
          <w:kern w:val="0"/>
          <w:sz w:val="24"/>
          <w:szCs w:val="24"/>
          <w:lang w:val="en-US" w:eastAsia="zh-CN" w:bidi="ar"/>
        </w:rPr>
      </w:pPr>
      <w:r>
        <w:rPr>
          <w:rFonts w:hint="eastAsia" w:ascii="Times New Roman" w:hAnsi="Times New Roman" w:eastAsia="宋体" w:cs="Times New Roman"/>
          <w:b w:val="0"/>
          <w:bCs w:val="0"/>
          <w:color w:val="auto"/>
          <w:kern w:val="0"/>
          <w:sz w:val="24"/>
          <w:szCs w:val="24"/>
          <w:lang w:val="en-US" w:eastAsia="zh-CN" w:bidi="ar"/>
        </w:rPr>
        <w:t>No competing interests were declared by the authors.</w:t>
      </w:r>
    </w:p>
    <w:p w14:paraId="61042B22">
      <w:pPr>
        <w:keepNext w:val="0"/>
        <w:keepLines w:val="0"/>
        <w:pageBreakBefore w:val="0"/>
        <w:widowControl w:val="0"/>
        <w:kinsoku/>
        <w:wordWrap/>
        <w:overflowPunct/>
        <w:topLinePunct w:val="0"/>
        <w:autoSpaceDE/>
        <w:autoSpaceDN/>
        <w:bidi w:val="0"/>
        <w:adjustRightInd/>
        <w:snapToGrid/>
        <w:spacing w:beforeLines="0" w:afterLines="0" w:line="360" w:lineRule="auto"/>
        <w:ind w:firstLine="482" w:firstLineChars="200"/>
        <w:jc w:val="left"/>
        <w:textAlignment w:val="auto"/>
        <w:rPr>
          <w:rFonts w:hint="eastAsia" w:ascii="Times New Roman" w:hAnsi="Times New Roman" w:eastAsia="宋体" w:cs="Times New Roman"/>
          <w:b/>
          <w:bCs/>
          <w:color w:val="auto"/>
          <w:kern w:val="0"/>
          <w:sz w:val="24"/>
          <w:szCs w:val="24"/>
          <w:lang w:val="en-US" w:eastAsia="zh-CN" w:bidi="ar"/>
        </w:rPr>
      </w:pPr>
      <w:r>
        <w:rPr>
          <w:rFonts w:hint="eastAsia" w:ascii="Times New Roman" w:hAnsi="Times New Roman" w:eastAsia="宋体" w:cs="Times New Roman"/>
          <w:b/>
          <w:bCs/>
          <w:color w:val="auto"/>
          <w:kern w:val="0"/>
          <w:sz w:val="24"/>
          <w:szCs w:val="24"/>
          <w:lang w:val="en-US" w:eastAsia="zh-CN" w:bidi="ar"/>
        </w:rPr>
        <w:t>Consent for publication</w:t>
      </w:r>
    </w:p>
    <w:p w14:paraId="758BE7F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val="0"/>
          <w:color w:val="auto"/>
          <w:kern w:val="0"/>
          <w:sz w:val="24"/>
          <w:szCs w:val="24"/>
          <w:lang w:val="en-US" w:eastAsia="zh-CN" w:bidi="ar"/>
        </w:rPr>
      </w:pPr>
      <w:r>
        <w:rPr>
          <w:rFonts w:hint="eastAsia" w:ascii="Times New Roman" w:hAnsi="Times New Roman" w:eastAsia="宋体" w:cs="Times New Roman"/>
          <w:b w:val="0"/>
          <w:bCs w:val="0"/>
          <w:color w:val="auto"/>
          <w:kern w:val="0"/>
          <w:sz w:val="24"/>
          <w:szCs w:val="24"/>
          <w:lang w:val="en-US" w:eastAsia="zh-CN" w:bidi="ar"/>
        </w:rPr>
        <w:t>Not applicable.</w:t>
      </w:r>
    </w:p>
    <w:p w14:paraId="102DE0F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val="0"/>
          <w:color w:val="auto"/>
          <w:kern w:val="0"/>
          <w:sz w:val="24"/>
          <w:szCs w:val="24"/>
          <w:lang w:val="en-US" w:eastAsia="zh-CN" w:bidi="ar"/>
        </w:rPr>
      </w:pPr>
    </w:p>
    <w:p w14:paraId="34C42C2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val="0"/>
          <w:color w:val="auto"/>
          <w:kern w:val="0"/>
          <w:sz w:val="24"/>
          <w:szCs w:val="24"/>
          <w:lang w:val="en-US" w:eastAsia="zh-CN" w:bidi="ar"/>
        </w:rPr>
      </w:pPr>
    </w:p>
    <w:p w14:paraId="4668EC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val="0"/>
          <w:color w:val="auto"/>
          <w:kern w:val="0"/>
          <w:sz w:val="24"/>
          <w:szCs w:val="24"/>
          <w:lang w:val="en-US" w:eastAsia="zh-CN" w:bidi="ar"/>
        </w:rPr>
      </w:pPr>
    </w:p>
    <w:p w14:paraId="146FD8F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val="0"/>
          <w:color w:val="auto"/>
          <w:kern w:val="0"/>
          <w:sz w:val="24"/>
          <w:szCs w:val="24"/>
          <w:lang w:val="en-US" w:eastAsia="zh-CN" w:bidi="ar"/>
        </w:rPr>
      </w:pPr>
    </w:p>
    <w:p w14:paraId="1E9D53D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val="0"/>
          <w:color w:val="auto"/>
          <w:kern w:val="0"/>
          <w:sz w:val="24"/>
          <w:szCs w:val="24"/>
          <w:lang w:val="en-US" w:eastAsia="zh-CN" w:bidi="ar"/>
        </w:rPr>
      </w:pPr>
    </w:p>
    <w:p w14:paraId="76CE0E0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val="0"/>
          <w:color w:val="auto"/>
          <w:kern w:val="0"/>
          <w:sz w:val="24"/>
          <w:szCs w:val="24"/>
          <w:lang w:val="en-US" w:eastAsia="zh-CN" w:bidi="ar"/>
        </w:rPr>
      </w:pPr>
    </w:p>
    <w:p w14:paraId="503940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val="0"/>
          <w:color w:val="auto"/>
          <w:kern w:val="0"/>
          <w:sz w:val="24"/>
          <w:szCs w:val="24"/>
          <w:lang w:val="en-US" w:eastAsia="zh-CN" w:bidi="ar"/>
        </w:rPr>
      </w:pPr>
    </w:p>
    <w:p w14:paraId="2BC7D67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val="0"/>
          <w:color w:val="auto"/>
          <w:kern w:val="0"/>
          <w:sz w:val="24"/>
          <w:szCs w:val="24"/>
          <w:lang w:val="en-US" w:eastAsia="zh-CN" w:bidi="ar"/>
        </w:rPr>
      </w:pPr>
    </w:p>
    <w:p w14:paraId="2C4AEC4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val="0"/>
          <w:color w:val="auto"/>
          <w:kern w:val="0"/>
          <w:sz w:val="24"/>
          <w:szCs w:val="24"/>
          <w:lang w:val="en-US" w:eastAsia="zh-CN" w:bidi="ar"/>
        </w:rPr>
      </w:pPr>
    </w:p>
    <w:p w14:paraId="6A2FF44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val="0"/>
          <w:color w:val="auto"/>
          <w:kern w:val="0"/>
          <w:sz w:val="24"/>
          <w:szCs w:val="24"/>
          <w:lang w:val="en-US" w:eastAsia="zh-CN" w:bidi="ar"/>
        </w:rPr>
      </w:pPr>
    </w:p>
    <w:p w14:paraId="0FAF7A0F">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z w:val="24"/>
          <w:szCs w:val="24"/>
        </w:rPr>
        <w:t>Table 1</w:t>
      </w:r>
      <w:r>
        <w:rPr>
          <w:rFonts w:hint="default" w:ascii="Times New Roman" w:hAnsi="Times New Roman" w:eastAsia="宋体" w:cs="Times New Roman"/>
          <w:color w:val="auto"/>
          <w:sz w:val="24"/>
          <w:szCs w:val="24"/>
        </w:rPr>
        <w:t xml:space="preserve"> Baseline Characteristics of </w:t>
      </w:r>
      <w:r>
        <w:rPr>
          <w:rFonts w:hint="eastAsia" w:ascii="Times New Roman" w:hAnsi="Times New Roman" w:eastAsia="宋体" w:cs="Times New Roman"/>
          <w:color w:val="auto"/>
          <w:sz w:val="24"/>
          <w:szCs w:val="24"/>
          <w:lang w:val="en-US" w:eastAsia="zh-CN"/>
        </w:rPr>
        <w:t>p</w:t>
      </w:r>
      <w:r>
        <w:rPr>
          <w:rFonts w:hint="default" w:ascii="Times New Roman" w:hAnsi="Times New Roman" w:eastAsia="宋体" w:cs="Times New Roman"/>
          <w:color w:val="auto"/>
          <w:sz w:val="24"/>
          <w:szCs w:val="24"/>
        </w:rPr>
        <w:t>atients with H</w:t>
      </w:r>
      <w:r>
        <w:rPr>
          <w:rFonts w:hint="eastAsia" w:ascii="Times New Roman" w:hAnsi="Times New Roman" w:eastAsia="宋体" w:cs="Times New Roman"/>
          <w:color w:val="auto"/>
          <w:sz w:val="24"/>
          <w:szCs w:val="24"/>
          <w:lang w:val="en-US" w:eastAsia="zh-CN"/>
        </w:rPr>
        <w:t>CC</w:t>
      </w:r>
      <w:r>
        <w:rPr>
          <w:rFonts w:hint="default"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lang w:val="en-US" w:eastAsia="zh-CN"/>
        </w:rPr>
        <w:t>t</w:t>
      </w:r>
      <w:r>
        <w:rPr>
          <w:rFonts w:hint="default" w:ascii="Times New Roman" w:hAnsi="Times New Roman" w:eastAsia="宋体" w:cs="Times New Roman"/>
          <w:color w:val="auto"/>
          <w:sz w:val="24"/>
          <w:szCs w:val="24"/>
        </w:rPr>
        <w:t xml:space="preserve">reated by </w:t>
      </w:r>
      <w:r>
        <w:rPr>
          <w:rFonts w:hint="eastAsia" w:ascii="Times New Roman" w:hAnsi="Times New Roman" w:eastAsia="宋体" w:cs="Times New Roman"/>
          <w:color w:val="auto"/>
          <w:sz w:val="24"/>
          <w:szCs w:val="24"/>
          <w:lang w:val="en-US" w:eastAsia="zh-CN"/>
        </w:rPr>
        <w:t>s</w:t>
      </w:r>
      <w:r>
        <w:rPr>
          <w:rFonts w:hint="default" w:ascii="Times New Roman" w:hAnsi="Times New Roman" w:eastAsia="宋体" w:cs="Times New Roman"/>
          <w:color w:val="auto"/>
          <w:sz w:val="24"/>
          <w:szCs w:val="24"/>
        </w:rPr>
        <w:t xml:space="preserve">urgical </w:t>
      </w:r>
      <w:r>
        <w:rPr>
          <w:rFonts w:hint="eastAsia" w:ascii="Times New Roman" w:hAnsi="Times New Roman" w:eastAsia="宋体" w:cs="Times New Roman"/>
          <w:color w:val="auto"/>
          <w:sz w:val="24"/>
          <w:szCs w:val="24"/>
          <w:lang w:val="en-US" w:eastAsia="zh-CN"/>
        </w:rPr>
        <w:t>r</w:t>
      </w:r>
      <w:r>
        <w:rPr>
          <w:rFonts w:hint="default" w:ascii="Times New Roman" w:hAnsi="Times New Roman" w:eastAsia="宋体" w:cs="Times New Roman"/>
          <w:color w:val="auto"/>
          <w:sz w:val="24"/>
          <w:szCs w:val="24"/>
        </w:rPr>
        <w:t>esection</w:t>
      </w:r>
    </w:p>
    <w:tbl>
      <w:tblPr>
        <w:tblStyle w:val="7"/>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984"/>
        <w:gridCol w:w="2659"/>
      </w:tblGrid>
      <w:tr w14:paraId="4D8C32A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2984" w:type="dxa"/>
            <w:tcBorders>
              <w:bottom w:val="single" w:color="auto" w:sz="4" w:space="0"/>
            </w:tcBorders>
          </w:tcPr>
          <w:p w14:paraId="1CDDEFCD">
            <w:pP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Variables</w:t>
            </w:r>
          </w:p>
        </w:tc>
        <w:tc>
          <w:tcPr>
            <w:tcW w:w="2659" w:type="dxa"/>
            <w:tcBorders>
              <w:bottom w:val="single" w:color="auto" w:sz="4" w:space="0"/>
            </w:tcBorders>
          </w:tcPr>
          <w:p w14:paraId="437621A8">
            <w:pP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No. of patients (n=</w:t>
            </w:r>
            <w:r>
              <w:rPr>
                <w:rFonts w:hint="eastAsia" w:ascii="Times New Roman" w:hAnsi="Times New Roman" w:eastAsia="宋体" w:cs="Times New Roman"/>
                <w:color w:val="auto"/>
                <w:sz w:val="24"/>
                <w:szCs w:val="24"/>
              </w:rPr>
              <w:t>1174</w:t>
            </w:r>
            <w:r>
              <w:rPr>
                <w:rFonts w:ascii="Times New Roman" w:hAnsi="Times New Roman" w:eastAsia="宋体" w:cs="Times New Roman"/>
                <w:color w:val="auto"/>
                <w:sz w:val="24"/>
                <w:szCs w:val="24"/>
              </w:rPr>
              <w:t>)</w:t>
            </w:r>
          </w:p>
        </w:tc>
      </w:tr>
      <w:tr w14:paraId="1AC62D3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84" w:type="dxa"/>
            <w:tcBorders>
              <w:top w:val="single" w:color="auto" w:sz="4" w:space="0"/>
            </w:tcBorders>
          </w:tcPr>
          <w:p w14:paraId="563C9ACE">
            <w:pPr>
              <w:rPr>
                <w:rFonts w:hint="default" w:ascii="Times New Roman" w:hAnsi="Times New Roman" w:eastAsia="宋体" w:cs="Times New Roman"/>
                <w:color w:val="auto"/>
                <w:sz w:val="24"/>
                <w:szCs w:val="24"/>
                <w:lang w:val="en-US" w:eastAsia="zh-CN"/>
              </w:rPr>
            </w:pPr>
            <w:r>
              <w:rPr>
                <w:rFonts w:ascii="Times New Roman" w:hAnsi="Times New Roman" w:eastAsia="宋体" w:cs="Times New Roman"/>
                <w:color w:val="auto"/>
                <w:sz w:val="24"/>
                <w:szCs w:val="24"/>
              </w:rPr>
              <w:t xml:space="preserve">Age </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years</w:t>
            </w:r>
          </w:p>
        </w:tc>
        <w:tc>
          <w:tcPr>
            <w:tcW w:w="2659" w:type="dxa"/>
            <w:tcBorders>
              <w:top w:val="single" w:color="auto" w:sz="4" w:space="0"/>
            </w:tcBorders>
          </w:tcPr>
          <w:p w14:paraId="64820421">
            <w:pP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47.3</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11.21</w:t>
            </w:r>
          </w:p>
        </w:tc>
      </w:tr>
      <w:tr w14:paraId="1AA79D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84" w:type="dxa"/>
          </w:tcPr>
          <w:p w14:paraId="48AD8FF7">
            <w:pP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Sex ratio (M:F)</w:t>
            </w:r>
          </w:p>
        </w:tc>
        <w:tc>
          <w:tcPr>
            <w:tcW w:w="2659" w:type="dxa"/>
          </w:tcPr>
          <w:p w14:paraId="1501CE9A">
            <w:pP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102</w:t>
            </w:r>
            <w:r>
              <w:rPr>
                <w:rFonts w:hint="eastAsia" w:ascii="Times New Roman" w:hAnsi="Times New Roman" w:eastAsia="宋体" w:cs="Times New Roman"/>
                <w:color w:val="auto"/>
                <w:sz w:val="24"/>
                <w:szCs w:val="24"/>
                <w:lang w:val="en-US" w:eastAsia="zh-CN"/>
              </w:rPr>
              <w:t>6</w:t>
            </w:r>
            <w:r>
              <w:rPr>
                <w:rFonts w:hint="eastAsia" w:ascii="Times New Roman" w:hAnsi="Times New Roman" w:eastAsia="宋体" w:cs="Times New Roman"/>
                <w:color w:val="auto"/>
                <w:sz w:val="24"/>
                <w:szCs w:val="24"/>
              </w:rPr>
              <w:t>:1</w:t>
            </w:r>
            <w:r>
              <w:rPr>
                <w:rFonts w:hint="eastAsia" w:ascii="Times New Roman" w:hAnsi="Times New Roman" w:eastAsia="宋体" w:cs="Times New Roman"/>
                <w:color w:val="auto"/>
                <w:sz w:val="24"/>
                <w:szCs w:val="24"/>
                <w:lang w:val="en-US" w:eastAsia="zh-CN"/>
              </w:rPr>
              <w:t>48</w:t>
            </w:r>
          </w:p>
        </w:tc>
      </w:tr>
      <w:tr w14:paraId="309422D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84" w:type="dxa"/>
          </w:tcPr>
          <w:p w14:paraId="32EB6944">
            <w:pP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Liver cirrhosis</w:t>
            </w:r>
          </w:p>
          <w:p w14:paraId="4C105772">
            <w:pP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Yes</w:t>
            </w:r>
          </w:p>
          <w:p w14:paraId="571EEAEA">
            <w:pP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No</w:t>
            </w:r>
          </w:p>
        </w:tc>
        <w:tc>
          <w:tcPr>
            <w:tcW w:w="2659" w:type="dxa"/>
          </w:tcPr>
          <w:p w14:paraId="439A3630">
            <w:pPr>
              <w:rPr>
                <w:rFonts w:ascii="Times New Roman" w:hAnsi="Times New Roman" w:eastAsia="宋体" w:cs="Times New Roman"/>
                <w:color w:val="auto"/>
                <w:sz w:val="24"/>
                <w:szCs w:val="24"/>
              </w:rPr>
            </w:pPr>
          </w:p>
          <w:p w14:paraId="5F3BAB77">
            <w:pP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97</w:t>
            </w:r>
            <w:r>
              <w:rPr>
                <w:rFonts w:hint="eastAsia" w:ascii="Times New Roman" w:hAnsi="Times New Roman" w:eastAsia="宋体" w:cs="Times New Roman"/>
                <w:color w:val="auto"/>
                <w:sz w:val="24"/>
                <w:szCs w:val="24"/>
                <w:lang w:val="en-US" w:eastAsia="zh-CN"/>
              </w:rPr>
              <w:t>6</w:t>
            </w:r>
            <w:r>
              <w:rPr>
                <w:rFonts w:hint="eastAsia" w:ascii="Times New Roman" w:hAnsi="Times New Roman" w:eastAsia="宋体" w:cs="Times New Roman"/>
                <w:color w:val="auto"/>
                <w:sz w:val="24"/>
                <w:szCs w:val="24"/>
              </w:rPr>
              <w:t>(8</w:t>
            </w:r>
            <w:r>
              <w:rPr>
                <w:rFonts w:hint="eastAsia" w:ascii="Times New Roman" w:hAnsi="Times New Roman" w:eastAsia="宋体" w:cs="Times New Roman"/>
                <w:color w:val="auto"/>
                <w:sz w:val="24"/>
                <w:szCs w:val="24"/>
                <w:lang w:val="en-US" w:eastAsia="zh-CN"/>
              </w:rPr>
              <w:t>3.13</w:t>
            </w:r>
            <w:r>
              <w:rPr>
                <w:rFonts w:hint="eastAsia" w:ascii="Times New Roman" w:hAnsi="Times New Roman" w:eastAsia="宋体" w:cs="Times New Roman"/>
                <w:color w:val="auto"/>
                <w:sz w:val="24"/>
                <w:szCs w:val="24"/>
              </w:rPr>
              <w:t>%)</w:t>
            </w:r>
          </w:p>
          <w:p w14:paraId="1ACF541D">
            <w:pP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198</w:t>
            </w:r>
            <w:r>
              <w:rPr>
                <w:rFonts w:hint="eastAsia" w:ascii="Times New Roman" w:hAnsi="Times New Roman" w:eastAsia="宋体" w:cs="Times New Roman"/>
                <w:color w:val="auto"/>
                <w:sz w:val="24"/>
                <w:szCs w:val="24"/>
              </w:rPr>
              <w:t>(1</w:t>
            </w:r>
            <w:r>
              <w:rPr>
                <w:rFonts w:hint="eastAsia" w:ascii="Times New Roman" w:hAnsi="Times New Roman" w:eastAsia="宋体" w:cs="Times New Roman"/>
                <w:color w:val="auto"/>
                <w:sz w:val="24"/>
                <w:szCs w:val="24"/>
                <w:lang w:val="en-US" w:eastAsia="zh-CN"/>
              </w:rPr>
              <w:t>6.87</w:t>
            </w:r>
            <w:r>
              <w:rPr>
                <w:rFonts w:hint="eastAsia" w:ascii="Times New Roman" w:hAnsi="Times New Roman" w:eastAsia="宋体" w:cs="Times New Roman"/>
                <w:color w:val="auto"/>
                <w:sz w:val="24"/>
                <w:szCs w:val="24"/>
              </w:rPr>
              <w:t>%)</w:t>
            </w:r>
          </w:p>
        </w:tc>
      </w:tr>
      <w:tr w14:paraId="1C8CDE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84" w:type="dxa"/>
          </w:tcPr>
          <w:p w14:paraId="76A430EB">
            <w:pPr>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HbsAg</w:t>
            </w:r>
          </w:p>
          <w:p w14:paraId="13D68880">
            <w:pPr>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Negative</w:t>
            </w:r>
          </w:p>
          <w:p w14:paraId="335AC892">
            <w:pPr>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Positive</w:t>
            </w:r>
          </w:p>
        </w:tc>
        <w:tc>
          <w:tcPr>
            <w:tcW w:w="2659" w:type="dxa"/>
          </w:tcPr>
          <w:p w14:paraId="6D89321D">
            <w:pPr>
              <w:rPr>
                <w:rFonts w:hint="eastAsia" w:ascii="Times New Roman" w:hAnsi="Times New Roman" w:eastAsia="宋体" w:cs="Times New Roman"/>
                <w:color w:val="auto"/>
                <w:sz w:val="24"/>
                <w:szCs w:val="24"/>
              </w:rPr>
            </w:pPr>
          </w:p>
          <w:p w14:paraId="35B8EB79">
            <w:pP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169(14.4%)</w:t>
            </w:r>
          </w:p>
          <w:p w14:paraId="772FD69F">
            <w:pP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1005(85.6%)</w:t>
            </w:r>
          </w:p>
        </w:tc>
      </w:tr>
      <w:tr w14:paraId="739CB8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84" w:type="dxa"/>
          </w:tcPr>
          <w:p w14:paraId="1773BA18">
            <w:pP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AFP ,ng/mL</w:t>
            </w:r>
          </w:p>
          <w:p w14:paraId="7CF1A09E">
            <w:pPr>
              <w:rPr>
                <w:rFonts w:ascii="Times New Roman" w:hAnsi="Times New Roman" w:eastAsia="宋体" w:cs="Times New Roman"/>
                <w:color w:val="auto"/>
                <w:sz w:val="24"/>
                <w:szCs w:val="24"/>
              </w:rPr>
            </w:pPr>
            <w:r>
              <w:rPr>
                <w:rFonts w:hint="eastAsia" w:ascii="Times New Roman" w:hAnsi="Calibri" w:eastAsia="宋体" w:cs="Times New Roman"/>
                <w:color w:val="auto"/>
                <w:sz w:val="24"/>
                <w:szCs w:val="24"/>
                <w:lang w:val="en-US" w:eastAsia="zh-CN"/>
              </w:rPr>
              <w:t>&lt;</w:t>
            </w:r>
            <w:r>
              <w:rPr>
                <w:rFonts w:hint="eastAsia" w:ascii="Times New Roman" w:hAnsi="Calibri" w:eastAsia="宋体" w:cs="Times New Roman"/>
                <w:color w:val="auto"/>
                <w:sz w:val="24"/>
                <w:szCs w:val="24"/>
              </w:rPr>
              <w:t>2</w:t>
            </w:r>
            <w:r>
              <w:rPr>
                <w:rFonts w:ascii="Times New Roman" w:hAnsi="Times New Roman" w:eastAsia="宋体" w:cs="Times New Roman"/>
                <w:color w:val="auto"/>
                <w:sz w:val="24"/>
                <w:szCs w:val="24"/>
              </w:rPr>
              <w:t>00</w:t>
            </w:r>
          </w:p>
          <w:p w14:paraId="4063F1C3">
            <w:pP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2</w:t>
            </w:r>
            <w:r>
              <w:rPr>
                <w:rFonts w:ascii="Times New Roman" w:hAnsi="Times New Roman" w:eastAsia="宋体" w:cs="Times New Roman"/>
                <w:color w:val="auto"/>
                <w:sz w:val="24"/>
                <w:szCs w:val="24"/>
              </w:rPr>
              <w:t>00</w:t>
            </w:r>
          </w:p>
        </w:tc>
        <w:tc>
          <w:tcPr>
            <w:tcW w:w="2659" w:type="dxa"/>
          </w:tcPr>
          <w:p w14:paraId="251F3D6D">
            <w:pPr>
              <w:rPr>
                <w:rFonts w:ascii="Times New Roman" w:hAnsi="Times New Roman" w:eastAsia="宋体" w:cs="Times New Roman"/>
                <w:color w:val="auto"/>
                <w:sz w:val="24"/>
                <w:szCs w:val="24"/>
              </w:rPr>
            </w:pPr>
          </w:p>
          <w:p w14:paraId="41E707E2">
            <w:pP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615(52.40%)</w:t>
            </w:r>
          </w:p>
          <w:p w14:paraId="4D6281A3">
            <w:pP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559(47.60%)</w:t>
            </w:r>
          </w:p>
        </w:tc>
      </w:tr>
      <w:tr w14:paraId="09A946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84" w:type="dxa"/>
          </w:tcPr>
          <w:p w14:paraId="40EDE19D">
            <w:pP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BCLC stage</w:t>
            </w:r>
          </w:p>
          <w:p w14:paraId="32705CFF">
            <w:pP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0 or A</w:t>
            </w:r>
          </w:p>
          <w:p w14:paraId="7FE6339A">
            <w:pP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B </w:t>
            </w:r>
            <w:r>
              <w:rPr>
                <w:rFonts w:hint="eastAsia" w:ascii="Times New Roman" w:hAnsi="Times New Roman" w:eastAsia="宋体" w:cs="Times New Roman"/>
                <w:color w:val="auto"/>
                <w:sz w:val="24"/>
                <w:szCs w:val="24"/>
                <w:lang w:val="en-US" w:eastAsia="zh-CN"/>
              </w:rPr>
              <w:t xml:space="preserve">or </w:t>
            </w:r>
            <w:r>
              <w:rPr>
                <w:rFonts w:ascii="Times New Roman" w:hAnsi="Times New Roman" w:eastAsia="宋体" w:cs="Times New Roman"/>
                <w:color w:val="auto"/>
                <w:sz w:val="24"/>
                <w:szCs w:val="24"/>
              </w:rPr>
              <w:t>C</w:t>
            </w:r>
          </w:p>
        </w:tc>
        <w:tc>
          <w:tcPr>
            <w:tcW w:w="2659" w:type="dxa"/>
          </w:tcPr>
          <w:p w14:paraId="5269CEBD">
            <w:pPr>
              <w:rPr>
                <w:rFonts w:ascii="Times New Roman" w:hAnsi="Times New Roman" w:eastAsia="宋体" w:cs="Times New Roman"/>
                <w:color w:val="auto"/>
                <w:sz w:val="24"/>
                <w:szCs w:val="24"/>
              </w:rPr>
            </w:pPr>
          </w:p>
          <w:p w14:paraId="65C679B2">
            <w:pP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430(36.63</w:t>
            </w:r>
            <w:r>
              <w:rPr>
                <w:rFonts w:hint="eastAsia"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rPr>
              <w:t>)</w:t>
            </w:r>
          </w:p>
          <w:p w14:paraId="17B21D0B">
            <w:pP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744</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63.37</w:t>
            </w:r>
            <w:r>
              <w:rPr>
                <w:rFonts w:hint="eastAsia" w:ascii="Times New Roman" w:hAnsi="Times New Roman" w:eastAsia="宋体" w:cs="Times New Roman"/>
                <w:color w:val="auto"/>
                <w:sz w:val="24"/>
                <w:szCs w:val="24"/>
              </w:rPr>
              <w:t>%)</w:t>
            </w:r>
          </w:p>
        </w:tc>
      </w:tr>
      <w:tr w14:paraId="458B7B1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84" w:type="dxa"/>
          </w:tcPr>
          <w:p w14:paraId="7D5AE8F3">
            <w:pP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Child-Pugh class</w:t>
            </w:r>
          </w:p>
          <w:p w14:paraId="373B5781">
            <w:pP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A</w:t>
            </w:r>
          </w:p>
          <w:p w14:paraId="2ECB1AD0">
            <w:pP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B</w:t>
            </w:r>
          </w:p>
        </w:tc>
        <w:tc>
          <w:tcPr>
            <w:tcW w:w="2659" w:type="dxa"/>
          </w:tcPr>
          <w:p w14:paraId="5331801B">
            <w:pPr>
              <w:rPr>
                <w:rFonts w:ascii="Times New Roman" w:hAnsi="Times New Roman" w:eastAsia="宋体" w:cs="Times New Roman"/>
                <w:color w:val="auto"/>
                <w:sz w:val="24"/>
                <w:szCs w:val="24"/>
              </w:rPr>
            </w:pPr>
          </w:p>
          <w:p w14:paraId="7D84D6F6">
            <w:pP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111</w:t>
            </w:r>
            <w:r>
              <w:rPr>
                <w:rFonts w:hint="eastAsia" w:ascii="Times New Roman" w:hAnsi="Times New Roman" w:eastAsia="宋体" w:cs="Times New Roman"/>
                <w:color w:val="auto"/>
                <w:sz w:val="24"/>
                <w:szCs w:val="24"/>
                <w:lang w:val="en-US" w:eastAsia="zh-CN"/>
              </w:rPr>
              <w:t>6</w:t>
            </w:r>
            <w:r>
              <w:rPr>
                <w:rFonts w:hint="eastAsia" w:ascii="Times New Roman" w:hAnsi="Times New Roman" w:eastAsia="宋体" w:cs="Times New Roman"/>
                <w:color w:val="auto"/>
                <w:sz w:val="24"/>
                <w:szCs w:val="24"/>
              </w:rPr>
              <w:t>(95.06%)</w:t>
            </w:r>
          </w:p>
          <w:p w14:paraId="7E514A45">
            <w:pP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58</w:t>
            </w:r>
            <w:r>
              <w:rPr>
                <w:rFonts w:hint="eastAsia" w:ascii="Times New Roman" w:hAnsi="Times New Roman" w:eastAsia="宋体" w:cs="Times New Roman"/>
                <w:color w:val="auto"/>
                <w:sz w:val="24"/>
                <w:szCs w:val="24"/>
              </w:rPr>
              <w:t>(4.94%)</w:t>
            </w:r>
          </w:p>
        </w:tc>
      </w:tr>
      <w:tr w14:paraId="1332DF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84" w:type="dxa"/>
          </w:tcPr>
          <w:p w14:paraId="04C77A64">
            <w:pP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eastAsia="zh-CN"/>
              </w:rPr>
              <w:t>Edmondson</w:t>
            </w:r>
            <w:r>
              <w:rPr>
                <w:rFonts w:hint="eastAsia" w:ascii="Times New Roman" w:hAnsi="Times New Roman" w:eastAsia="宋体" w:cs="Times New Roman"/>
                <w:color w:val="auto"/>
                <w:sz w:val="24"/>
                <w:szCs w:val="24"/>
                <w:lang w:val="en-US" w:eastAsia="zh-CN"/>
              </w:rPr>
              <w:t>-Steiner</w:t>
            </w:r>
            <w:r>
              <w:rPr>
                <w:rFonts w:hint="eastAsia" w:ascii="Times New Roman" w:hAnsi="Times New Roman" w:eastAsia="宋体" w:cs="Times New Roman"/>
                <w:color w:val="auto"/>
                <w:sz w:val="24"/>
                <w:szCs w:val="24"/>
              </w:rPr>
              <w:t xml:space="preserve"> grad</w:t>
            </w:r>
            <w:r>
              <w:rPr>
                <w:rFonts w:hint="eastAsia" w:ascii="Times New Roman" w:hAnsi="Times New Roman" w:eastAsia="宋体" w:cs="Times New Roman"/>
                <w:color w:val="auto"/>
                <w:sz w:val="24"/>
                <w:szCs w:val="24"/>
                <w:lang w:val="en-US" w:eastAsia="zh-CN"/>
              </w:rPr>
              <w:t>ing</w:t>
            </w:r>
          </w:p>
          <w:p w14:paraId="2CF6831E">
            <w:pPr>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I-II</w:t>
            </w:r>
          </w:p>
          <w:p w14:paraId="21EC30DC">
            <w:pPr>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III-IV</w:t>
            </w:r>
          </w:p>
        </w:tc>
        <w:tc>
          <w:tcPr>
            <w:tcW w:w="2659" w:type="dxa"/>
          </w:tcPr>
          <w:p w14:paraId="001AD490">
            <w:pPr>
              <w:rPr>
                <w:rFonts w:hint="eastAsia" w:ascii="Times New Roman" w:hAnsi="Times New Roman" w:eastAsia="宋体" w:cs="Times New Roman"/>
                <w:color w:val="auto"/>
                <w:sz w:val="24"/>
                <w:szCs w:val="24"/>
              </w:rPr>
            </w:pPr>
          </w:p>
          <w:p w14:paraId="526A37E0">
            <w:pP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747(63.6%)</w:t>
            </w:r>
          </w:p>
          <w:p w14:paraId="285593F8">
            <w:pP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427(36.4%)</w:t>
            </w:r>
          </w:p>
        </w:tc>
      </w:tr>
      <w:tr w14:paraId="65766F7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84" w:type="dxa"/>
          </w:tcPr>
          <w:p w14:paraId="5013AC49">
            <w:pPr>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Tumor size,cm</w:t>
            </w:r>
          </w:p>
        </w:tc>
        <w:tc>
          <w:tcPr>
            <w:tcW w:w="2659" w:type="dxa"/>
          </w:tcPr>
          <w:p w14:paraId="56078402">
            <w:pPr>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6</w:t>
            </w:r>
            <w:r>
              <w:rPr>
                <w:rFonts w:hint="eastAsia"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rPr>
              <w:t>5</w:t>
            </w:r>
            <w:r>
              <w:rPr>
                <w:rFonts w:hint="eastAsia"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rPr>
              <w:t>2</w:t>
            </w:r>
            <w:r>
              <w:rPr>
                <w:rFonts w:hint="eastAsia"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rPr>
              <w:t>11</w:t>
            </w:r>
            <w:r>
              <w:rPr>
                <w:rFonts w:hint="eastAsia"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rPr>
              <w:t>0)</w:t>
            </w:r>
          </w:p>
        </w:tc>
      </w:tr>
      <w:tr w14:paraId="38D73DE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84" w:type="dxa"/>
          </w:tcPr>
          <w:p w14:paraId="585C06F0">
            <w:pP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Tumor capsule</w:t>
            </w:r>
          </w:p>
          <w:p w14:paraId="70216728">
            <w:pP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Complete</w:t>
            </w:r>
          </w:p>
          <w:p w14:paraId="4C226278">
            <w:pP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Incomplete</w:t>
            </w:r>
          </w:p>
        </w:tc>
        <w:tc>
          <w:tcPr>
            <w:tcW w:w="2659" w:type="dxa"/>
          </w:tcPr>
          <w:p w14:paraId="04D9CAB5">
            <w:pPr>
              <w:rPr>
                <w:rFonts w:ascii="Times New Roman" w:hAnsi="Times New Roman" w:eastAsia="宋体" w:cs="Times New Roman"/>
                <w:color w:val="auto"/>
                <w:sz w:val="24"/>
                <w:szCs w:val="24"/>
              </w:rPr>
            </w:pPr>
          </w:p>
          <w:p w14:paraId="0CB7B9E2">
            <w:pP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480(40.89%)</w:t>
            </w:r>
          </w:p>
          <w:p w14:paraId="5E035DA3">
            <w:pP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694(59.11%)</w:t>
            </w:r>
          </w:p>
        </w:tc>
      </w:tr>
      <w:tr w14:paraId="50CF4DA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84" w:type="dxa"/>
          </w:tcPr>
          <w:p w14:paraId="7EFB8E62">
            <w:pP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Albumin ,g/L</w:t>
            </w:r>
          </w:p>
        </w:tc>
        <w:tc>
          <w:tcPr>
            <w:tcW w:w="2659" w:type="dxa"/>
          </w:tcPr>
          <w:p w14:paraId="0243AF97">
            <w:pPr>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40.07±4.47</w:t>
            </w:r>
          </w:p>
        </w:tc>
      </w:tr>
      <w:tr w14:paraId="445DAB2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84" w:type="dxa"/>
          </w:tcPr>
          <w:p w14:paraId="63E6A450">
            <w:pP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Platelet count,10</w:t>
            </w:r>
            <w:r>
              <w:rPr>
                <w:rFonts w:ascii="Times New Roman" w:hAnsi="Times New Roman" w:eastAsia="宋体" w:cs="Times New Roman"/>
                <w:color w:val="auto"/>
                <w:sz w:val="24"/>
                <w:szCs w:val="24"/>
                <w:vertAlign w:val="superscript"/>
              </w:rPr>
              <w:t>9</w:t>
            </w:r>
            <w:r>
              <w:rPr>
                <w:rFonts w:ascii="Times New Roman" w:hAnsi="Times New Roman" w:eastAsia="宋体" w:cs="Times New Roman"/>
                <w:color w:val="auto"/>
                <w:sz w:val="24"/>
                <w:szCs w:val="24"/>
              </w:rPr>
              <w:t>/L</w:t>
            </w:r>
          </w:p>
        </w:tc>
        <w:tc>
          <w:tcPr>
            <w:tcW w:w="2659" w:type="dxa"/>
          </w:tcPr>
          <w:p w14:paraId="3E152B18">
            <w:pPr>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184.07±79.27</w:t>
            </w:r>
          </w:p>
        </w:tc>
      </w:tr>
      <w:tr w14:paraId="15B55F4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84" w:type="dxa"/>
          </w:tcPr>
          <w:p w14:paraId="4E4D78F9">
            <w:pP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AST,U/L</w:t>
            </w:r>
          </w:p>
        </w:tc>
        <w:tc>
          <w:tcPr>
            <w:tcW w:w="2659" w:type="dxa"/>
          </w:tcPr>
          <w:p w14:paraId="28DD6D57">
            <w:pP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43.0(32.0-63.0)</w:t>
            </w:r>
          </w:p>
        </w:tc>
      </w:tr>
      <w:tr w14:paraId="3A99AA9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84" w:type="dxa"/>
          </w:tcPr>
          <w:p w14:paraId="3F5AD278">
            <w:pP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ALT,U/L</w:t>
            </w:r>
          </w:p>
        </w:tc>
        <w:tc>
          <w:tcPr>
            <w:tcW w:w="2659" w:type="dxa"/>
          </w:tcPr>
          <w:p w14:paraId="536318A9">
            <w:pP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40.0(28.0-57.0)</w:t>
            </w:r>
          </w:p>
        </w:tc>
      </w:tr>
      <w:tr w14:paraId="277C8D5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84" w:type="dxa"/>
          </w:tcPr>
          <w:p w14:paraId="502C5591">
            <w:pP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Tumour number</w:t>
            </w:r>
          </w:p>
          <w:p w14:paraId="4EF031A7">
            <w:pPr>
              <w:rPr>
                <w:rFonts w:hint="eastAsia" w:ascii="Times New Roman" w:hAnsi="Times New Roman" w:eastAsia="宋体" w:cs="Times New Roman"/>
                <w:color w:val="auto"/>
                <w:sz w:val="24"/>
                <w:szCs w:val="24"/>
                <w:lang w:val="en-US" w:eastAsia="zh-CN"/>
              </w:rPr>
            </w:pPr>
            <w:r>
              <w:rPr>
                <w:rFonts w:ascii="Times New Roman" w:hAnsi="Times New Roman" w:eastAsia="宋体" w:cs="Times New Roman"/>
                <w:color w:val="auto"/>
                <w:sz w:val="24"/>
                <w:szCs w:val="24"/>
              </w:rPr>
              <w:t>&lt;</w:t>
            </w:r>
            <w:r>
              <w:rPr>
                <w:rFonts w:hint="eastAsia" w:ascii="Times New Roman" w:hAnsi="Times New Roman" w:eastAsia="宋体" w:cs="Times New Roman"/>
                <w:color w:val="auto"/>
                <w:sz w:val="24"/>
                <w:szCs w:val="24"/>
                <w:lang w:val="en-US" w:eastAsia="zh-CN"/>
              </w:rPr>
              <w:t>2</w:t>
            </w:r>
          </w:p>
          <w:p w14:paraId="506C19EB">
            <w:pPr>
              <w:rPr>
                <w:rFonts w:hint="eastAsia" w:ascii="Times New Roman" w:hAnsi="Times New Roman" w:eastAsia="宋体" w:cs="Times New Roman"/>
                <w:color w:val="auto"/>
                <w:sz w:val="24"/>
                <w:szCs w:val="24"/>
                <w:lang w:val="en-US" w:eastAsia="zh-CN"/>
              </w:rPr>
            </w:pP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2</w:t>
            </w:r>
          </w:p>
        </w:tc>
        <w:tc>
          <w:tcPr>
            <w:tcW w:w="2659" w:type="dxa"/>
          </w:tcPr>
          <w:p w14:paraId="64DF8C4D">
            <w:pPr>
              <w:rPr>
                <w:rFonts w:ascii="Times New Roman" w:hAnsi="Times New Roman" w:eastAsia="宋体" w:cs="Times New Roman"/>
                <w:color w:val="auto"/>
                <w:sz w:val="24"/>
                <w:szCs w:val="24"/>
              </w:rPr>
            </w:pPr>
          </w:p>
          <w:p w14:paraId="3B2C7D9C">
            <w:pPr>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832(70.87%)</w:t>
            </w:r>
          </w:p>
          <w:p w14:paraId="4C9B4EAA">
            <w:pPr>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342(29.13%)</w:t>
            </w:r>
          </w:p>
        </w:tc>
      </w:tr>
      <w:tr w14:paraId="45E75D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84" w:type="dxa"/>
          </w:tcPr>
          <w:p w14:paraId="0150DDCF">
            <w:pP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Total bilirubin,μmol/L</w:t>
            </w:r>
          </w:p>
        </w:tc>
        <w:tc>
          <w:tcPr>
            <w:tcW w:w="2659" w:type="dxa"/>
          </w:tcPr>
          <w:p w14:paraId="11F048BB">
            <w:pP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13.2(9.4-17.5)</w:t>
            </w:r>
          </w:p>
        </w:tc>
      </w:tr>
      <w:tr w14:paraId="330EBE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84" w:type="dxa"/>
          </w:tcPr>
          <w:p w14:paraId="0CDCFDD4">
            <w:pPr>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FIB-4</w:t>
            </w:r>
          </w:p>
          <w:p w14:paraId="1878EB76">
            <w:pPr>
              <w:rPr>
                <w:rFonts w:hint="eastAsia" w:ascii="Times New Roman" w:hAnsi="Times New Roman" w:eastAsia="宋体" w:cs="Times New Roman"/>
                <w:color w:val="auto"/>
                <w:sz w:val="24"/>
                <w:szCs w:val="24"/>
              </w:rPr>
            </w:pPr>
            <w:r>
              <w:rPr>
                <w:rFonts w:ascii="Times New Roman" w:hAnsi="Times New Roman" w:eastAsia="宋体" w:cs="Times New Roman"/>
                <w:color w:val="auto"/>
                <w:sz w:val="24"/>
                <w:szCs w:val="24"/>
              </w:rPr>
              <w:t>&lt;</w:t>
            </w:r>
            <w:r>
              <w:rPr>
                <w:rFonts w:hint="eastAsia" w:ascii="Times New Roman" w:hAnsi="Times New Roman" w:eastAsia="宋体" w:cs="Times New Roman"/>
                <w:color w:val="auto"/>
                <w:sz w:val="24"/>
                <w:szCs w:val="24"/>
              </w:rPr>
              <w:t>3.0</w:t>
            </w:r>
          </w:p>
          <w:p w14:paraId="247160E9">
            <w:pP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3.0</w:t>
            </w:r>
          </w:p>
        </w:tc>
        <w:tc>
          <w:tcPr>
            <w:tcW w:w="2659" w:type="dxa"/>
          </w:tcPr>
          <w:p w14:paraId="4F2D5C6A">
            <w:pPr>
              <w:rPr>
                <w:rFonts w:ascii="Times New Roman" w:hAnsi="Times New Roman" w:eastAsia="宋体" w:cs="Times New Roman"/>
                <w:color w:val="auto"/>
                <w:sz w:val="24"/>
                <w:szCs w:val="24"/>
              </w:rPr>
            </w:pPr>
          </w:p>
          <w:p w14:paraId="2460083C">
            <w:pP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868(73.90%)</w:t>
            </w:r>
          </w:p>
          <w:p w14:paraId="369900C3">
            <w:pP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306(26.10%)</w:t>
            </w:r>
          </w:p>
        </w:tc>
      </w:tr>
      <w:tr w14:paraId="4D3EC27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84" w:type="dxa"/>
          </w:tcPr>
          <w:p w14:paraId="2F9D3AE4">
            <w:pP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AFP-FIB-4 score</w:t>
            </w:r>
          </w:p>
        </w:tc>
        <w:tc>
          <w:tcPr>
            <w:tcW w:w="2659" w:type="dxa"/>
          </w:tcPr>
          <w:p w14:paraId="4C1BF321">
            <w:pPr>
              <w:rPr>
                <w:rFonts w:hint="eastAsia" w:ascii="Times New Roman" w:hAnsi="Times New Roman" w:eastAsia="宋体" w:cs="Times New Roman"/>
                <w:color w:val="auto"/>
                <w:sz w:val="24"/>
                <w:szCs w:val="24"/>
              </w:rPr>
            </w:pPr>
          </w:p>
        </w:tc>
      </w:tr>
      <w:tr w14:paraId="038D4B7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84" w:type="dxa"/>
          </w:tcPr>
          <w:p w14:paraId="4C565506">
            <w:pPr>
              <w:rPr>
                <w:rFonts w:hint="default" w:ascii="Times New Roman" w:hAnsi="Times New Roman" w:eastAsia="宋体" w:cs="Times New Roman"/>
                <w:color w:val="auto"/>
                <w:sz w:val="24"/>
                <w:szCs w:val="24"/>
                <w:lang w:val="en-US"/>
              </w:rPr>
            </w:pPr>
            <w:r>
              <w:rPr>
                <w:rFonts w:hint="eastAsia" w:ascii="Times New Roman" w:hAnsi="Times New Roman" w:eastAsia="宋体" w:cs="Times New Roman"/>
                <w:color w:val="auto"/>
                <w:sz w:val="24"/>
                <w:szCs w:val="24"/>
                <w:lang w:val="en-US" w:eastAsia="zh-CN"/>
              </w:rPr>
              <w:t>score 1</w:t>
            </w:r>
          </w:p>
        </w:tc>
        <w:tc>
          <w:tcPr>
            <w:tcW w:w="2659" w:type="dxa"/>
          </w:tcPr>
          <w:p w14:paraId="4A0B81D9">
            <w:pPr>
              <w:rPr>
                <w:rFonts w:hint="eastAsia"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446(38.0%)          </w:t>
            </w:r>
          </w:p>
        </w:tc>
      </w:tr>
      <w:tr w14:paraId="10AF7F0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84" w:type="dxa"/>
          </w:tcPr>
          <w:p w14:paraId="0DAB25DB">
            <w:pPr>
              <w:rPr>
                <w:rFonts w:hint="default" w:ascii="Times New Roman" w:hAnsi="Times New Roman" w:eastAsia="宋体" w:cs="Times New Roman"/>
                <w:color w:val="auto"/>
                <w:sz w:val="24"/>
                <w:szCs w:val="24"/>
                <w:lang w:val="en-US"/>
              </w:rPr>
            </w:pPr>
            <w:r>
              <w:rPr>
                <w:rFonts w:hint="eastAsia" w:ascii="Times New Roman" w:hAnsi="Times New Roman" w:eastAsia="宋体" w:cs="Times New Roman"/>
                <w:color w:val="auto"/>
                <w:sz w:val="24"/>
                <w:szCs w:val="24"/>
                <w:lang w:val="en-US" w:eastAsia="zh-CN"/>
              </w:rPr>
              <w:t>score 2</w:t>
            </w:r>
          </w:p>
        </w:tc>
        <w:tc>
          <w:tcPr>
            <w:tcW w:w="2659" w:type="dxa"/>
          </w:tcPr>
          <w:p w14:paraId="26F557F9">
            <w:pPr>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728</w:t>
            </w:r>
            <w:r>
              <w:rPr>
                <w:rFonts w:hint="default"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62</w:t>
            </w:r>
            <w:r>
              <w:rPr>
                <w:rFonts w:hint="default" w:ascii="Times New Roman" w:hAnsi="Times New Roman" w:eastAsia="宋体" w:cs="Times New Roman"/>
                <w:color w:val="auto"/>
                <w:sz w:val="24"/>
                <w:szCs w:val="24"/>
              </w:rPr>
              <w:t xml:space="preserve">.0%)          </w:t>
            </w:r>
          </w:p>
        </w:tc>
      </w:tr>
      <w:tr w14:paraId="6DF1920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84" w:type="dxa"/>
          </w:tcPr>
          <w:p w14:paraId="2EE6FE98">
            <w:pP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APRI</w:t>
            </w:r>
          </w:p>
        </w:tc>
        <w:tc>
          <w:tcPr>
            <w:tcW w:w="2659" w:type="dxa"/>
          </w:tcPr>
          <w:p w14:paraId="29EB7B85">
            <w:pPr>
              <w:rPr>
                <w:rFonts w:hint="default" w:ascii="Times New Roman" w:hAnsi="Times New Roman" w:eastAsia="宋体" w:cs="Times New Roman"/>
                <w:color w:val="auto"/>
                <w:sz w:val="24"/>
                <w:szCs w:val="24"/>
              </w:rPr>
            </w:pPr>
          </w:p>
        </w:tc>
      </w:tr>
      <w:tr w14:paraId="2A2A0AE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84" w:type="dxa"/>
          </w:tcPr>
          <w:p w14:paraId="2B5DACA8">
            <w:pPr>
              <w:rPr>
                <w:rFonts w:hint="default" w:ascii="Times New Roman" w:hAnsi="Times New Roman" w:eastAsia="宋体" w:cs="Times New Roman"/>
                <w:color w:val="auto"/>
                <w:sz w:val="24"/>
                <w:szCs w:val="24"/>
                <w:lang w:val="en-US" w:eastAsia="zh-CN"/>
              </w:rPr>
            </w:pPr>
            <w:r>
              <w:rPr>
                <w:rFonts w:ascii="Times New Roman" w:hAnsi="Times New Roman" w:eastAsia="宋体" w:cs="Times New Roman"/>
                <w:color w:val="auto"/>
                <w:sz w:val="24"/>
                <w:szCs w:val="24"/>
              </w:rPr>
              <w:t>&lt;</w:t>
            </w:r>
            <w:r>
              <w:rPr>
                <w:rFonts w:hint="eastAsia" w:ascii="Times New Roman" w:hAnsi="Times New Roman" w:eastAsia="宋体" w:cs="Times New Roman"/>
                <w:color w:val="auto"/>
                <w:sz w:val="24"/>
                <w:szCs w:val="24"/>
                <w:lang w:val="en-US" w:eastAsia="zh-CN"/>
              </w:rPr>
              <w:t>1.5</w:t>
            </w:r>
          </w:p>
          <w:p w14:paraId="77CB22BC">
            <w:pPr>
              <w:rPr>
                <w:rFonts w:hint="default" w:ascii="Times New Roman" w:hAnsi="Times New Roman" w:eastAsia="宋体" w:cs="Times New Roman"/>
                <w:color w:val="auto"/>
                <w:sz w:val="24"/>
                <w:szCs w:val="24"/>
                <w:lang w:val="en-US" w:eastAsia="zh-CN"/>
              </w:rPr>
            </w:pP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1.5</w:t>
            </w:r>
          </w:p>
        </w:tc>
        <w:tc>
          <w:tcPr>
            <w:tcW w:w="2659" w:type="dxa"/>
          </w:tcPr>
          <w:p w14:paraId="358FD509">
            <w:pP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1016 (86.5%) </w:t>
            </w:r>
          </w:p>
          <w:p w14:paraId="79EDE7C6">
            <w:pPr>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158(13.5%)</w:t>
            </w:r>
          </w:p>
        </w:tc>
      </w:tr>
    </w:tbl>
    <w:p w14:paraId="615A2565">
      <w:pPr>
        <w:widowControl/>
        <w:jc w:val="both"/>
        <w:rPr>
          <w:rFonts w:hint="default" w:ascii="Times New Roman" w:hAnsi="Times New Roman" w:eastAsia="宋体" w:cs="Times New Roman"/>
          <w:color w:val="auto"/>
          <w:sz w:val="24"/>
          <w:szCs w:val="24"/>
        </w:rPr>
      </w:pPr>
    </w:p>
    <w:p w14:paraId="2F4C78A9">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Abbreviations:HBsAg,</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hepatitis B surface</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antigen;</w:t>
      </w:r>
      <w:r>
        <w:rPr>
          <w:rFonts w:hint="eastAsia" w:ascii="Times New Roman" w:hAnsi="Times New Roman" w:eastAsia="宋体" w:cs="Times New Roman"/>
          <w:color w:val="auto"/>
          <w:sz w:val="24"/>
          <w:szCs w:val="24"/>
          <w:lang w:val="en-US" w:eastAsia="zh-CN"/>
        </w:rPr>
        <w:t xml:space="preserve"> M, male; F, female; </w:t>
      </w:r>
    </w:p>
    <w:p w14:paraId="7F73A270">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AFP,</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 xml:space="preserve">alpha-fetoprotein; BCLC, </w:t>
      </w:r>
      <w:r>
        <w:rPr>
          <w:rFonts w:hint="eastAsia" w:ascii="Times New Roman" w:hAnsi="Times New Roman" w:eastAsia="宋体" w:cs="Times New Roman"/>
          <w:color w:val="auto"/>
          <w:sz w:val="24"/>
          <w:szCs w:val="24"/>
          <w:lang w:val="en-US" w:eastAsia="zh-CN"/>
        </w:rPr>
        <w:t>B</w:t>
      </w:r>
      <w:r>
        <w:rPr>
          <w:rFonts w:hint="default" w:ascii="Times New Roman" w:hAnsi="Times New Roman" w:eastAsia="宋体" w:cs="Times New Roman"/>
          <w:color w:val="auto"/>
          <w:sz w:val="24"/>
          <w:szCs w:val="24"/>
        </w:rPr>
        <w:t xml:space="preserve">arcelona </w:t>
      </w:r>
      <w:r>
        <w:rPr>
          <w:rFonts w:hint="eastAsia" w:ascii="Times New Roman" w:hAnsi="Times New Roman" w:eastAsia="宋体" w:cs="Times New Roman"/>
          <w:color w:val="auto"/>
          <w:sz w:val="24"/>
          <w:szCs w:val="24"/>
          <w:lang w:val="en-US" w:eastAsia="zh-CN"/>
        </w:rPr>
        <w:t>C</w:t>
      </w:r>
      <w:r>
        <w:rPr>
          <w:rFonts w:hint="default" w:ascii="Times New Roman" w:hAnsi="Times New Roman" w:eastAsia="宋体" w:cs="Times New Roman"/>
          <w:color w:val="auto"/>
          <w:sz w:val="24"/>
          <w:szCs w:val="24"/>
        </w:rPr>
        <w:t xml:space="preserve">linic </w:t>
      </w:r>
      <w:r>
        <w:rPr>
          <w:rFonts w:hint="eastAsia" w:ascii="Times New Roman" w:hAnsi="Times New Roman" w:eastAsia="宋体" w:cs="Times New Roman"/>
          <w:color w:val="auto"/>
          <w:sz w:val="24"/>
          <w:szCs w:val="24"/>
          <w:lang w:val="en-US" w:eastAsia="zh-CN"/>
        </w:rPr>
        <w:t>L</w:t>
      </w:r>
      <w:r>
        <w:rPr>
          <w:rFonts w:hint="default" w:ascii="Times New Roman" w:hAnsi="Times New Roman" w:eastAsia="宋体" w:cs="Times New Roman"/>
          <w:color w:val="auto"/>
          <w:sz w:val="24"/>
          <w:szCs w:val="24"/>
        </w:rPr>
        <w:t xml:space="preserve">iver </w:t>
      </w:r>
      <w:r>
        <w:rPr>
          <w:rFonts w:hint="eastAsia" w:ascii="Times New Roman" w:hAnsi="Times New Roman" w:eastAsia="宋体" w:cs="Times New Roman"/>
          <w:color w:val="auto"/>
          <w:sz w:val="24"/>
          <w:szCs w:val="24"/>
          <w:lang w:val="en-US" w:eastAsia="zh-CN"/>
        </w:rPr>
        <w:t>C</w:t>
      </w:r>
      <w:r>
        <w:rPr>
          <w:rFonts w:hint="default" w:ascii="Times New Roman" w:hAnsi="Times New Roman" w:eastAsia="宋体" w:cs="Times New Roman"/>
          <w:color w:val="auto"/>
          <w:sz w:val="24"/>
          <w:szCs w:val="24"/>
        </w:rPr>
        <w:t>ancer</w:t>
      </w:r>
      <w:r>
        <w:rPr>
          <w:rFonts w:hint="eastAsia" w:ascii="Times New Roman" w:hAnsi="Times New Roman" w:eastAsia="宋体" w:cs="Times New Roman"/>
          <w:color w:val="auto"/>
          <w:sz w:val="24"/>
          <w:szCs w:val="24"/>
          <w:lang w:val="en-US" w:eastAsia="zh-CN"/>
        </w:rPr>
        <w:t xml:space="preserve">; </w:t>
      </w:r>
    </w:p>
    <w:p w14:paraId="693BA2E7">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AST,</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aspartate aminotransferase; ALT,</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alanine aminotransferase;</w:t>
      </w:r>
      <w:r>
        <w:rPr>
          <w:rFonts w:hint="eastAsia" w:ascii="Times New Roman" w:hAnsi="Times New Roman" w:eastAsia="宋体" w:cs="Times New Roman"/>
          <w:color w:val="auto"/>
          <w:sz w:val="24"/>
          <w:szCs w:val="24"/>
          <w:lang w:val="en-US" w:eastAsia="zh-CN"/>
        </w:rPr>
        <w:t xml:space="preserve"> </w:t>
      </w:r>
    </w:p>
    <w:p w14:paraId="464E712C">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HCC,</w:t>
      </w:r>
      <w:r>
        <w:rPr>
          <w:rFonts w:hint="eastAsia" w:ascii="Times New Roman" w:hAnsi="Times New Roman" w:eastAsia="宋体" w:cs="Times New Roman"/>
          <w:color w:val="auto"/>
          <w:sz w:val="24"/>
          <w:szCs w:val="24"/>
          <w:lang w:val="en-US" w:eastAsia="zh-CN"/>
        </w:rPr>
        <w:t xml:space="preserve"> h</w:t>
      </w:r>
      <w:r>
        <w:rPr>
          <w:rFonts w:hint="default" w:ascii="Times New Roman" w:hAnsi="Times New Roman" w:eastAsia="宋体" w:cs="Times New Roman"/>
          <w:color w:val="auto"/>
          <w:sz w:val="24"/>
          <w:szCs w:val="24"/>
        </w:rPr>
        <w:t xml:space="preserve">epatocellular </w:t>
      </w:r>
      <w:r>
        <w:rPr>
          <w:rFonts w:hint="eastAsia" w:ascii="Times New Roman" w:hAnsi="Times New Roman" w:eastAsia="宋体" w:cs="Times New Roman"/>
          <w:color w:val="auto"/>
          <w:sz w:val="24"/>
          <w:szCs w:val="24"/>
          <w:lang w:val="en-US" w:eastAsia="zh-CN"/>
        </w:rPr>
        <w:t>c</w:t>
      </w:r>
      <w:r>
        <w:rPr>
          <w:rFonts w:hint="default" w:ascii="Times New Roman" w:hAnsi="Times New Roman" w:eastAsia="宋体" w:cs="Times New Roman"/>
          <w:color w:val="auto"/>
          <w:sz w:val="24"/>
          <w:szCs w:val="24"/>
        </w:rPr>
        <w:t>arcinoma</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FIB-4</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fibrosis-4</w:t>
      </w:r>
      <w:r>
        <w:rPr>
          <w:rFonts w:hint="eastAsia" w:ascii="Times New Roman" w:hAnsi="Times New Roman" w:eastAsia="宋体" w:cs="Times New Roman"/>
          <w:color w:val="auto"/>
          <w:sz w:val="24"/>
          <w:szCs w:val="24"/>
          <w:lang w:val="en-US" w:eastAsia="zh-CN"/>
        </w:rPr>
        <w:t xml:space="preserve">; </w:t>
      </w:r>
    </w:p>
    <w:p w14:paraId="5CE376B0">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APRI, aspartate aminotransferase to platelet ratio index.</w:t>
      </w:r>
    </w:p>
    <w:p w14:paraId="3E96C7B8">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5A0C1C3B">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18F2BE31">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6E9DB084">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06F17BC5">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4104E6C7">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12858C10">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52CDA27A">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662BDE7F">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40B4822B">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20653A16">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7897B356">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769A78A3">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314097C3">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5B5A32D8">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57095CD1">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1664173A">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047A493C">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6623EE62">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2B7E00C4">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2F5767CA">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07C9D145">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70551787">
      <w:pPr>
        <w:rPr>
          <w:rFonts w:hint="default" w:ascii="Times New Roman" w:hAnsi="Times New Roman" w:eastAsia="宋体" w:cs="Times New Roman"/>
          <w:b/>
          <w:bCs/>
          <w:color w:val="auto"/>
          <w:sz w:val="24"/>
          <w:szCs w:val="24"/>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1BDF7F95">
      <w:pPr>
        <w:widowControl/>
        <w:jc w:val="both"/>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z w:val="24"/>
          <w:szCs w:val="24"/>
        </w:rPr>
        <w:t xml:space="preserve">Table </w:t>
      </w:r>
      <w:r>
        <w:rPr>
          <w:rFonts w:hint="eastAsia" w:ascii="Times New Roman" w:hAnsi="Times New Roman" w:eastAsia="宋体" w:cs="Times New Roman"/>
          <w:b/>
          <w:bCs/>
          <w:color w:val="auto"/>
          <w:sz w:val="24"/>
          <w:szCs w:val="24"/>
          <w:lang w:val="en-US" w:eastAsia="zh-CN"/>
        </w:rPr>
        <w:t>2</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Cox proportional hazards regression to identify predictors of disease free survival in HCC patients treated by resection</w:t>
      </w:r>
    </w:p>
    <w:tbl>
      <w:tblPr>
        <w:tblStyle w:val="6"/>
        <w:tblW w:w="1290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492"/>
        <w:gridCol w:w="900"/>
        <w:gridCol w:w="1560"/>
        <w:gridCol w:w="1017"/>
        <w:gridCol w:w="946"/>
        <w:gridCol w:w="1509"/>
        <w:gridCol w:w="1015"/>
        <w:gridCol w:w="946"/>
        <w:gridCol w:w="1509"/>
        <w:gridCol w:w="1015"/>
      </w:tblGrid>
      <w:tr w14:paraId="2AC91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6" w:hRule="atLeast"/>
          <w:jc w:val="center"/>
        </w:trPr>
        <w:tc>
          <w:tcPr>
            <w:tcW w:w="2492" w:type="dxa"/>
            <w:vMerge w:val="restart"/>
            <w:tcBorders>
              <w:top w:val="single" w:color="auto" w:sz="4" w:space="0"/>
              <w:left w:val="nil"/>
              <w:bottom w:val="single" w:color="auto" w:sz="4" w:space="0"/>
              <w:right w:val="nil"/>
            </w:tcBorders>
            <w:shd w:val="clear" w:color="auto" w:fill="auto"/>
            <w:noWrap/>
            <w:vAlign w:val="center"/>
          </w:tcPr>
          <w:p w14:paraId="78F98801">
            <w:pPr>
              <w:widowControl/>
              <w:jc w:val="both"/>
              <w:rPr>
                <w:rFonts w:hint="eastAsia"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Variables</w:t>
            </w:r>
          </w:p>
        </w:tc>
        <w:tc>
          <w:tcPr>
            <w:tcW w:w="3477" w:type="dxa"/>
            <w:gridSpan w:val="3"/>
            <w:tcBorders>
              <w:top w:val="single" w:color="auto" w:sz="4" w:space="0"/>
              <w:left w:val="nil"/>
              <w:bottom w:val="single" w:color="auto" w:sz="4" w:space="0"/>
              <w:right w:val="nil"/>
            </w:tcBorders>
            <w:shd w:val="clear" w:color="auto" w:fill="auto"/>
            <w:noWrap/>
            <w:vAlign w:val="center"/>
          </w:tcPr>
          <w:p w14:paraId="7DCF2DEC">
            <w:pPr>
              <w:widowControl/>
              <w:jc w:val="center"/>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eastAsia="zh-CN"/>
              </w:rPr>
              <w:t>Univariate analysis</w:t>
            </w:r>
          </w:p>
        </w:tc>
        <w:tc>
          <w:tcPr>
            <w:tcW w:w="3470" w:type="dxa"/>
            <w:gridSpan w:val="3"/>
            <w:tcBorders>
              <w:top w:val="single" w:color="auto" w:sz="4" w:space="0"/>
              <w:left w:val="nil"/>
              <w:bottom w:val="single" w:color="auto" w:sz="4" w:space="0"/>
              <w:right w:val="nil"/>
            </w:tcBorders>
            <w:shd w:val="clear" w:color="auto" w:fill="auto"/>
            <w:noWrap/>
            <w:vAlign w:val="center"/>
          </w:tcPr>
          <w:p w14:paraId="1B778DB7">
            <w:pPr>
              <w:widowControl/>
              <w:jc w:val="center"/>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eastAsia="zh-CN"/>
              </w:rPr>
              <w:t>Multivariate analysis</w:t>
            </w:r>
            <w:r>
              <w:rPr>
                <w:rFonts w:hint="eastAsia" w:ascii="Times New Roman" w:hAnsi="Times New Roman" w:eastAsia="宋体" w:cs="Times New Roman"/>
                <w:color w:val="auto"/>
                <w:sz w:val="24"/>
                <w:szCs w:val="24"/>
                <w:lang w:val="en-US" w:eastAsia="zh-CN"/>
              </w:rPr>
              <w:t>(a)</w:t>
            </w:r>
          </w:p>
        </w:tc>
        <w:tc>
          <w:tcPr>
            <w:tcW w:w="3470" w:type="dxa"/>
            <w:gridSpan w:val="3"/>
            <w:tcBorders>
              <w:top w:val="single" w:color="auto" w:sz="4" w:space="0"/>
              <w:left w:val="nil"/>
              <w:bottom w:val="single" w:color="auto" w:sz="4" w:space="0"/>
              <w:right w:val="nil"/>
            </w:tcBorders>
            <w:shd w:val="clear" w:color="auto" w:fill="auto"/>
            <w:noWrap/>
            <w:vAlign w:val="center"/>
          </w:tcPr>
          <w:p w14:paraId="60AF824E">
            <w:pPr>
              <w:widowControl/>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Multivariate analysis</w:t>
            </w:r>
            <w:r>
              <w:rPr>
                <w:rFonts w:hint="eastAsia" w:ascii="Times New Roman" w:hAnsi="Times New Roman" w:eastAsia="宋体" w:cs="Times New Roman"/>
                <w:color w:val="auto"/>
                <w:sz w:val="24"/>
                <w:szCs w:val="24"/>
                <w:lang w:val="en-US" w:eastAsia="zh-CN"/>
              </w:rPr>
              <w:t>(b)</w:t>
            </w:r>
          </w:p>
        </w:tc>
      </w:tr>
      <w:tr w14:paraId="64FA4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jc w:val="center"/>
        </w:trPr>
        <w:tc>
          <w:tcPr>
            <w:tcW w:w="2492" w:type="dxa"/>
            <w:vMerge w:val="continue"/>
            <w:tcBorders>
              <w:top w:val="single" w:color="auto" w:sz="4" w:space="0"/>
              <w:left w:val="nil"/>
              <w:bottom w:val="single" w:color="auto" w:sz="4" w:space="0"/>
              <w:right w:val="nil"/>
            </w:tcBorders>
            <w:shd w:val="clear" w:color="auto" w:fill="auto"/>
            <w:noWrap/>
            <w:vAlign w:val="center"/>
          </w:tcPr>
          <w:p w14:paraId="5FB8595C">
            <w:pPr>
              <w:widowControl/>
              <w:jc w:val="both"/>
              <w:rPr>
                <w:rFonts w:hint="default" w:ascii="Times New Roman" w:hAnsi="Times New Roman" w:eastAsia="宋体" w:cs="Times New Roman"/>
                <w:color w:val="auto"/>
                <w:sz w:val="24"/>
                <w:szCs w:val="24"/>
              </w:rPr>
            </w:pPr>
          </w:p>
        </w:tc>
        <w:tc>
          <w:tcPr>
            <w:tcW w:w="900" w:type="dxa"/>
            <w:tcBorders>
              <w:top w:val="single" w:color="auto" w:sz="4" w:space="0"/>
              <w:left w:val="nil"/>
              <w:bottom w:val="single" w:color="auto" w:sz="4" w:space="0"/>
              <w:right w:val="nil"/>
            </w:tcBorders>
            <w:shd w:val="clear" w:color="auto" w:fill="auto"/>
            <w:noWrap/>
            <w:vAlign w:val="top"/>
          </w:tcPr>
          <w:p w14:paraId="79376A0A">
            <w:pPr>
              <w:widowControl/>
              <w:jc w:val="center"/>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HR</w:t>
            </w:r>
          </w:p>
        </w:tc>
        <w:tc>
          <w:tcPr>
            <w:tcW w:w="1560" w:type="dxa"/>
            <w:tcBorders>
              <w:top w:val="single" w:color="auto" w:sz="4" w:space="0"/>
              <w:left w:val="nil"/>
              <w:bottom w:val="single" w:color="auto" w:sz="4" w:space="0"/>
              <w:right w:val="nil"/>
            </w:tcBorders>
            <w:shd w:val="clear" w:color="auto" w:fill="auto"/>
            <w:noWrap/>
            <w:vAlign w:val="top"/>
          </w:tcPr>
          <w:p w14:paraId="6572DD62">
            <w:pPr>
              <w:widowControl/>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95% CI</w:t>
            </w:r>
          </w:p>
          <w:p w14:paraId="1C613567">
            <w:pPr>
              <w:widowControl/>
              <w:jc w:val="center"/>
              <w:rPr>
                <w:rFonts w:hint="eastAsia" w:ascii="Times New Roman" w:hAnsi="Times New Roman" w:eastAsia="宋体" w:cs="Times New Roman"/>
                <w:color w:val="auto"/>
                <w:sz w:val="24"/>
                <w:szCs w:val="24"/>
                <w:lang w:val="en-US" w:eastAsia="zh-CN"/>
              </w:rPr>
            </w:pPr>
          </w:p>
        </w:tc>
        <w:tc>
          <w:tcPr>
            <w:tcW w:w="1017" w:type="dxa"/>
            <w:tcBorders>
              <w:top w:val="single" w:color="auto" w:sz="4" w:space="0"/>
              <w:left w:val="nil"/>
              <w:bottom w:val="single" w:color="auto" w:sz="4" w:space="0"/>
              <w:right w:val="nil"/>
            </w:tcBorders>
            <w:shd w:val="clear" w:color="auto" w:fill="auto"/>
            <w:noWrap/>
            <w:vAlign w:val="top"/>
          </w:tcPr>
          <w:p w14:paraId="615223BA">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P values</w:t>
            </w:r>
          </w:p>
        </w:tc>
        <w:tc>
          <w:tcPr>
            <w:tcW w:w="946" w:type="dxa"/>
            <w:tcBorders>
              <w:top w:val="single" w:color="auto" w:sz="4" w:space="0"/>
              <w:left w:val="nil"/>
              <w:bottom w:val="single" w:color="auto" w:sz="4" w:space="0"/>
              <w:right w:val="nil"/>
            </w:tcBorders>
            <w:shd w:val="clear" w:color="auto" w:fill="auto"/>
            <w:noWrap/>
            <w:vAlign w:val="top"/>
          </w:tcPr>
          <w:p w14:paraId="2C1F42A9">
            <w:pPr>
              <w:widowControl/>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HR</w:t>
            </w:r>
          </w:p>
          <w:p w14:paraId="0021CC07">
            <w:pPr>
              <w:widowControl/>
              <w:jc w:val="center"/>
              <w:rPr>
                <w:rFonts w:hint="eastAsia" w:ascii="Times New Roman" w:hAnsi="Times New Roman" w:eastAsia="宋体" w:cs="Times New Roman"/>
                <w:color w:val="auto"/>
                <w:sz w:val="24"/>
                <w:szCs w:val="24"/>
                <w:lang w:val="en-US" w:eastAsia="zh-CN"/>
              </w:rPr>
            </w:pPr>
          </w:p>
        </w:tc>
        <w:tc>
          <w:tcPr>
            <w:tcW w:w="1509" w:type="dxa"/>
            <w:tcBorders>
              <w:top w:val="single" w:color="auto" w:sz="4" w:space="0"/>
              <w:left w:val="nil"/>
              <w:bottom w:val="single" w:color="auto" w:sz="4" w:space="0"/>
              <w:right w:val="nil"/>
            </w:tcBorders>
            <w:shd w:val="clear" w:color="auto" w:fill="auto"/>
            <w:noWrap/>
            <w:vAlign w:val="top"/>
          </w:tcPr>
          <w:p w14:paraId="6BAAF204">
            <w:pPr>
              <w:widowControl/>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95% CI</w:t>
            </w:r>
          </w:p>
          <w:p w14:paraId="0AF613C9">
            <w:pPr>
              <w:widowControl/>
              <w:jc w:val="center"/>
              <w:rPr>
                <w:rFonts w:hint="eastAsia" w:ascii="Times New Roman" w:hAnsi="Times New Roman" w:eastAsia="宋体" w:cs="Times New Roman"/>
                <w:color w:val="auto"/>
                <w:sz w:val="24"/>
                <w:szCs w:val="24"/>
                <w:lang w:val="en-US" w:eastAsia="zh-CN"/>
              </w:rPr>
            </w:pPr>
          </w:p>
        </w:tc>
        <w:tc>
          <w:tcPr>
            <w:tcW w:w="1015" w:type="dxa"/>
            <w:tcBorders>
              <w:top w:val="single" w:color="auto" w:sz="4" w:space="0"/>
              <w:left w:val="nil"/>
              <w:bottom w:val="single" w:color="auto" w:sz="4" w:space="0"/>
              <w:right w:val="nil"/>
            </w:tcBorders>
            <w:shd w:val="clear" w:color="auto" w:fill="auto"/>
            <w:noWrap/>
            <w:vAlign w:val="top"/>
          </w:tcPr>
          <w:p w14:paraId="75BD3829">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P values</w:t>
            </w:r>
          </w:p>
        </w:tc>
        <w:tc>
          <w:tcPr>
            <w:tcW w:w="946" w:type="dxa"/>
            <w:tcBorders>
              <w:top w:val="single" w:color="auto" w:sz="4" w:space="0"/>
              <w:left w:val="nil"/>
              <w:bottom w:val="single" w:color="auto" w:sz="4" w:space="0"/>
              <w:right w:val="nil"/>
            </w:tcBorders>
            <w:shd w:val="clear" w:color="auto" w:fill="auto"/>
            <w:noWrap/>
            <w:vAlign w:val="top"/>
          </w:tcPr>
          <w:p w14:paraId="13E87750">
            <w:pPr>
              <w:widowControl/>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HR</w:t>
            </w:r>
          </w:p>
          <w:p w14:paraId="1C9E6EDC">
            <w:pPr>
              <w:widowControl/>
              <w:jc w:val="center"/>
              <w:rPr>
                <w:rFonts w:hint="eastAsia" w:ascii="Times New Roman" w:hAnsi="Times New Roman" w:eastAsia="宋体" w:cs="Times New Roman"/>
                <w:color w:val="auto"/>
                <w:sz w:val="24"/>
                <w:szCs w:val="24"/>
                <w:lang w:val="en-US" w:eastAsia="zh-CN"/>
              </w:rPr>
            </w:pPr>
          </w:p>
        </w:tc>
        <w:tc>
          <w:tcPr>
            <w:tcW w:w="1509" w:type="dxa"/>
            <w:tcBorders>
              <w:top w:val="single" w:color="auto" w:sz="4" w:space="0"/>
              <w:left w:val="nil"/>
              <w:bottom w:val="single" w:color="auto" w:sz="4" w:space="0"/>
              <w:right w:val="nil"/>
            </w:tcBorders>
            <w:shd w:val="clear" w:color="auto" w:fill="auto"/>
            <w:noWrap/>
            <w:vAlign w:val="top"/>
          </w:tcPr>
          <w:p w14:paraId="689720E1">
            <w:pPr>
              <w:widowControl/>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95% CI</w:t>
            </w:r>
          </w:p>
          <w:p w14:paraId="3A8D3700">
            <w:pPr>
              <w:widowControl/>
              <w:jc w:val="center"/>
              <w:rPr>
                <w:color w:val="auto"/>
              </w:rPr>
            </w:pPr>
          </w:p>
        </w:tc>
        <w:tc>
          <w:tcPr>
            <w:tcW w:w="1015" w:type="dxa"/>
            <w:tcBorders>
              <w:top w:val="single" w:color="auto" w:sz="4" w:space="0"/>
              <w:left w:val="nil"/>
              <w:bottom w:val="single" w:color="auto" w:sz="4" w:space="0"/>
              <w:right w:val="nil"/>
            </w:tcBorders>
            <w:shd w:val="clear" w:color="auto" w:fill="auto"/>
            <w:noWrap/>
            <w:vAlign w:val="top"/>
          </w:tcPr>
          <w:p w14:paraId="23EAE77E">
            <w:pPr>
              <w:widowControl/>
              <w:jc w:val="center"/>
              <w:rPr>
                <w:color w:val="auto"/>
              </w:rPr>
            </w:pPr>
            <w:r>
              <w:rPr>
                <w:rFonts w:hint="eastAsia" w:ascii="Times New Roman" w:hAnsi="Times New Roman" w:eastAsia="宋体" w:cs="Times New Roman"/>
                <w:color w:val="auto"/>
                <w:sz w:val="24"/>
                <w:szCs w:val="24"/>
                <w:lang w:val="en-US" w:eastAsia="zh-CN"/>
              </w:rPr>
              <w:t>P values</w:t>
            </w:r>
          </w:p>
        </w:tc>
      </w:tr>
      <w:tr w14:paraId="5B6AC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492" w:type="dxa"/>
            <w:tcBorders>
              <w:top w:val="single" w:color="auto" w:sz="4" w:space="0"/>
              <w:left w:val="nil"/>
              <w:bottom w:val="nil"/>
              <w:right w:val="nil"/>
            </w:tcBorders>
            <w:shd w:val="clear" w:color="auto" w:fill="auto"/>
            <w:noWrap/>
            <w:vAlign w:val="center"/>
          </w:tcPr>
          <w:p w14:paraId="0DBB2172">
            <w:pPr>
              <w:rPr>
                <w:rFonts w:hint="default" w:ascii="Times New Roman" w:hAnsi="Times New Roman" w:eastAsia="AdvPTimes" w:cs="Times New Roman"/>
                <w:color w:val="auto"/>
                <w:sz w:val="24"/>
                <w:szCs w:val="24"/>
              </w:rPr>
            </w:pPr>
            <w:r>
              <w:rPr>
                <w:rFonts w:hint="default" w:ascii="Times New Roman" w:hAnsi="Times New Roman" w:eastAsia="宋体" w:cs="Times New Roman"/>
                <w:color w:val="auto"/>
                <w:sz w:val="24"/>
                <w:szCs w:val="24"/>
              </w:rPr>
              <w:t>Age (</w:t>
            </w:r>
            <w:r>
              <w:rPr>
                <w:rFonts w:hint="default" w:ascii="Times New Roman" w:hAnsi="Times New Roman" w:eastAsia="AdvPTimes" w:cs="Times New Roman"/>
                <w:color w:val="auto"/>
                <w:sz w:val="24"/>
                <w:szCs w:val="24"/>
              </w:rPr>
              <w:t>≥</w:t>
            </w:r>
            <w:r>
              <w:rPr>
                <w:rFonts w:hint="default" w:ascii="Times New Roman" w:hAnsi="Times New Roman" w:eastAsia="宋体" w:cs="Times New Roman"/>
                <w:color w:val="auto"/>
                <w:sz w:val="24"/>
                <w:szCs w:val="24"/>
              </w:rPr>
              <w:t>60 years)</w:t>
            </w:r>
          </w:p>
        </w:tc>
        <w:tc>
          <w:tcPr>
            <w:tcW w:w="900" w:type="dxa"/>
            <w:tcBorders>
              <w:top w:val="single" w:color="auto" w:sz="4" w:space="0"/>
              <w:left w:val="nil"/>
              <w:bottom w:val="nil"/>
              <w:right w:val="nil"/>
            </w:tcBorders>
            <w:shd w:val="clear" w:color="auto" w:fill="auto"/>
            <w:noWrap/>
            <w:vAlign w:val="center"/>
          </w:tcPr>
          <w:p w14:paraId="17DDE3D3">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0.936</w:t>
            </w:r>
          </w:p>
        </w:tc>
        <w:tc>
          <w:tcPr>
            <w:tcW w:w="1560" w:type="dxa"/>
            <w:tcBorders>
              <w:top w:val="single" w:color="auto" w:sz="4" w:space="0"/>
              <w:left w:val="nil"/>
              <w:bottom w:val="nil"/>
              <w:right w:val="nil"/>
            </w:tcBorders>
            <w:shd w:val="clear" w:color="auto" w:fill="auto"/>
            <w:noWrap/>
            <w:vAlign w:val="center"/>
          </w:tcPr>
          <w:p w14:paraId="469C50A4">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0.755-1.16</w:t>
            </w:r>
          </w:p>
        </w:tc>
        <w:tc>
          <w:tcPr>
            <w:tcW w:w="1017" w:type="dxa"/>
            <w:tcBorders>
              <w:top w:val="single" w:color="auto" w:sz="4" w:space="0"/>
              <w:left w:val="nil"/>
              <w:bottom w:val="nil"/>
              <w:right w:val="nil"/>
            </w:tcBorders>
            <w:shd w:val="clear" w:color="auto" w:fill="auto"/>
            <w:noWrap/>
            <w:vAlign w:val="center"/>
          </w:tcPr>
          <w:p w14:paraId="623AF874">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0.545</w:t>
            </w:r>
          </w:p>
        </w:tc>
        <w:tc>
          <w:tcPr>
            <w:tcW w:w="946" w:type="dxa"/>
            <w:tcBorders>
              <w:top w:val="single" w:color="auto" w:sz="4" w:space="0"/>
              <w:left w:val="nil"/>
              <w:bottom w:val="nil"/>
              <w:right w:val="nil"/>
            </w:tcBorders>
            <w:shd w:val="clear" w:color="auto" w:fill="auto"/>
            <w:noWrap/>
            <w:vAlign w:val="center"/>
          </w:tcPr>
          <w:p w14:paraId="5C4C3724">
            <w:pPr>
              <w:widowControl/>
              <w:jc w:val="center"/>
              <w:rPr>
                <w:rFonts w:hint="eastAsia" w:ascii="Times New Roman" w:hAnsi="Times New Roman" w:eastAsia="宋体" w:cs="Times New Roman"/>
                <w:color w:val="auto"/>
                <w:sz w:val="24"/>
                <w:szCs w:val="24"/>
                <w:lang w:val="en-US" w:eastAsia="zh-CN"/>
              </w:rPr>
            </w:pPr>
          </w:p>
        </w:tc>
        <w:tc>
          <w:tcPr>
            <w:tcW w:w="1509" w:type="dxa"/>
            <w:tcBorders>
              <w:top w:val="single" w:color="auto" w:sz="4" w:space="0"/>
              <w:left w:val="nil"/>
              <w:bottom w:val="nil"/>
              <w:right w:val="nil"/>
            </w:tcBorders>
            <w:shd w:val="clear" w:color="auto" w:fill="auto"/>
            <w:noWrap/>
            <w:vAlign w:val="center"/>
          </w:tcPr>
          <w:p w14:paraId="6BBD7898">
            <w:pPr>
              <w:widowControl/>
              <w:jc w:val="center"/>
              <w:rPr>
                <w:rFonts w:hint="eastAsia" w:ascii="Times New Roman" w:hAnsi="Times New Roman" w:eastAsia="宋体" w:cs="Times New Roman"/>
                <w:color w:val="auto"/>
                <w:sz w:val="24"/>
                <w:szCs w:val="24"/>
                <w:lang w:val="en-US" w:eastAsia="zh-CN"/>
              </w:rPr>
            </w:pPr>
          </w:p>
        </w:tc>
        <w:tc>
          <w:tcPr>
            <w:tcW w:w="1015" w:type="dxa"/>
            <w:tcBorders>
              <w:top w:val="single" w:color="auto" w:sz="4" w:space="0"/>
              <w:left w:val="nil"/>
              <w:bottom w:val="nil"/>
              <w:right w:val="nil"/>
            </w:tcBorders>
            <w:shd w:val="clear" w:color="auto" w:fill="auto"/>
            <w:noWrap/>
            <w:vAlign w:val="center"/>
          </w:tcPr>
          <w:p w14:paraId="1E6E1CD2">
            <w:pPr>
              <w:widowControl/>
              <w:jc w:val="center"/>
              <w:rPr>
                <w:rFonts w:hint="eastAsia" w:ascii="Times New Roman" w:hAnsi="Times New Roman" w:eastAsia="宋体" w:cs="Times New Roman"/>
                <w:color w:val="auto"/>
                <w:sz w:val="24"/>
                <w:szCs w:val="24"/>
                <w:lang w:val="en-US" w:eastAsia="zh-CN"/>
              </w:rPr>
            </w:pPr>
          </w:p>
        </w:tc>
        <w:tc>
          <w:tcPr>
            <w:tcW w:w="946" w:type="dxa"/>
            <w:tcBorders>
              <w:top w:val="single" w:color="auto" w:sz="4" w:space="0"/>
              <w:left w:val="nil"/>
              <w:bottom w:val="nil"/>
              <w:right w:val="nil"/>
            </w:tcBorders>
            <w:shd w:val="clear" w:color="auto" w:fill="auto"/>
            <w:noWrap/>
            <w:vAlign w:val="center"/>
          </w:tcPr>
          <w:p w14:paraId="4C754BE1">
            <w:pPr>
              <w:widowControl/>
              <w:jc w:val="center"/>
              <w:rPr>
                <w:rFonts w:hint="eastAsia" w:ascii="Times New Roman" w:hAnsi="Times New Roman" w:eastAsia="宋体" w:cs="Times New Roman"/>
                <w:color w:val="auto"/>
                <w:sz w:val="24"/>
                <w:szCs w:val="24"/>
                <w:lang w:val="en-US" w:eastAsia="zh-CN"/>
              </w:rPr>
            </w:pPr>
          </w:p>
        </w:tc>
        <w:tc>
          <w:tcPr>
            <w:tcW w:w="1509" w:type="dxa"/>
            <w:tcBorders>
              <w:top w:val="single" w:color="auto" w:sz="4" w:space="0"/>
              <w:left w:val="nil"/>
              <w:bottom w:val="nil"/>
              <w:right w:val="nil"/>
            </w:tcBorders>
            <w:shd w:val="clear" w:color="auto" w:fill="auto"/>
            <w:noWrap/>
            <w:vAlign w:val="center"/>
          </w:tcPr>
          <w:p w14:paraId="6D52E54B">
            <w:pPr>
              <w:widowControl/>
              <w:jc w:val="center"/>
              <w:rPr>
                <w:color w:val="auto"/>
              </w:rPr>
            </w:pPr>
          </w:p>
        </w:tc>
        <w:tc>
          <w:tcPr>
            <w:tcW w:w="1015" w:type="dxa"/>
            <w:tcBorders>
              <w:top w:val="single" w:color="auto" w:sz="4" w:space="0"/>
              <w:left w:val="nil"/>
              <w:bottom w:val="nil"/>
              <w:right w:val="nil"/>
            </w:tcBorders>
            <w:shd w:val="clear" w:color="auto" w:fill="auto"/>
            <w:noWrap/>
            <w:vAlign w:val="center"/>
          </w:tcPr>
          <w:p w14:paraId="21AFA4EC">
            <w:pPr>
              <w:widowControl/>
              <w:jc w:val="center"/>
              <w:rPr>
                <w:color w:val="auto"/>
              </w:rPr>
            </w:pPr>
          </w:p>
        </w:tc>
      </w:tr>
      <w:tr w14:paraId="162E1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492" w:type="dxa"/>
            <w:tcBorders>
              <w:top w:val="nil"/>
              <w:left w:val="nil"/>
              <w:bottom w:val="nil"/>
              <w:right w:val="nil"/>
            </w:tcBorders>
            <w:shd w:val="clear" w:color="auto" w:fill="auto"/>
            <w:noWrap/>
            <w:vAlign w:val="center"/>
          </w:tcPr>
          <w:p w14:paraId="23CEDF67">
            <w:pPr>
              <w:widowControl/>
              <w:jc w:val="both"/>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Male</w:t>
            </w:r>
          </w:p>
        </w:tc>
        <w:tc>
          <w:tcPr>
            <w:tcW w:w="900" w:type="dxa"/>
            <w:tcBorders>
              <w:top w:val="nil"/>
              <w:left w:val="nil"/>
              <w:bottom w:val="nil"/>
              <w:right w:val="nil"/>
            </w:tcBorders>
            <w:shd w:val="clear" w:color="auto" w:fill="auto"/>
            <w:noWrap/>
            <w:vAlign w:val="center"/>
          </w:tcPr>
          <w:p w14:paraId="505C3D5A">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1.093</w:t>
            </w:r>
          </w:p>
        </w:tc>
        <w:tc>
          <w:tcPr>
            <w:tcW w:w="1560" w:type="dxa"/>
            <w:tcBorders>
              <w:top w:val="nil"/>
              <w:left w:val="nil"/>
              <w:bottom w:val="nil"/>
              <w:right w:val="nil"/>
            </w:tcBorders>
            <w:shd w:val="clear" w:color="auto" w:fill="auto"/>
            <w:noWrap/>
            <w:vAlign w:val="center"/>
          </w:tcPr>
          <w:p w14:paraId="568D3456">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0.866-1.379</w:t>
            </w:r>
          </w:p>
        </w:tc>
        <w:tc>
          <w:tcPr>
            <w:tcW w:w="1017" w:type="dxa"/>
            <w:tcBorders>
              <w:top w:val="nil"/>
              <w:left w:val="nil"/>
              <w:bottom w:val="nil"/>
              <w:right w:val="nil"/>
            </w:tcBorders>
            <w:shd w:val="clear" w:color="auto" w:fill="auto"/>
            <w:noWrap/>
            <w:vAlign w:val="center"/>
          </w:tcPr>
          <w:p w14:paraId="1F25AA34">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0.454</w:t>
            </w:r>
          </w:p>
        </w:tc>
        <w:tc>
          <w:tcPr>
            <w:tcW w:w="946" w:type="dxa"/>
            <w:tcBorders>
              <w:top w:val="nil"/>
              <w:left w:val="nil"/>
              <w:bottom w:val="nil"/>
              <w:right w:val="nil"/>
            </w:tcBorders>
            <w:shd w:val="clear" w:color="auto" w:fill="auto"/>
            <w:noWrap/>
            <w:vAlign w:val="center"/>
          </w:tcPr>
          <w:p w14:paraId="2E1BC987">
            <w:pPr>
              <w:widowControl/>
              <w:jc w:val="center"/>
              <w:rPr>
                <w:rFonts w:hint="eastAsia" w:ascii="Times New Roman" w:hAnsi="Times New Roman" w:eastAsia="宋体" w:cs="Times New Roman"/>
                <w:color w:val="auto"/>
                <w:sz w:val="24"/>
                <w:szCs w:val="24"/>
                <w:lang w:val="en-US" w:eastAsia="zh-CN"/>
              </w:rPr>
            </w:pPr>
          </w:p>
        </w:tc>
        <w:tc>
          <w:tcPr>
            <w:tcW w:w="1509" w:type="dxa"/>
            <w:tcBorders>
              <w:top w:val="nil"/>
              <w:left w:val="nil"/>
              <w:bottom w:val="nil"/>
              <w:right w:val="nil"/>
            </w:tcBorders>
            <w:shd w:val="clear" w:color="auto" w:fill="auto"/>
            <w:noWrap/>
            <w:vAlign w:val="center"/>
          </w:tcPr>
          <w:p w14:paraId="1970C9A7">
            <w:pPr>
              <w:widowControl/>
              <w:jc w:val="center"/>
              <w:rPr>
                <w:rFonts w:hint="eastAsia" w:ascii="Times New Roman" w:hAnsi="Times New Roman" w:eastAsia="宋体" w:cs="Times New Roman"/>
                <w:color w:val="auto"/>
                <w:sz w:val="24"/>
                <w:szCs w:val="24"/>
                <w:lang w:val="en-US" w:eastAsia="zh-CN"/>
              </w:rPr>
            </w:pPr>
          </w:p>
        </w:tc>
        <w:tc>
          <w:tcPr>
            <w:tcW w:w="1015" w:type="dxa"/>
            <w:tcBorders>
              <w:top w:val="nil"/>
              <w:left w:val="nil"/>
              <w:bottom w:val="nil"/>
              <w:right w:val="nil"/>
            </w:tcBorders>
            <w:shd w:val="clear" w:color="auto" w:fill="auto"/>
            <w:noWrap/>
            <w:vAlign w:val="center"/>
          </w:tcPr>
          <w:p w14:paraId="44085726">
            <w:pPr>
              <w:widowControl/>
              <w:jc w:val="center"/>
              <w:rPr>
                <w:rFonts w:hint="eastAsia" w:ascii="Times New Roman" w:hAnsi="Times New Roman" w:eastAsia="宋体" w:cs="Times New Roman"/>
                <w:color w:val="auto"/>
                <w:sz w:val="24"/>
                <w:szCs w:val="24"/>
                <w:lang w:val="en-US" w:eastAsia="zh-CN"/>
              </w:rPr>
            </w:pPr>
          </w:p>
        </w:tc>
        <w:tc>
          <w:tcPr>
            <w:tcW w:w="946" w:type="dxa"/>
            <w:tcBorders>
              <w:top w:val="nil"/>
              <w:left w:val="nil"/>
              <w:bottom w:val="nil"/>
              <w:right w:val="nil"/>
            </w:tcBorders>
            <w:shd w:val="clear" w:color="auto" w:fill="auto"/>
            <w:noWrap/>
            <w:vAlign w:val="center"/>
          </w:tcPr>
          <w:p w14:paraId="6A8A4D37">
            <w:pPr>
              <w:widowControl/>
              <w:jc w:val="center"/>
              <w:rPr>
                <w:rFonts w:hint="eastAsia" w:ascii="Times New Roman" w:hAnsi="Times New Roman" w:eastAsia="宋体" w:cs="Times New Roman"/>
                <w:color w:val="auto"/>
                <w:sz w:val="24"/>
                <w:szCs w:val="24"/>
                <w:lang w:val="en-US" w:eastAsia="zh-CN"/>
              </w:rPr>
            </w:pPr>
          </w:p>
        </w:tc>
        <w:tc>
          <w:tcPr>
            <w:tcW w:w="1509" w:type="dxa"/>
            <w:tcBorders>
              <w:top w:val="nil"/>
              <w:left w:val="nil"/>
              <w:bottom w:val="nil"/>
              <w:right w:val="nil"/>
            </w:tcBorders>
            <w:shd w:val="clear" w:color="auto" w:fill="auto"/>
            <w:noWrap/>
            <w:vAlign w:val="center"/>
          </w:tcPr>
          <w:p w14:paraId="74D25893">
            <w:pPr>
              <w:widowControl/>
              <w:jc w:val="center"/>
              <w:rPr>
                <w:color w:val="auto"/>
              </w:rPr>
            </w:pPr>
          </w:p>
        </w:tc>
        <w:tc>
          <w:tcPr>
            <w:tcW w:w="1015" w:type="dxa"/>
            <w:tcBorders>
              <w:top w:val="nil"/>
              <w:left w:val="nil"/>
              <w:bottom w:val="nil"/>
              <w:right w:val="nil"/>
            </w:tcBorders>
            <w:shd w:val="clear" w:color="auto" w:fill="auto"/>
            <w:noWrap/>
            <w:vAlign w:val="center"/>
          </w:tcPr>
          <w:p w14:paraId="7052FC15">
            <w:pPr>
              <w:widowControl/>
              <w:jc w:val="center"/>
              <w:rPr>
                <w:color w:val="auto"/>
              </w:rPr>
            </w:pPr>
          </w:p>
        </w:tc>
      </w:tr>
      <w:tr w14:paraId="5442C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492" w:type="dxa"/>
            <w:tcBorders>
              <w:top w:val="nil"/>
              <w:left w:val="nil"/>
              <w:bottom w:val="nil"/>
              <w:right w:val="nil"/>
            </w:tcBorders>
            <w:shd w:val="clear" w:color="auto" w:fill="auto"/>
            <w:noWrap/>
            <w:vAlign w:val="center"/>
          </w:tcPr>
          <w:p w14:paraId="46F7D75E">
            <w:pPr>
              <w:widowControl/>
              <w:jc w:val="both"/>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APRI</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1.5</w:t>
            </w:r>
          </w:p>
        </w:tc>
        <w:tc>
          <w:tcPr>
            <w:tcW w:w="900" w:type="dxa"/>
            <w:tcBorders>
              <w:top w:val="nil"/>
              <w:left w:val="nil"/>
              <w:bottom w:val="nil"/>
              <w:right w:val="nil"/>
            </w:tcBorders>
            <w:shd w:val="clear" w:color="auto" w:fill="auto"/>
            <w:noWrap/>
            <w:vAlign w:val="center"/>
          </w:tcPr>
          <w:p w14:paraId="03E38475">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0.981</w:t>
            </w:r>
          </w:p>
        </w:tc>
        <w:tc>
          <w:tcPr>
            <w:tcW w:w="1560" w:type="dxa"/>
            <w:tcBorders>
              <w:top w:val="nil"/>
              <w:left w:val="nil"/>
              <w:bottom w:val="nil"/>
              <w:right w:val="nil"/>
            </w:tcBorders>
            <w:shd w:val="clear" w:color="auto" w:fill="auto"/>
            <w:noWrap/>
            <w:vAlign w:val="center"/>
          </w:tcPr>
          <w:p w14:paraId="203BA768">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0.862-1.116</w:t>
            </w:r>
          </w:p>
        </w:tc>
        <w:tc>
          <w:tcPr>
            <w:tcW w:w="1017" w:type="dxa"/>
            <w:tcBorders>
              <w:top w:val="nil"/>
              <w:left w:val="nil"/>
              <w:bottom w:val="nil"/>
              <w:right w:val="nil"/>
            </w:tcBorders>
            <w:shd w:val="clear" w:color="auto" w:fill="auto"/>
            <w:noWrap/>
            <w:vAlign w:val="center"/>
          </w:tcPr>
          <w:p w14:paraId="602CE733">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0.771</w:t>
            </w:r>
          </w:p>
        </w:tc>
        <w:tc>
          <w:tcPr>
            <w:tcW w:w="946" w:type="dxa"/>
            <w:tcBorders>
              <w:top w:val="nil"/>
              <w:left w:val="nil"/>
              <w:bottom w:val="nil"/>
              <w:right w:val="nil"/>
            </w:tcBorders>
            <w:shd w:val="clear" w:color="auto" w:fill="auto"/>
            <w:noWrap/>
            <w:vAlign w:val="center"/>
          </w:tcPr>
          <w:p w14:paraId="26600378">
            <w:pPr>
              <w:widowControl/>
              <w:jc w:val="center"/>
              <w:rPr>
                <w:rFonts w:hint="eastAsia" w:ascii="Times New Roman" w:hAnsi="Times New Roman" w:eastAsia="宋体" w:cs="Times New Roman"/>
                <w:color w:val="auto"/>
                <w:sz w:val="24"/>
                <w:szCs w:val="24"/>
                <w:lang w:val="en-US" w:eastAsia="zh-CN"/>
              </w:rPr>
            </w:pPr>
          </w:p>
        </w:tc>
        <w:tc>
          <w:tcPr>
            <w:tcW w:w="1509" w:type="dxa"/>
            <w:tcBorders>
              <w:top w:val="nil"/>
              <w:left w:val="nil"/>
              <w:bottom w:val="nil"/>
              <w:right w:val="nil"/>
            </w:tcBorders>
            <w:shd w:val="clear" w:color="auto" w:fill="auto"/>
            <w:noWrap/>
            <w:vAlign w:val="center"/>
          </w:tcPr>
          <w:p w14:paraId="659644CB">
            <w:pPr>
              <w:widowControl/>
              <w:jc w:val="center"/>
              <w:rPr>
                <w:rFonts w:hint="eastAsia" w:ascii="Times New Roman" w:hAnsi="Times New Roman" w:eastAsia="宋体" w:cs="Times New Roman"/>
                <w:color w:val="auto"/>
                <w:sz w:val="24"/>
                <w:szCs w:val="24"/>
                <w:lang w:val="en-US" w:eastAsia="zh-CN"/>
              </w:rPr>
            </w:pPr>
          </w:p>
        </w:tc>
        <w:tc>
          <w:tcPr>
            <w:tcW w:w="1015" w:type="dxa"/>
            <w:tcBorders>
              <w:top w:val="nil"/>
              <w:left w:val="nil"/>
              <w:bottom w:val="nil"/>
              <w:right w:val="nil"/>
            </w:tcBorders>
            <w:shd w:val="clear" w:color="auto" w:fill="auto"/>
            <w:noWrap/>
            <w:vAlign w:val="center"/>
          </w:tcPr>
          <w:p w14:paraId="7CB5D0B5">
            <w:pPr>
              <w:widowControl/>
              <w:jc w:val="center"/>
              <w:rPr>
                <w:rFonts w:hint="eastAsia" w:ascii="Times New Roman" w:hAnsi="Times New Roman" w:eastAsia="宋体" w:cs="Times New Roman"/>
                <w:color w:val="auto"/>
                <w:sz w:val="24"/>
                <w:szCs w:val="24"/>
                <w:lang w:val="en-US" w:eastAsia="zh-CN"/>
              </w:rPr>
            </w:pPr>
          </w:p>
        </w:tc>
        <w:tc>
          <w:tcPr>
            <w:tcW w:w="946" w:type="dxa"/>
            <w:tcBorders>
              <w:top w:val="nil"/>
              <w:left w:val="nil"/>
              <w:bottom w:val="nil"/>
              <w:right w:val="nil"/>
            </w:tcBorders>
            <w:shd w:val="clear" w:color="auto" w:fill="auto"/>
            <w:noWrap/>
            <w:vAlign w:val="center"/>
          </w:tcPr>
          <w:p w14:paraId="28E03401">
            <w:pPr>
              <w:widowControl/>
              <w:jc w:val="center"/>
              <w:rPr>
                <w:rFonts w:hint="eastAsia" w:ascii="Times New Roman" w:hAnsi="Times New Roman" w:eastAsia="宋体" w:cs="Times New Roman"/>
                <w:color w:val="auto"/>
                <w:sz w:val="24"/>
                <w:szCs w:val="24"/>
                <w:lang w:val="en-US" w:eastAsia="zh-CN"/>
              </w:rPr>
            </w:pPr>
          </w:p>
        </w:tc>
        <w:tc>
          <w:tcPr>
            <w:tcW w:w="1509" w:type="dxa"/>
            <w:tcBorders>
              <w:top w:val="nil"/>
              <w:left w:val="nil"/>
              <w:bottom w:val="nil"/>
              <w:right w:val="nil"/>
            </w:tcBorders>
            <w:shd w:val="clear" w:color="auto" w:fill="auto"/>
            <w:noWrap/>
            <w:vAlign w:val="center"/>
          </w:tcPr>
          <w:p w14:paraId="5DE8DB8D">
            <w:pPr>
              <w:widowControl/>
              <w:jc w:val="center"/>
              <w:rPr>
                <w:color w:val="auto"/>
              </w:rPr>
            </w:pPr>
          </w:p>
        </w:tc>
        <w:tc>
          <w:tcPr>
            <w:tcW w:w="1015" w:type="dxa"/>
            <w:tcBorders>
              <w:top w:val="nil"/>
              <w:left w:val="nil"/>
              <w:bottom w:val="nil"/>
              <w:right w:val="nil"/>
            </w:tcBorders>
            <w:shd w:val="clear" w:color="auto" w:fill="auto"/>
            <w:noWrap/>
            <w:vAlign w:val="center"/>
          </w:tcPr>
          <w:p w14:paraId="4215CE89">
            <w:pPr>
              <w:widowControl/>
              <w:jc w:val="center"/>
              <w:rPr>
                <w:color w:val="auto"/>
              </w:rPr>
            </w:pPr>
          </w:p>
        </w:tc>
      </w:tr>
      <w:tr w14:paraId="7A8C4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492" w:type="dxa"/>
            <w:tcBorders>
              <w:top w:val="nil"/>
              <w:left w:val="nil"/>
              <w:bottom w:val="nil"/>
              <w:right w:val="nil"/>
            </w:tcBorders>
            <w:shd w:val="clear" w:color="auto" w:fill="auto"/>
            <w:noWrap/>
            <w:vAlign w:val="center"/>
          </w:tcPr>
          <w:p w14:paraId="32DCAF2A">
            <w:pPr>
              <w:widowControl/>
              <w:jc w:val="both"/>
              <w:rPr>
                <w:rFonts w:hint="default" w:ascii="Times New Roman" w:hAnsi="Times New Roman" w:eastAsia="宋体" w:cs="Times New Roman"/>
                <w:color w:val="auto"/>
                <w:sz w:val="24"/>
                <w:szCs w:val="24"/>
                <w:lang w:val="en-US"/>
              </w:rPr>
            </w:pPr>
            <w:r>
              <w:rPr>
                <w:rFonts w:hint="eastAsia" w:ascii="Times New Roman" w:hAnsi="Times New Roman" w:eastAsia="宋体" w:cs="Times New Roman"/>
                <w:color w:val="auto"/>
                <w:sz w:val="24"/>
                <w:szCs w:val="24"/>
                <w:lang w:val="en-US" w:eastAsia="zh-CN"/>
              </w:rPr>
              <w:t>AFP-FIB-4 score 2</w:t>
            </w:r>
          </w:p>
        </w:tc>
        <w:tc>
          <w:tcPr>
            <w:tcW w:w="900" w:type="dxa"/>
            <w:tcBorders>
              <w:top w:val="nil"/>
              <w:left w:val="nil"/>
              <w:bottom w:val="nil"/>
              <w:right w:val="nil"/>
            </w:tcBorders>
            <w:shd w:val="clear" w:color="auto" w:fill="auto"/>
            <w:noWrap/>
            <w:vAlign w:val="center"/>
          </w:tcPr>
          <w:p w14:paraId="0EC6ACB0">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1.428</w:t>
            </w:r>
          </w:p>
        </w:tc>
        <w:tc>
          <w:tcPr>
            <w:tcW w:w="1560" w:type="dxa"/>
            <w:tcBorders>
              <w:top w:val="nil"/>
              <w:left w:val="nil"/>
              <w:bottom w:val="nil"/>
              <w:right w:val="nil"/>
            </w:tcBorders>
            <w:shd w:val="clear" w:color="auto" w:fill="auto"/>
            <w:noWrap/>
            <w:vAlign w:val="center"/>
          </w:tcPr>
          <w:p w14:paraId="56D08018">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1.274-1.602</w:t>
            </w:r>
          </w:p>
        </w:tc>
        <w:tc>
          <w:tcPr>
            <w:tcW w:w="1017" w:type="dxa"/>
            <w:tcBorders>
              <w:top w:val="nil"/>
              <w:left w:val="nil"/>
              <w:bottom w:val="nil"/>
              <w:right w:val="nil"/>
            </w:tcBorders>
            <w:shd w:val="clear" w:color="auto" w:fill="auto"/>
            <w:noWrap/>
            <w:vAlign w:val="center"/>
          </w:tcPr>
          <w:p w14:paraId="434DA970">
            <w:pPr>
              <w:widowControl/>
              <w:jc w:val="center"/>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b/>
                <w:bCs/>
                <w:color w:val="auto"/>
                <w:sz w:val="24"/>
                <w:szCs w:val="24"/>
              </w:rPr>
              <w:t>&lt;0.001</w:t>
            </w:r>
          </w:p>
        </w:tc>
        <w:tc>
          <w:tcPr>
            <w:tcW w:w="946" w:type="dxa"/>
            <w:tcBorders>
              <w:top w:val="nil"/>
              <w:left w:val="nil"/>
              <w:bottom w:val="nil"/>
              <w:right w:val="nil"/>
            </w:tcBorders>
            <w:shd w:val="clear" w:color="auto" w:fill="auto"/>
            <w:noWrap/>
            <w:vAlign w:val="center"/>
          </w:tcPr>
          <w:p w14:paraId="0BD92E10">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 xml:space="preserve"> </w:t>
            </w:r>
          </w:p>
        </w:tc>
        <w:tc>
          <w:tcPr>
            <w:tcW w:w="1509" w:type="dxa"/>
            <w:tcBorders>
              <w:top w:val="nil"/>
              <w:left w:val="nil"/>
              <w:bottom w:val="nil"/>
              <w:right w:val="nil"/>
            </w:tcBorders>
            <w:shd w:val="clear" w:color="auto" w:fill="auto"/>
            <w:noWrap/>
            <w:vAlign w:val="center"/>
          </w:tcPr>
          <w:p w14:paraId="631AB92B">
            <w:pPr>
              <w:widowControl/>
              <w:jc w:val="center"/>
              <w:rPr>
                <w:rFonts w:hint="default" w:ascii="Times New Roman" w:hAnsi="Times New Roman" w:eastAsia="宋体" w:cs="Times New Roman"/>
                <w:color w:val="auto"/>
                <w:sz w:val="24"/>
                <w:szCs w:val="24"/>
                <w:lang w:val="en-US" w:eastAsia="zh-CN"/>
              </w:rPr>
            </w:pPr>
          </w:p>
        </w:tc>
        <w:tc>
          <w:tcPr>
            <w:tcW w:w="1015" w:type="dxa"/>
            <w:tcBorders>
              <w:top w:val="nil"/>
              <w:left w:val="nil"/>
              <w:bottom w:val="nil"/>
              <w:right w:val="nil"/>
            </w:tcBorders>
            <w:shd w:val="clear" w:color="auto" w:fill="auto"/>
            <w:noWrap/>
            <w:vAlign w:val="center"/>
          </w:tcPr>
          <w:p w14:paraId="07567A83">
            <w:pPr>
              <w:widowControl/>
              <w:jc w:val="center"/>
              <w:rPr>
                <w:rFonts w:hint="default" w:ascii="Times New Roman" w:hAnsi="Times New Roman" w:eastAsia="宋体" w:cs="Times New Roman"/>
                <w:color w:val="auto"/>
                <w:sz w:val="24"/>
                <w:szCs w:val="24"/>
                <w:lang w:val="en-US" w:eastAsia="zh-CN"/>
              </w:rPr>
            </w:pPr>
          </w:p>
        </w:tc>
        <w:tc>
          <w:tcPr>
            <w:tcW w:w="946" w:type="dxa"/>
            <w:tcBorders>
              <w:top w:val="nil"/>
              <w:left w:val="nil"/>
              <w:bottom w:val="nil"/>
              <w:right w:val="nil"/>
            </w:tcBorders>
            <w:shd w:val="clear" w:color="auto" w:fill="auto"/>
            <w:noWrap/>
            <w:vAlign w:val="center"/>
          </w:tcPr>
          <w:p w14:paraId="1EE8245E">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1.404</w:t>
            </w:r>
          </w:p>
        </w:tc>
        <w:tc>
          <w:tcPr>
            <w:tcW w:w="1509" w:type="dxa"/>
            <w:tcBorders>
              <w:top w:val="nil"/>
              <w:left w:val="nil"/>
              <w:bottom w:val="nil"/>
              <w:right w:val="nil"/>
            </w:tcBorders>
            <w:shd w:val="clear" w:color="auto" w:fill="auto"/>
            <w:noWrap/>
            <w:vAlign w:val="center"/>
          </w:tcPr>
          <w:p w14:paraId="5DB65D95">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1.204-1.638</w:t>
            </w:r>
          </w:p>
        </w:tc>
        <w:tc>
          <w:tcPr>
            <w:tcW w:w="1015" w:type="dxa"/>
            <w:tcBorders>
              <w:top w:val="nil"/>
              <w:left w:val="nil"/>
              <w:bottom w:val="nil"/>
              <w:right w:val="nil"/>
            </w:tcBorders>
            <w:shd w:val="clear" w:color="auto" w:fill="auto"/>
            <w:noWrap/>
            <w:vAlign w:val="center"/>
          </w:tcPr>
          <w:p w14:paraId="0D621140">
            <w:pPr>
              <w:widowControl/>
              <w:jc w:val="center"/>
              <w:rPr>
                <w:color w:val="auto"/>
              </w:rPr>
            </w:pPr>
            <w:r>
              <w:rPr>
                <w:rFonts w:hint="default" w:ascii="Times New Roman" w:hAnsi="Times New Roman" w:eastAsia="宋体" w:cs="Times New Roman"/>
                <w:b/>
                <w:bCs/>
                <w:color w:val="auto"/>
                <w:sz w:val="24"/>
                <w:szCs w:val="24"/>
              </w:rPr>
              <w:t>&lt;0.001</w:t>
            </w:r>
          </w:p>
        </w:tc>
      </w:tr>
      <w:tr w14:paraId="5F293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492" w:type="dxa"/>
            <w:tcBorders>
              <w:top w:val="nil"/>
              <w:left w:val="nil"/>
              <w:bottom w:val="nil"/>
              <w:right w:val="nil"/>
            </w:tcBorders>
            <w:shd w:val="clear" w:color="auto" w:fill="auto"/>
            <w:noWrap/>
            <w:vAlign w:val="center"/>
          </w:tcPr>
          <w:p w14:paraId="209773E9">
            <w:pPr>
              <w:widowControl/>
              <w:jc w:val="both"/>
              <w:rPr>
                <w:rFonts w:hint="eastAsia"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FIB-4</w:t>
            </w:r>
            <w:r>
              <w:rPr>
                <w:rFonts w:hint="default" w:ascii="Times New Roman" w:hAnsi="Times New Roman" w:eastAsia="AdvPTimes" w:cs="Times New Roman"/>
                <w:color w:val="auto"/>
                <w:sz w:val="24"/>
                <w:szCs w:val="24"/>
              </w:rPr>
              <w:t>≥</w:t>
            </w:r>
            <w:r>
              <w:rPr>
                <w:rFonts w:hint="default" w:ascii="Times New Roman" w:hAnsi="Times New Roman" w:eastAsia="宋体" w:cs="Times New Roman"/>
                <w:color w:val="auto"/>
                <w:sz w:val="24"/>
                <w:szCs w:val="24"/>
              </w:rPr>
              <w:t>3.0</w:t>
            </w:r>
          </w:p>
        </w:tc>
        <w:tc>
          <w:tcPr>
            <w:tcW w:w="900" w:type="dxa"/>
            <w:tcBorders>
              <w:top w:val="nil"/>
              <w:left w:val="nil"/>
              <w:bottom w:val="nil"/>
              <w:right w:val="nil"/>
            </w:tcBorders>
            <w:shd w:val="clear" w:color="auto" w:fill="auto"/>
            <w:noWrap/>
            <w:vAlign w:val="center"/>
          </w:tcPr>
          <w:p w14:paraId="0E9D6BA3">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1.211</w:t>
            </w:r>
          </w:p>
        </w:tc>
        <w:tc>
          <w:tcPr>
            <w:tcW w:w="1560" w:type="dxa"/>
            <w:tcBorders>
              <w:top w:val="nil"/>
              <w:left w:val="nil"/>
              <w:bottom w:val="nil"/>
              <w:right w:val="nil"/>
            </w:tcBorders>
            <w:shd w:val="clear" w:color="auto" w:fill="auto"/>
            <w:noWrap/>
            <w:vAlign w:val="center"/>
          </w:tcPr>
          <w:p w14:paraId="4AE8AECC">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1.025-1.431</w:t>
            </w:r>
          </w:p>
        </w:tc>
        <w:tc>
          <w:tcPr>
            <w:tcW w:w="1017" w:type="dxa"/>
            <w:tcBorders>
              <w:top w:val="nil"/>
              <w:left w:val="nil"/>
              <w:bottom w:val="nil"/>
              <w:right w:val="nil"/>
            </w:tcBorders>
            <w:shd w:val="clear" w:color="auto" w:fill="auto"/>
            <w:noWrap/>
            <w:vAlign w:val="center"/>
          </w:tcPr>
          <w:p w14:paraId="3325534B">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b/>
                <w:bCs/>
                <w:color w:val="auto"/>
                <w:sz w:val="24"/>
                <w:szCs w:val="24"/>
                <w:lang w:val="en-US" w:eastAsia="zh-CN"/>
              </w:rPr>
              <w:t>0.024</w:t>
            </w:r>
          </w:p>
        </w:tc>
        <w:tc>
          <w:tcPr>
            <w:tcW w:w="946" w:type="dxa"/>
            <w:tcBorders>
              <w:top w:val="nil"/>
              <w:left w:val="nil"/>
              <w:bottom w:val="nil"/>
              <w:right w:val="nil"/>
            </w:tcBorders>
            <w:shd w:val="clear" w:color="auto" w:fill="auto"/>
            <w:noWrap/>
            <w:vAlign w:val="center"/>
          </w:tcPr>
          <w:p w14:paraId="77149594">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0.944</w:t>
            </w:r>
          </w:p>
        </w:tc>
        <w:tc>
          <w:tcPr>
            <w:tcW w:w="1509" w:type="dxa"/>
            <w:tcBorders>
              <w:top w:val="nil"/>
              <w:left w:val="nil"/>
              <w:bottom w:val="nil"/>
              <w:right w:val="nil"/>
            </w:tcBorders>
            <w:shd w:val="clear" w:color="auto" w:fill="auto"/>
            <w:noWrap/>
            <w:vAlign w:val="center"/>
          </w:tcPr>
          <w:p w14:paraId="6ECA07AF">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0.723-1.233</w:t>
            </w:r>
          </w:p>
        </w:tc>
        <w:tc>
          <w:tcPr>
            <w:tcW w:w="1015" w:type="dxa"/>
            <w:tcBorders>
              <w:top w:val="nil"/>
              <w:left w:val="nil"/>
              <w:bottom w:val="nil"/>
              <w:right w:val="nil"/>
            </w:tcBorders>
            <w:shd w:val="clear" w:color="auto" w:fill="auto"/>
            <w:noWrap/>
            <w:vAlign w:val="center"/>
          </w:tcPr>
          <w:p w14:paraId="6FFAA29D">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0.674</w:t>
            </w:r>
          </w:p>
        </w:tc>
        <w:tc>
          <w:tcPr>
            <w:tcW w:w="946" w:type="dxa"/>
            <w:tcBorders>
              <w:top w:val="nil"/>
              <w:left w:val="nil"/>
              <w:bottom w:val="nil"/>
              <w:right w:val="nil"/>
            </w:tcBorders>
            <w:shd w:val="clear" w:color="auto" w:fill="auto"/>
            <w:noWrap/>
            <w:vAlign w:val="center"/>
          </w:tcPr>
          <w:p w14:paraId="107740D6">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0.954</w:t>
            </w:r>
          </w:p>
        </w:tc>
        <w:tc>
          <w:tcPr>
            <w:tcW w:w="1509" w:type="dxa"/>
            <w:tcBorders>
              <w:top w:val="nil"/>
              <w:left w:val="nil"/>
              <w:bottom w:val="nil"/>
              <w:right w:val="nil"/>
            </w:tcBorders>
            <w:shd w:val="clear" w:color="auto" w:fill="auto"/>
            <w:noWrap/>
            <w:vAlign w:val="center"/>
          </w:tcPr>
          <w:p w14:paraId="2F4FEED4">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0.733-1.24</w:t>
            </w:r>
          </w:p>
        </w:tc>
        <w:tc>
          <w:tcPr>
            <w:tcW w:w="1015" w:type="dxa"/>
            <w:tcBorders>
              <w:top w:val="nil"/>
              <w:left w:val="nil"/>
              <w:bottom w:val="nil"/>
              <w:right w:val="nil"/>
            </w:tcBorders>
            <w:shd w:val="clear" w:color="auto" w:fill="auto"/>
            <w:noWrap/>
            <w:vAlign w:val="center"/>
          </w:tcPr>
          <w:p w14:paraId="2B270D27">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0.724</w:t>
            </w:r>
          </w:p>
        </w:tc>
      </w:tr>
      <w:tr w14:paraId="54435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492" w:type="dxa"/>
            <w:tcBorders>
              <w:top w:val="nil"/>
              <w:left w:val="nil"/>
              <w:bottom w:val="nil"/>
              <w:right w:val="nil"/>
            </w:tcBorders>
            <w:shd w:val="clear" w:color="auto" w:fill="auto"/>
            <w:noWrap/>
            <w:vAlign w:val="center"/>
          </w:tcPr>
          <w:p w14:paraId="55B3B8EF">
            <w:pPr>
              <w:widowControl/>
              <w:jc w:val="both"/>
              <w:rPr>
                <w:rFonts w:hint="eastAsia"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AST</w:t>
            </w:r>
            <w:r>
              <w:rPr>
                <w:rFonts w:hint="default" w:ascii="Times New Roman" w:hAnsi="Times New Roman" w:eastAsia="AdvPTimes" w:cs="Times New Roman"/>
                <w:color w:val="auto"/>
                <w:sz w:val="24"/>
                <w:szCs w:val="24"/>
              </w:rPr>
              <w:t>≥</w:t>
            </w:r>
            <w:r>
              <w:rPr>
                <w:rFonts w:hint="default" w:ascii="Times New Roman" w:hAnsi="Times New Roman" w:eastAsia="宋体" w:cs="Times New Roman"/>
                <w:color w:val="auto"/>
                <w:sz w:val="24"/>
                <w:szCs w:val="24"/>
              </w:rPr>
              <w:t>80U/L</w:t>
            </w:r>
          </w:p>
        </w:tc>
        <w:tc>
          <w:tcPr>
            <w:tcW w:w="900" w:type="dxa"/>
            <w:tcBorders>
              <w:top w:val="nil"/>
              <w:left w:val="nil"/>
              <w:bottom w:val="nil"/>
              <w:right w:val="nil"/>
            </w:tcBorders>
            <w:shd w:val="clear" w:color="auto" w:fill="auto"/>
            <w:noWrap/>
            <w:vAlign w:val="center"/>
          </w:tcPr>
          <w:p w14:paraId="658BA41D">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1.290</w:t>
            </w:r>
          </w:p>
        </w:tc>
        <w:tc>
          <w:tcPr>
            <w:tcW w:w="1560" w:type="dxa"/>
            <w:tcBorders>
              <w:top w:val="nil"/>
              <w:left w:val="nil"/>
              <w:bottom w:val="nil"/>
              <w:right w:val="nil"/>
            </w:tcBorders>
            <w:shd w:val="clear" w:color="auto" w:fill="auto"/>
            <w:noWrap/>
            <w:vAlign w:val="center"/>
          </w:tcPr>
          <w:p w14:paraId="00BA3BDB">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1.048-1.588</w:t>
            </w:r>
          </w:p>
        </w:tc>
        <w:tc>
          <w:tcPr>
            <w:tcW w:w="1017" w:type="dxa"/>
            <w:tcBorders>
              <w:top w:val="nil"/>
              <w:left w:val="nil"/>
              <w:bottom w:val="nil"/>
              <w:right w:val="nil"/>
            </w:tcBorders>
            <w:shd w:val="clear" w:color="auto" w:fill="auto"/>
            <w:noWrap/>
            <w:vAlign w:val="center"/>
          </w:tcPr>
          <w:p w14:paraId="1A0D3BE3">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b/>
                <w:bCs/>
                <w:color w:val="auto"/>
                <w:sz w:val="24"/>
                <w:szCs w:val="24"/>
                <w:lang w:val="en-US" w:eastAsia="zh-CN"/>
              </w:rPr>
              <w:t>0.016</w:t>
            </w:r>
          </w:p>
        </w:tc>
        <w:tc>
          <w:tcPr>
            <w:tcW w:w="946" w:type="dxa"/>
            <w:tcBorders>
              <w:top w:val="nil"/>
              <w:left w:val="nil"/>
              <w:bottom w:val="nil"/>
              <w:right w:val="nil"/>
            </w:tcBorders>
            <w:shd w:val="clear" w:color="auto" w:fill="auto"/>
            <w:noWrap/>
            <w:vAlign w:val="center"/>
          </w:tcPr>
          <w:p w14:paraId="37D00B26">
            <w:pPr>
              <w:widowControl/>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w:t>
            </w:r>
            <w:r>
              <w:rPr>
                <w:rFonts w:hint="eastAsia" w:ascii="Times New Roman" w:hAnsi="Times New Roman" w:eastAsia="宋体" w:cs="Times New Roman"/>
                <w:color w:val="auto"/>
                <w:sz w:val="24"/>
                <w:szCs w:val="24"/>
                <w:lang w:val="en-US" w:eastAsia="zh-CN"/>
              </w:rPr>
              <w:t>.198</w:t>
            </w:r>
          </w:p>
        </w:tc>
        <w:tc>
          <w:tcPr>
            <w:tcW w:w="1509" w:type="dxa"/>
            <w:tcBorders>
              <w:top w:val="nil"/>
              <w:left w:val="nil"/>
              <w:bottom w:val="nil"/>
              <w:right w:val="nil"/>
            </w:tcBorders>
            <w:shd w:val="clear" w:color="auto" w:fill="auto"/>
            <w:noWrap/>
            <w:vAlign w:val="center"/>
          </w:tcPr>
          <w:p w14:paraId="027C67F1">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0.941-1.526</w:t>
            </w:r>
          </w:p>
        </w:tc>
        <w:tc>
          <w:tcPr>
            <w:tcW w:w="1015" w:type="dxa"/>
            <w:tcBorders>
              <w:top w:val="nil"/>
              <w:left w:val="nil"/>
              <w:bottom w:val="nil"/>
              <w:right w:val="nil"/>
            </w:tcBorders>
            <w:shd w:val="clear" w:color="auto" w:fill="auto"/>
            <w:noWrap/>
            <w:vAlign w:val="center"/>
          </w:tcPr>
          <w:p w14:paraId="67E65C39">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0.143</w:t>
            </w:r>
          </w:p>
        </w:tc>
        <w:tc>
          <w:tcPr>
            <w:tcW w:w="946" w:type="dxa"/>
            <w:tcBorders>
              <w:top w:val="nil"/>
              <w:left w:val="nil"/>
              <w:bottom w:val="nil"/>
              <w:right w:val="nil"/>
            </w:tcBorders>
            <w:shd w:val="clear" w:color="auto" w:fill="auto"/>
            <w:noWrap/>
            <w:vAlign w:val="center"/>
          </w:tcPr>
          <w:p w14:paraId="2623F623">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0.983</w:t>
            </w:r>
          </w:p>
        </w:tc>
        <w:tc>
          <w:tcPr>
            <w:tcW w:w="1509" w:type="dxa"/>
            <w:tcBorders>
              <w:top w:val="nil"/>
              <w:left w:val="nil"/>
              <w:bottom w:val="nil"/>
              <w:right w:val="nil"/>
            </w:tcBorders>
            <w:shd w:val="clear" w:color="auto" w:fill="auto"/>
            <w:noWrap/>
            <w:vAlign w:val="center"/>
          </w:tcPr>
          <w:p w14:paraId="24D88353">
            <w:pPr>
              <w:widowControl/>
              <w:jc w:val="center"/>
              <w:rPr>
                <w:color w:val="auto"/>
              </w:rPr>
            </w:pPr>
            <w:r>
              <w:rPr>
                <w:rFonts w:hint="eastAsia" w:ascii="Times New Roman" w:hAnsi="Times New Roman" w:eastAsia="宋体" w:cs="Times New Roman"/>
                <w:color w:val="auto"/>
                <w:sz w:val="24"/>
                <w:szCs w:val="24"/>
                <w:lang w:val="en-US" w:eastAsia="zh-CN"/>
              </w:rPr>
              <w:t>0.767-1.26</w:t>
            </w:r>
          </w:p>
        </w:tc>
        <w:tc>
          <w:tcPr>
            <w:tcW w:w="1015" w:type="dxa"/>
            <w:tcBorders>
              <w:top w:val="nil"/>
              <w:left w:val="nil"/>
              <w:bottom w:val="nil"/>
              <w:right w:val="nil"/>
            </w:tcBorders>
            <w:shd w:val="clear" w:color="auto" w:fill="auto"/>
            <w:noWrap/>
            <w:vAlign w:val="center"/>
          </w:tcPr>
          <w:p w14:paraId="3030AFFE">
            <w:pPr>
              <w:widowControl/>
              <w:jc w:val="center"/>
              <w:rPr>
                <w:color w:val="auto"/>
              </w:rPr>
            </w:pPr>
            <w:r>
              <w:rPr>
                <w:rFonts w:hint="eastAsia" w:ascii="Times New Roman" w:hAnsi="Times New Roman" w:eastAsia="宋体" w:cs="Times New Roman"/>
                <w:color w:val="auto"/>
                <w:sz w:val="24"/>
                <w:szCs w:val="24"/>
                <w:lang w:val="en-US" w:eastAsia="zh-CN"/>
              </w:rPr>
              <w:t>0.893</w:t>
            </w:r>
          </w:p>
        </w:tc>
      </w:tr>
      <w:tr w14:paraId="5B44C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492" w:type="dxa"/>
            <w:tcBorders>
              <w:top w:val="nil"/>
              <w:left w:val="nil"/>
              <w:bottom w:val="nil"/>
              <w:right w:val="nil"/>
            </w:tcBorders>
            <w:shd w:val="clear" w:color="auto" w:fill="auto"/>
            <w:noWrap/>
            <w:vAlign w:val="center"/>
          </w:tcPr>
          <w:p w14:paraId="73C283D9">
            <w:pPr>
              <w:widowControl/>
              <w:jc w:val="both"/>
              <w:rPr>
                <w:rFonts w:hint="eastAsia"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ALT</w:t>
            </w:r>
            <w:r>
              <w:rPr>
                <w:rFonts w:hint="default" w:ascii="Times New Roman" w:hAnsi="Times New Roman" w:eastAsia="AdvPTimes" w:cs="Times New Roman"/>
                <w:color w:val="auto"/>
                <w:sz w:val="24"/>
                <w:szCs w:val="24"/>
              </w:rPr>
              <w:t>≥</w:t>
            </w:r>
            <w:r>
              <w:rPr>
                <w:rFonts w:hint="default" w:ascii="Times New Roman" w:hAnsi="Times New Roman" w:eastAsia="宋体" w:cs="Times New Roman"/>
                <w:color w:val="auto"/>
                <w:sz w:val="24"/>
                <w:szCs w:val="24"/>
              </w:rPr>
              <w:t>80U/L</w:t>
            </w:r>
          </w:p>
        </w:tc>
        <w:tc>
          <w:tcPr>
            <w:tcW w:w="900" w:type="dxa"/>
            <w:tcBorders>
              <w:top w:val="nil"/>
              <w:left w:val="nil"/>
              <w:bottom w:val="nil"/>
              <w:right w:val="nil"/>
            </w:tcBorders>
            <w:shd w:val="clear" w:color="auto" w:fill="auto"/>
            <w:noWrap/>
            <w:vAlign w:val="center"/>
          </w:tcPr>
          <w:p w14:paraId="6BFF1C62">
            <w:pPr>
              <w:widowControl/>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szCs w:val="24"/>
                <w:lang w:val="en-US" w:eastAsia="zh-CN"/>
              </w:rPr>
              <w:t>0.954</w:t>
            </w:r>
          </w:p>
        </w:tc>
        <w:tc>
          <w:tcPr>
            <w:tcW w:w="1560" w:type="dxa"/>
            <w:tcBorders>
              <w:top w:val="nil"/>
              <w:left w:val="nil"/>
              <w:bottom w:val="nil"/>
              <w:right w:val="nil"/>
            </w:tcBorders>
            <w:shd w:val="clear" w:color="auto" w:fill="auto"/>
            <w:noWrap/>
            <w:vAlign w:val="center"/>
          </w:tcPr>
          <w:p w14:paraId="709369D6">
            <w:pPr>
              <w:widowControl/>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szCs w:val="24"/>
                <w:lang w:val="en-US" w:eastAsia="zh-CN"/>
              </w:rPr>
              <w:t>0.748-1.216</w:t>
            </w:r>
          </w:p>
        </w:tc>
        <w:tc>
          <w:tcPr>
            <w:tcW w:w="1017" w:type="dxa"/>
            <w:tcBorders>
              <w:top w:val="nil"/>
              <w:left w:val="nil"/>
              <w:bottom w:val="nil"/>
              <w:right w:val="nil"/>
            </w:tcBorders>
            <w:shd w:val="clear" w:color="auto" w:fill="auto"/>
            <w:noWrap/>
            <w:vAlign w:val="center"/>
          </w:tcPr>
          <w:p w14:paraId="7A82AD2A">
            <w:pPr>
              <w:widowControl/>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szCs w:val="24"/>
                <w:lang w:val="en-US" w:eastAsia="zh-CN"/>
              </w:rPr>
              <w:t>0.702</w:t>
            </w:r>
          </w:p>
        </w:tc>
        <w:tc>
          <w:tcPr>
            <w:tcW w:w="946" w:type="dxa"/>
            <w:tcBorders>
              <w:top w:val="nil"/>
              <w:left w:val="nil"/>
              <w:bottom w:val="nil"/>
              <w:right w:val="nil"/>
            </w:tcBorders>
            <w:shd w:val="clear" w:color="auto" w:fill="auto"/>
            <w:noWrap/>
            <w:vAlign w:val="center"/>
          </w:tcPr>
          <w:p w14:paraId="05AEF64A">
            <w:pPr>
              <w:widowControl/>
              <w:jc w:val="center"/>
              <w:rPr>
                <w:rFonts w:hint="eastAsia" w:ascii="Times New Roman" w:hAnsi="Times New Roman" w:eastAsia="宋体" w:cs="Times New Roman"/>
                <w:color w:val="auto"/>
                <w:sz w:val="24"/>
                <w:szCs w:val="24"/>
                <w:lang w:val="en-US" w:eastAsia="zh-CN"/>
              </w:rPr>
            </w:pPr>
          </w:p>
        </w:tc>
        <w:tc>
          <w:tcPr>
            <w:tcW w:w="1509" w:type="dxa"/>
            <w:tcBorders>
              <w:top w:val="nil"/>
              <w:left w:val="nil"/>
              <w:bottom w:val="nil"/>
              <w:right w:val="nil"/>
            </w:tcBorders>
            <w:shd w:val="clear" w:color="auto" w:fill="auto"/>
            <w:noWrap/>
            <w:vAlign w:val="center"/>
          </w:tcPr>
          <w:p w14:paraId="014C4657">
            <w:pPr>
              <w:widowControl/>
              <w:jc w:val="center"/>
              <w:rPr>
                <w:rFonts w:hint="eastAsia" w:ascii="Times New Roman" w:hAnsi="Times New Roman" w:eastAsia="宋体" w:cs="Times New Roman"/>
                <w:color w:val="auto"/>
                <w:sz w:val="24"/>
                <w:szCs w:val="24"/>
                <w:lang w:val="en-US" w:eastAsia="zh-CN"/>
              </w:rPr>
            </w:pPr>
          </w:p>
        </w:tc>
        <w:tc>
          <w:tcPr>
            <w:tcW w:w="1015" w:type="dxa"/>
            <w:tcBorders>
              <w:top w:val="nil"/>
              <w:left w:val="nil"/>
              <w:bottom w:val="nil"/>
              <w:right w:val="nil"/>
            </w:tcBorders>
            <w:shd w:val="clear" w:color="auto" w:fill="auto"/>
            <w:noWrap/>
            <w:vAlign w:val="center"/>
          </w:tcPr>
          <w:p w14:paraId="2BE143C6">
            <w:pPr>
              <w:widowControl/>
              <w:jc w:val="center"/>
              <w:rPr>
                <w:rFonts w:hint="eastAsia" w:ascii="Times New Roman" w:hAnsi="Times New Roman" w:eastAsia="宋体" w:cs="Times New Roman"/>
                <w:color w:val="auto"/>
                <w:kern w:val="2"/>
                <w:sz w:val="24"/>
                <w:szCs w:val="24"/>
                <w:lang w:val="en-US" w:eastAsia="zh-CN" w:bidi="ar-SA"/>
              </w:rPr>
            </w:pPr>
          </w:p>
        </w:tc>
        <w:tc>
          <w:tcPr>
            <w:tcW w:w="946" w:type="dxa"/>
            <w:tcBorders>
              <w:top w:val="nil"/>
              <w:left w:val="nil"/>
              <w:bottom w:val="nil"/>
              <w:right w:val="nil"/>
            </w:tcBorders>
            <w:shd w:val="clear" w:color="auto" w:fill="auto"/>
            <w:noWrap/>
            <w:vAlign w:val="center"/>
          </w:tcPr>
          <w:p w14:paraId="68874336">
            <w:pPr>
              <w:widowControl/>
              <w:jc w:val="center"/>
              <w:rPr>
                <w:rFonts w:hint="eastAsia" w:ascii="Times New Roman" w:hAnsi="Times New Roman" w:eastAsia="宋体" w:cs="Times New Roman"/>
                <w:color w:val="auto"/>
                <w:kern w:val="2"/>
                <w:sz w:val="24"/>
                <w:szCs w:val="24"/>
                <w:lang w:val="en-US" w:eastAsia="zh-CN" w:bidi="ar-SA"/>
              </w:rPr>
            </w:pPr>
          </w:p>
        </w:tc>
        <w:tc>
          <w:tcPr>
            <w:tcW w:w="1509" w:type="dxa"/>
            <w:tcBorders>
              <w:top w:val="nil"/>
              <w:left w:val="nil"/>
              <w:bottom w:val="nil"/>
              <w:right w:val="nil"/>
            </w:tcBorders>
            <w:shd w:val="clear" w:color="auto" w:fill="auto"/>
            <w:noWrap/>
            <w:vAlign w:val="center"/>
          </w:tcPr>
          <w:p w14:paraId="499CDA94">
            <w:pPr>
              <w:widowControl/>
              <w:jc w:val="center"/>
              <w:rPr>
                <w:color w:val="auto"/>
              </w:rPr>
            </w:pPr>
          </w:p>
        </w:tc>
        <w:tc>
          <w:tcPr>
            <w:tcW w:w="1015" w:type="dxa"/>
            <w:tcBorders>
              <w:top w:val="nil"/>
              <w:left w:val="nil"/>
              <w:bottom w:val="nil"/>
              <w:right w:val="nil"/>
            </w:tcBorders>
            <w:shd w:val="clear" w:color="auto" w:fill="auto"/>
            <w:noWrap/>
            <w:vAlign w:val="center"/>
          </w:tcPr>
          <w:p w14:paraId="55D1AE45">
            <w:pPr>
              <w:widowControl/>
              <w:jc w:val="center"/>
              <w:rPr>
                <w:color w:val="auto"/>
              </w:rPr>
            </w:pPr>
          </w:p>
        </w:tc>
      </w:tr>
      <w:tr w14:paraId="51A4B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492" w:type="dxa"/>
            <w:tcBorders>
              <w:top w:val="nil"/>
              <w:left w:val="nil"/>
              <w:bottom w:val="nil"/>
              <w:right w:val="nil"/>
            </w:tcBorders>
            <w:shd w:val="clear" w:color="auto" w:fill="auto"/>
            <w:noWrap/>
            <w:vAlign w:val="center"/>
          </w:tcPr>
          <w:p w14:paraId="635BBFAE">
            <w:pPr>
              <w:widowControl/>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AFP</w:t>
            </w:r>
            <w:r>
              <w:rPr>
                <w:rFonts w:hint="default" w:ascii="Times New Roman" w:hAnsi="Times New Roman" w:eastAsia="AdvPTimes" w:cs="Times New Roman"/>
                <w:color w:val="auto"/>
                <w:sz w:val="24"/>
                <w:szCs w:val="24"/>
              </w:rPr>
              <w:t>≥</w:t>
            </w:r>
            <w:r>
              <w:rPr>
                <w:rFonts w:hint="default" w:ascii="Times New Roman" w:hAnsi="Times New Roman" w:eastAsia="宋体" w:cs="Times New Roman"/>
                <w:color w:val="auto"/>
                <w:sz w:val="24"/>
                <w:szCs w:val="24"/>
              </w:rPr>
              <w:t>200 ng/mL</w:t>
            </w:r>
          </w:p>
        </w:tc>
        <w:tc>
          <w:tcPr>
            <w:tcW w:w="900" w:type="dxa"/>
            <w:tcBorders>
              <w:top w:val="nil"/>
              <w:left w:val="nil"/>
              <w:bottom w:val="nil"/>
              <w:right w:val="nil"/>
            </w:tcBorders>
            <w:shd w:val="clear" w:color="auto" w:fill="auto"/>
            <w:noWrap/>
            <w:vAlign w:val="top"/>
          </w:tcPr>
          <w:p w14:paraId="4D0A90BE">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1.575</w:t>
            </w:r>
          </w:p>
        </w:tc>
        <w:tc>
          <w:tcPr>
            <w:tcW w:w="1560" w:type="dxa"/>
            <w:tcBorders>
              <w:top w:val="nil"/>
              <w:left w:val="nil"/>
              <w:bottom w:val="nil"/>
              <w:right w:val="nil"/>
            </w:tcBorders>
            <w:shd w:val="clear" w:color="auto" w:fill="auto"/>
            <w:noWrap/>
            <w:vAlign w:val="top"/>
          </w:tcPr>
          <w:p w14:paraId="33C8BE16">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1.353-1.833</w:t>
            </w:r>
          </w:p>
        </w:tc>
        <w:tc>
          <w:tcPr>
            <w:tcW w:w="1017" w:type="dxa"/>
            <w:tcBorders>
              <w:top w:val="nil"/>
              <w:left w:val="nil"/>
              <w:bottom w:val="nil"/>
              <w:right w:val="nil"/>
            </w:tcBorders>
            <w:shd w:val="clear" w:color="auto" w:fill="auto"/>
            <w:noWrap/>
            <w:vAlign w:val="top"/>
          </w:tcPr>
          <w:p w14:paraId="0A083A49">
            <w:pPr>
              <w:rPr>
                <w:rFonts w:hint="eastAsia"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rPr>
              <w:t>&lt;0.001</w:t>
            </w:r>
          </w:p>
        </w:tc>
        <w:tc>
          <w:tcPr>
            <w:tcW w:w="946" w:type="dxa"/>
            <w:tcBorders>
              <w:top w:val="nil"/>
              <w:left w:val="nil"/>
              <w:bottom w:val="nil"/>
              <w:right w:val="nil"/>
            </w:tcBorders>
            <w:shd w:val="clear" w:color="auto" w:fill="auto"/>
            <w:noWrap/>
            <w:vAlign w:val="center"/>
          </w:tcPr>
          <w:p w14:paraId="2545F020">
            <w:pPr>
              <w:widowControl/>
              <w:jc w:val="center"/>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1.391</w:t>
            </w:r>
          </w:p>
        </w:tc>
        <w:tc>
          <w:tcPr>
            <w:tcW w:w="1509" w:type="dxa"/>
            <w:tcBorders>
              <w:top w:val="nil"/>
              <w:left w:val="nil"/>
              <w:bottom w:val="nil"/>
              <w:right w:val="nil"/>
            </w:tcBorders>
            <w:shd w:val="clear" w:color="auto" w:fill="auto"/>
            <w:noWrap/>
            <w:vAlign w:val="center"/>
          </w:tcPr>
          <w:p w14:paraId="646F8AC4">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1.193-1.623</w:t>
            </w:r>
          </w:p>
        </w:tc>
        <w:tc>
          <w:tcPr>
            <w:tcW w:w="1015" w:type="dxa"/>
            <w:tcBorders>
              <w:top w:val="nil"/>
              <w:left w:val="nil"/>
              <w:bottom w:val="nil"/>
              <w:right w:val="nil"/>
            </w:tcBorders>
            <w:shd w:val="clear" w:color="auto" w:fill="auto"/>
            <w:noWrap/>
            <w:vAlign w:val="center"/>
          </w:tcPr>
          <w:p w14:paraId="332B0B12">
            <w:pPr>
              <w:widowControl/>
              <w:jc w:val="center"/>
              <w:rPr>
                <w:rFonts w:hint="eastAsia"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b/>
                <w:bCs/>
                <w:color w:val="auto"/>
                <w:sz w:val="24"/>
                <w:szCs w:val="24"/>
              </w:rPr>
              <w:t>&lt;0.001</w:t>
            </w:r>
          </w:p>
        </w:tc>
        <w:tc>
          <w:tcPr>
            <w:tcW w:w="946" w:type="dxa"/>
            <w:tcBorders>
              <w:top w:val="nil"/>
              <w:left w:val="nil"/>
              <w:bottom w:val="nil"/>
              <w:right w:val="nil"/>
            </w:tcBorders>
            <w:shd w:val="clear" w:color="auto" w:fill="auto"/>
            <w:noWrap/>
            <w:vAlign w:val="center"/>
          </w:tcPr>
          <w:p w14:paraId="60FA2E29">
            <w:pPr>
              <w:widowControl/>
              <w:jc w:val="center"/>
              <w:rPr>
                <w:rFonts w:hint="eastAsia" w:ascii="Times New Roman" w:hAnsi="Times New Roman" w:eastAsia="宋体" w:cs="Times New Roman"/>
                <w:color w:val="auto"/>
                <w:kern w:val="2"/>
                <w:sz w:val="24"/>
                <w:szCs w:val="24"/>
                <w:lang w:val="en-US" w:eastAsia="zh-CN" w:bidi="ar-SA"/>
              </w:rPr>
            </w:pPr>
          </w:p>
        </w:tc>
        <w:tc>
          <w:tcPr>
            <w:tcW w:w="1509" w:type="dxa"/>
            <w:tcBorders>
              <w:top w:val="nil"/>
              <w:left w:val="nil"/>
              <w:bottom w:val="nil"/>
              <w:right w:val="nil"/>
            </w:tcBorders>
            <w:shd w:val="clear" w:color="auto" w:fill="auto"/>
            <w:noWrap/>
            <w:vAlign w:val="center"/>
          </w:tcPr>
          <w:p w14:paraId="58A7D18E">
            <w:pPr>
              <w:widowControl/>
              <w:jc w:val="center"/>
              <w:rPr>
                <w:color w:val="auto"/>
              </w:rPr>
            </w:pPr>
          </w:p>
        </w:tc>
        <w:tc>
          <w:tcPr>
            <w:tcW w:w="1015" w:type="dxa"/>
            <w:tcBorders>
              <w:top w:val="nil"/>
              <w:left w:val="nil"/>
              <w:bottom w:val="nil"/>
              <w:right w:val="nil"/>
            </w:tcBorders>
            <w:shd w:val="clear" w:color="auto" w:fill="auto"/>
            <w:noWrap/>
            <w:vAlign w:val="center"/>
          </w:tcPr>
          <w:p w14:paraId="3EB53CDC">
            <w:pPr>
              <w:widowControl/>
              <w:jc w:val="center"/>
              <w:rPr>
                <w:color w:val="auto"/>
              </w:rPr>
            </w:pPr>
          </w:p>
        </w:tc>
      </w:tr>
      <w:tr w14:paraId="04F47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492" w:type="dxa"/>
            <w:tcBorders>
              <w:top w:val="nil"/>
              <w:left w:val="nil"/>
              <w:bottom w:val="nil"/>
              <w:right w:val="nil"/>
            </w:tcBorders>
            <w:shd w:val="clear" w:color="auto" w:fill="auto"/>
            <w:noWrap/>
            <w:vAlign w:val="center"/>
          </w:tcPr>
          <w:p w14:paraId="6F5DC4C2">
            <w:pPr>
              <w:rPr>
                <w:rFonts w:hint="default" w:ascii="Times New Roman" w:hAnsi="Times New Roman" w:eastAsia="AdvPTimes" w:cs="Times New Roman"/>
                <w:color w:val="auto"/>
                <w:sz w:val="24"/>
                <w:szCs w:val="24"/>
              </w:rPr>
            </w:pPr>
            <w:r>
              <w:rPr>
                <w:rFonts w:hint="eastAsia" w:ascii="Times New Roman" w:hAnsi="Times New Roman" w:eastAsia="宋体" w:cs="Times New Roman"/>
                <w:color w:val="auto"/>
                <w:sz w:val="24"/>
                <w:szCs w:val="24"/>
                <w:lang w:eastAsia="zh-CN"/>
              </w:rPr>
              <w:t>Edmondson</w:t>
            </w:r>
            <w:r>
              <w:rPr>
                <w:rFonts w:hint="eastAsia" w:ascii="Times New Roman" w:hAnsi="Times New Roman" w:eastAsia="宋体" w:cs="Times New Roman"/>
                <w:color w:val="auto"/>
                <w:sz w:val="24"/>
                <w:szCs w:val="24"/>
                <w:lang w:val="en-US" w:eastAsia="zh-CN"/>
              </w:rPr>
              <w:t>-Steiner</w:t>
            </w:r>
            <w:r>
              <w:rPr>
                <w:rFonts w:hint="eastAsia" w:ascii="Times New Roman" w:hAnsi="Times New Roman" w:eastAsia="宋体" w:cs="Times New Roman"/>
                <w:color w:val="auto"/>
                <w:sz w:val="24"/>
                <w:szCs w:val="24"/>
              </w:rPr>
              <w:t xml:space="preserve"> grad</w:t>
            </w:r>
            <w:r>
              <w:rPr>
                <w:rFonts w:hint="eastAsia" w:ascii="Times New Roman" w:hAnsi="Times New Roman" w:eastAsia="宋体" w:cs="Times New Roman"/>
                <w:color w:val="auto"/>
                <w:sz w:val="24"/>
                <w:szCs w:val="24"/>
                <w:lang w:val="en-US" w:eastAsia="zh-CN"/>
              </w:rPr>
              <w:t>ing III-IV</w:t>
            </w:r>
          </w:p>
        </w:tc>
        <w:tc>
          <w:tcPr>
            <w:tcW w:w="900" w:type="dxa"/>
            <w:tcBorders>
              <w:top w:val="nil"/>
              <w:left w:val="nil"/>
              <w:bottom w:val="nil"/>
              <w:right w:val="nil"/>
            </w:tcBorders>
            <w:shd w:val="clear" w:color="auto" w:fill="auto"/>
            <w:noWrap/>
            <w:vAlign w:val="center"/>
          </w:tcPr>
          <w:p w14:paraId="1155B77A">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1.321</w:t>
            </w:r>
          </w:p>
        </w:tc>
        <w:tc>
          <w:tcPr>
            <w:tcW w:w="1560" w:type="dxa"/>
            <w:tcBorders>
              <w:top w:val="nil"/>
              <w:left w:val="nil"/>
              <w:bottom w:val="nil"/>
              <w:right w:val="nil"/>
            </w:tcBorders>
            <w:shd w:val="clear" w:color="auto" w:fill="auto"/>
            <w:noWrap/>
            <w:vAlign w:val="center"/>
          </w:tcPr>
          <w:p w14:paraId="5A3C05EB">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0.856-1.753</w:t>
            </w:r>
          </w:p>
        </w:tc>
        <w:tc>
          <w:tcPr>
            <w:tcW w:w="1017" w:type="dxa"/>
            <w:tcBorders>
              <w:top w:val="nil"/>
              <w:left w:val="nil"/>
              <w:bottom w:val="nil"/>
              <w:right w:val="nil"/>
            </w:tcBorders>
            <w:shd w:val="clear" w:color="auto" w:fill="auto"/>
            <w:noWrap/>
            <w:vAlign w:val="center"/>
          </w:tcPr>
          <w:p w14:paraId="07D1F01F">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0.372</w:t>
            </w:r>
          </w:p>
        </w:tc>
        <w:tc>
          <w:tcPr>
            <w:tcW w:w="946" w:type="dxa"/>
            <w:tcBorders>
              <w:top w:val="nil"/>
              <w:left w:val="nil"/>
              <w:bottom w:val="nil"/>
              <w:right w:val="nil"/>
            </w:tcBorders>
            <w:shd w:val="clear" w:color="auto" w:fill="auto"/>
            <w:noWrap/>
            <w:vAlign w:val="center"/>
          </w:tcPr>
          <w:p w14:paraId="1F55B89B">
            <w:pPr>
              <w:widowControl/>
              <w:jc w:val="center"/>
              <w:rPr>
                <w:rFonts w:hint="eastAsia" w:ascii="Times New Roman" w:hAnsi="Times New Roman" w:eastAsia="宋体" w:cs="Times New Roman"/>
                <w:color w:val="auto"/>
                <w:sz w:val="24"/>
                <w:szCs w:val="24"/>
                <w:lang w:val="en-US" w:eastAsia="zh-CN"/>
              </w:rPr>
            </w:pPr>
          </w:p>
        </w:tc>
        <w:tc>
          <w:tcPr>
            <w:tcW w:w="1509" w:type="dxa"/>
            <w:tcBorders>
              <w:top w:val="nil"/>
              <w:left w:val="nil"/>
              <w:bottom w:val="nil"/>
              <w:right w:val="nil"/>
            </w:tcBorders>
            <w:shd w:val="clear" w:color="auto" w:fill="auto"/>
            <w:noWrap/>
            <w:vAlign w:val="center"/>
          </w:tcPr>
          <w:p w14:paraId="6B5043E2">
            <w:pPr>
              <w:widowControl/>
              <w:jc w:val="center"/>
              <w:rPr>
                <w:rFonts w:hint="eastAsia" w:ascii="Times New Roman" w:hAnsi="Times New Roman" w:eastAsia="宋体" w:cs="Times New Roman"/>
                <w:color w:val="auto"/>
                <w:sz w:val="24"/>
                <w:szCs w:val="24"/>
                <w:lang w:val="en-US" w:eastAsia="zh-CN"/>
              </w:rPr>
            </w:pPr>
          </w:p>
        </w:tc>
        <w:tc>
          <w:tcPr>
            <w:tcW w:w="1015" w:type="dxa"/>
            <w:tcBorders>
              <w:top w:val="nil"/>
              <w:left w:val="nil"/>
              <w:bottom w:val="nil"/>
              <w:right w:val="nil"/>
            </w:tcBorders>
            <w:shd w:val="clear" w:color="auto" w:fill="auto"/>
            <w:noWrap/>
            <w:vAlign w:val="center"/>
          </w:tcPr>
          <w:p w14:paraId="1E178481">
            <w:pPr>
              <w:widowControl/>
              <w:jc w:val="center"/>
              <w:rPr>
                <w:rFonts w:hint="eastAsia" w:ascii="Times New Roman" w:hAnsi="Times New Roman" w:eastAsia="宋体" w:cs="Times New Roman"/>
                <w:color w:val="auto"/>
                <w:sz w:val="24"/>
                <w:szCs w:val="24"/>
                <w:lang w:val="en-US" w:eastAsia="zh-CN"/>
              </w:rPr>
            </w:pPr>
          </w:p>
        </w:tc>
        <w:tc>
          <w:tcPr>
            <w:tcW w:w="946" w:type="dxa"/>
            <w:tcBorders>
              <w:top w:val="nil"/>
              <w:left w:val="nil"/>
              <w:bottom w:val="nil"/>
              <w:right w:val="nil"/>
            </w:tcBorders>
            <w:shd w:val="clear" w:color="auto" w:fill="auto"/>
            <w:noWrap/>
            <w:vAlign w:val="center"/>
          </w:tcPr>
          <w:p w14:paraId="5D50E4CB">
            <w:pPr>
              <w:widowControl/>
              <w:jc w:val="center"/>
              <w:rPr>
                <w:rFonts w:hint="eastAsia" w:ascii="Times New Roman" w:hAnsi="Times New Roman" w:eastAsia="宋体" w:cs="Times New Roman"/>
                <w:color w:val="auto"/>
                <w:sz w:val="24"/>
                <w:szCs w:val="24"/>
                <w:lang w:val="en-US" w:eastAsia="zh-CN"/>
              </w:rPr>
            </w:pPr>
          </w:p>
        </w:tc>
        <w:tc>
          <w:tcPr>
            <w:tcW w:w="1509" w:type="dxa"/>
            <w:tcBorders>
              <w:top w:val="nil"/>
              <w:left w:val="nil"/>
              <w:bottom w:val="nil"/>
              <w:right w:val="nil"/>
            </w:tcBorders>
            <w:shd w:val="clear" w:color="auto" w:fill="auto"/>
            <w:noWrap/>
            <w:vAlign w:val="center"/>
          </w:tcPr>
          <w:p w14:paraId="5C63DD4D">
            <w:pPr>
              <w:widowControl/>
              <w:jc w:val="center"/>
              <w:rPr>
                <w:color w:val="auto"/>
              </w:rPr>
            </w:pPr>
          </w:p>
        </w:tc>
        <w:tc>
          <w:tcPr>
            <w:tcW w:w="1015" w:type="dxa"/>
            <w:tcBorders>
              <w:top w:val="nil"/>
              <w:left w:val="nil"/>
              <w:bottom w:val="nil"/>
              <w:right w:val="nil"/>
            </w:tcBorders>
            <w:shd w:val="clear" w:color="auto" w:fill="auto"/>
            <w:noWrap/>
            <w:vAlign w:val="center"/>
          </w:tcPr>
          <w:p w14:paraId="48C1E607">
            <w:pPr>
              <w:widowControl/>
              <w:jc w:val="center"/>
              <w:rPr>
                <w:color w:val="auto"/>
              </w:rPr>
            </w:pPr>
          </w:p>
        </w:tc>
      </w:tr>
      <w:tr w14:paraId="2E02A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492" w:type="dxa"/>
            <w:tcBorders>
              <w:top w:val="nil"/>
              <w:left w:val="nil"/>
              <w:bottom w:val="nil"/>
              <w:right w:val="nil"/>
            </w:tcBorders>
            <w:shd w:val="clear" w:color="auto" w:fill="auto"/>
            <w:noWrap/>
            <w:vAlign w:val="center"/>
          </w:tcPr>
          <w:p w14:paraId="77BD8C44">
            <w:pP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Total bilirubin</w:t>
            </w:r>
          </w:p>
          <w:p w14:paraId="57FA53E5">
            <w:pPr>
              <w:widowControl/>
              <w:jc w:val="both"/>
              <w:rPr>
                <w:rFonts w:hint="default" w:ascii="Times New Roman" w:hAnsi="Times New Roman" w:eastAsia="宋体" w:cs="Times New Roman"/>
                <w:color w:val="auto"/>
                <w:sz w:val="24"/>
                <w:szCs w:val="24"/>
              </w:rPr>
            </w:pPr>
            <w:r>
              <w:rPr>
                <w:rFonts w:hint="default" w:ascii="Times New Roman" w:hAnsi="Times New Roman" w:eastAsia="AdvPTimes" w:cs="Times New Roman"/>
                <w:color w:val="auto"/>
                <w:sz w:val="24"/>
                <w:szCs w:val="24"/>
              </w:rPr>
              <w:t>≥</w:t>
            </w:r>
            <w:r>
              <w:rPr>
                <w:rFonts w:hint="default" w:ascii="Times New Roman" w:hAnsi="Times New Roman" w:eastAsia="宋体" w:cs="Times New Roman"/>
                <w:color w:val="auto"/>
                <w:sz w:val="24"/>
                <w:szCs w:val="24"/>
              </w:rPr>
              <w:t>17.1μmol/L</w:t>
            </w:r>
          </w:p>
        </w:tc>
        <w:tc>
          <w:tcPr>
            <w:tcW w:w="900" w:type="dxa"/>
            <w:tcBorders>
              <w:top w:val="nil"/>
              <w:left w:val="nil"/>
              <w:bottom w:val="nil"/>
              <w:right w:val="nil"/>
            </w:tcBorders>
            <w:shd w:val="clear" w:color="auto" w:fill="auto"/>
            <w:noWrap/>
            <w:vAlign w:val="center"/>
          </w:tcPr>
          <w:p w14:paraId="43A71AE4">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1.046</w:t>
            </w:r>
          </w:p>
        </w:tc>
        <w:tc>
          <w:tcPr>
            <w:tcW w:w="1560" w:type="dxa"/>
            <w:tcBorders>
              <w:top w:val="nil"/>
              <w:left w:val="nil"/>
              <w:bottom w:val="nil"/>
              <w:right w:val="nil"/>
            </w:tcBorders>
            <w:shd w:val="clear" w:color="auto" w:fill="auto"/>
            <w:noWrap/>
            <w:vAlign w:val="center"/>
          </w:tcPr>
          <w:p w14:paraId="0BB2B89A">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0.883-1.239</w:t>
            </w:r>
          </w:p>
        </w:tc>
        <w:tc>
          <w:tcPr>
            <w:tcW w:w="1017" w:type="dxa"/>
            <w:tcBorders>
              <w:top w:val="nil"/>
              <w:left w:val="nil"/>
              <w:bottom w:val="nil"/>
              <w:right w:val="nil"/>
            </w:tcBorders>
            <w:shd w:val="clear" w:color="auto" w:fill="auto"/>
            <w:noWrap/>
            <w:vAlign w:val="center"/>
          </w:tcPr>
          <w:p w14:paraId="6AB73A41">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0.604</w:t>
            </w:r>
          </w:p>
        </w:tc>
        <w:tc>
          <w:tcPr>
            <w:tcW w:w="946" w:type="dxa"/>
            <w:tcBorders>
              <w:top w:val="nil"/>
              <w:left w:val="nil"/>
              <w:bottom w:val="nil"/>
              <w:right w:val="nil"/>
            </w:tcBorders>
            <w:shd w:val="clear" w:color="auto" w:fill="auto"/>
            <w:noWrap/>
            <w:vAlign w:val="center"/>
          </w:tcPr>
          <w:p w14:paraId="16B24A94">
            <w:pPr>
              <w:widowControl/>
              <w:jc w:val="center"/>
              <w:rPr>
                <w:rFonts w:hint="eastAsia" w:ascii="Times New Roman" w:hAnsi="Times New Roman" w:eastAsia="宋体" w:cs="Times New Roman"/>
                <w:color w:val="auto"/>
                <w:sz w:val="24"/>
                <w:szCs w:val="24"/>
                <w:lang w:val="en-US" w:eastAsia="zh-CN"/>
              </w:rPr>
            </w:pPr>
          </w:p>
        </w:tc>
        <w:tc>
          <w:tcPr>
            <w:tcW w:w="1509" w:type="dxa"/>
            <w:tcBorders>
              <w:top w:val="nil"/>
              <w:left w:val="nil"/>
              <w:bottom w:val="nil"/>
              <w:right w:val="nil"/>
            </w:tcBorders>
            <w:shd w:val="clear" w:color="auto" w:fill="auto"/>
            <w:noWrap/>
            <w:vAlign w:val="center"/>
          </w:tcPr>
          <w:p w14:paraId="428DB72A">
            <w:pPr>
              <w:widowControl/>
              <w:jc w:val="center"/>
              <w:rPr>
                <w:rFonts w:hint="eastAsia" w:ascii="Times New Roman" w:hAnsi="Times New Roman" w:eastAsia="宋体" w:cs="Times New Roman"/>
                <w:color w:val="auto"/>
                <w:sz w:val="24"/>
                <w:szCs w:val="24"/>
                <w:lang w:val="en-US" w:eastAsia="zh-CN"/>
              </w:rPr>
            </w:pPr>
          </w:p>
        </w:tc>
        <w:tc>
          <w:tcPr>
            <w:tcW w:w="1015" w:type="dxa"/>
            <w:tcBorders>
              <w:top w:val="nil"/>
              <w:left w:val="nil"/>
              <w:bottom w:val="nil"/>
              <w:right w:val="nil"/>
            </w:tcBorders>
            <w:shd w:val="clear" w:color="auto" w:fill="auto"/>
            <w:noWrap/>
            <w:vAlign w:val="center"/>
          </w:tcPr>
          <w:p w14:paraId="350E36AA">
            <w:pPr>
              <w:widowControl/>
              <w:jc w:val="center"/>
              <w:rPr>
                <w:rFonts w:hint="eastAsia" w:ascii="Times New Roman" w:hAnsi="Times New Roman" w:eastAsia="宋体" w:cs="Times New Roman"/>
                <w:color w:val="auto"/>
                <w:sz w:val="24"/>
                <w:szCs w:val="24"/>
                <w:lang w:val="en-US" w:eastAsia="zh-CN"/>
              </w:rPr>
            </w:pPr>
          </w:p>
        </w:tc>
        <w:tc>
          <w:tcPr>
            <w:tcW w:w="946" w:type="dxa"/>
            <w:tcBorders>
              <w:top w:val="nil"/>
              <w:left w:val="nil"/>
              <w:bottom w:val="nil"/>
              <w:right w:val="nil"/>
            </w:tcBorders>
            <w:shd w:val="clear" w:color="auto" w:fill="auto"/>
            <w:noWrap/>
            <w:vAlign w:val="center"/>
          </w:tcPr>
          <w:p w14:paraId="5B5E0B6E">
            <w:pPr>
              <w:widowControl/>
              <w:jc w:val="center"/>
              <w:rPr>
                <w:rFonts w:hint="eastAsia" w:ascii="Times New Roman" w:hAnsi="Times New Roman" w:eastAsia="宋体" w:cs="Times New Roman"/>
                <w:color w:val="auto"/>
                <w:sz w:val="24"/>
                <w:szCs w:val="24"/>
                <w:lang w:val="en-US" w:eastAsia="zh-CN"/>
              </w:rPr>
            </w:pPr>
          </w:p>
        </w:tc>
        <w:tc>
          <w:tcPr>
            <w:tcW w:w="1509" w:type="dxa"/>
            <w:tcBorders>
              <w:top w:val="nil"/>
              <w:left w:val="nil"/>
              <w:bottom w:val="nil"/>
              <w:right w:val="nil"/>
            </w:tcBorders>
            <w:shd w:val="clear" w:color="auto" w:fill="auto"/>
            <w:noWrap/>
            <w:vAlign w:val="center"/>
          </w:tcPr>
          <w:p w14:paraId="0C7EDD05">
            <w:pPr>
              <w:widowControl/>
              <w:jc w:val="center"/>
              <w:rPr>
                <w:color w:val="auto"/>
              </w:rPr>
            </w:pPr>
          </w:p>
        </w:tc>
        <w:tc>
          <w:tcPr>
            <w:tcW w:w="1015" w:type="dxa"/>
            <w:tcBorders>
              <w:top w:val="nil"/>
              <w:left w:val="nil"/>
              <w:bottom w:val="nil"/>
              <w:right w:val="nil"/>
            </w:tcBorders>
            <w:shd w:val="clear" w:color="auto" w:fill="auto"/>
            <w:noWrap/>
            <w:vAlign w:val="center"/>
          </w:tcPr>
          <w:p w14:paraId="70D02C9C">
            <w:pPr>
              <w:widowControl/>
              <w:jc w:val="center"/>
              <w:rPr>
                <w:color w:val="auto"/>
              </w:rPr>
            </w:pPr>
          </w:p>
        </w:tc>
      </w:tr>
      <w:tr w14:paraId="505B2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492" w:type="dxa"/>
            <w:tcBorders>
              <w:top w:val="nil"/>
              <w:left w:val="nil"/>
              <w:bottom w:val="nil"/>
              <w:right w:val="nil"/>
            </w:tcBorders>
            <w:shd w:val="clear" w:color="auto" w:fill="auto"/>
            <w:noWrap/>
            <w:vAlign w:val="center"/>
          </w:tcPr>
          <w:p w14:paraId="7F6F70FE">
            <w:pPr>
              <w:widowControl/>
              <w:jc w:val="both"/>
              <w:rPr>
                <w:rFonts w:hint="eastAsia"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Platelet</w:t>
            </w:r>
            <w:r>
              <w:rPr>
                <w:rFonts w:hint="default" w:ascii="Times New Roman" w:hAnsi="Times New Roman" w:eastAsia="AdvPTimes" w:cs="Times New Roman"/>
                <w:color w:val="auto"/>
                <w:sz w:val="24"/>
                <w:szCs w:val="24"/>
              </w:rPr>
              <w:t>≥</w:t>
            </w:r>
            <w:r>
              <w:rPr>
                <w:rFonts w:hint="default" w:ascii="Times New Roman" w:hAnsi="Times New Roman" w:eastAsia="宋体" w:cs="Times New Roman"/>
                <w:color w:val="auto"/>
                <w:sz w:val="24"/>
                <w:szCs w:val="24"/>
              </w:rPr>
              <w:t>100×10</w:t>
            </w:r>
            <w:r>
              <w:rPr>
                <w:rFonts w:hint="default" w:ascii="Times New Roman" w:hAnsi="Times New Roman" w:eastAsia="宋体" w:cs="Times New Roman"/>
                <w:color w:val="auto"/>
                <w:sz w:val="24"/>
                <w:szCs w:val="24"/>
                <w:vertAlign w:val="superscript"/>
              </w:rPr>
              <w:t>9</w:t>
            </w:r>
            <w:r>
              <w:rPr>
                <w:rFonts w:hint="default" w:ascii="Times New Roman" w:hAnsi="Times New Roman" w:eastAsia="宋体" w:cs="Times New Roman"/>
                <w:color w:val="auto"/>
                <w:sz w:val="24"/>
                <w:szCs w:val="24"/>
              </w:rPr>
              <w:t>/L</w:t>
            </w:r>
          </w:p>
        </w:tc>
        <w:tc>
          <w:tcPr>
            <w:tcW w:w="900" w:type="dxa"/>
            <w:tcBorders>
              <w:top w:val="nil"/>
              <w:left w:val="nil"/>
              <w:bottom w:val="nil"/>
              <w:right w:val="nil"/>
            </w:tcBorders>
            <w:shd w:val="clear" w:color="auto" w:fill="auto"/>
            <w:noWrap/>
            <w:vAlign w:val="center"/>
          </w:tcPr>
          <w:p w14:paraId="5C09D761">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1.313</w:t>
            </w:r>
          </w:p>
        </w:tc>
        <w:tc>
          <w:tcPr>
            <w:tcW w:w="1560" w:type="dxa"/>
            <w:tcBorders>
              <w:top w:val="nil"/>
              <w:left w:val="nil"/>
              <w:bottom w:val="nil"/>
              <w:right w:val="nil"/>
            </w:tcBorders>
            <w:shd w:val="clear" w:color="auto" w:fill="auto"/>
            <w:noWrap/>
            <w:vAlign w:val="center"/>
          </w:tcPr>
          <w:p w14:paraId="19F1236A">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1.03-1.674</w:t>
            </w:r>
          </w:p>
        </w:tc>
        <w:tc>
          <w:tcPr>
            <w:tcW w:w="1017" w:type="dxa"/>
            <w:tcBorders>
              <w:top w:val="nil"/>
              <w:left w:val="nil"/>
              <w:bottom w:val="nil"/>
              <w:right w:val="nil"/>
            </w:tcBorders>
            <w:shd w:val="clear" w:color="auto" w:fill="auto"/>
            <w:noWrap/>
            <w:vAlign w:val="center"/>
          </w:tcPr>
          <w:p w14:paraId="3F5961BE">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b/>
                <w:bCs/>
                <w:color w:val="auto"/>
                <w:sz w:val="24"/>
                <w:szCs w:val="24"/>
                <w:lang w:val="en-US" w:eastAsia="zh-CN"/>
              </w:rPr>
              <w:t>0.028</w:t>
            </w:r>
          </w:p>
        </w:tc>
        <w:tc>
          <w:tcPr>
            <w:tcW w:w="946" w:type="dxa"/>
            <w:tcBorders>
              <w:top w:val="nil"/>
              <w:left w:val="nil"/>
              <w:bottom w:val="nil"/>
              <w:right w:val="nil"/>
            </w:tcBorders>
            <w:shd w:val="clear" w:color="auto" w:fill="auto"/>
            <w:noWrap/>
            <w:vAlign w:val="center"/>
          </w:tcPr>
          <w:p w14:paraId="2CA8920A">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1.153</w:t>
            </w:r>
          </w:p>
        </w:tc>
        <w:tc>
          <w:tcPr>
            <w:tcW w:w="1509" w:type="dxa"/>
            <w:tcBorders>
              <w:top w:val="nil"/>
              <w:left w:val="nil"/>
              <w:bottom w:val="nil"/>
              <w:right w:val="nil"/>
            </w:tcBorders>
            <w:shd w:val="clear" w:color="auto" w:fill="auto"/>
            <w:noWrap/>
            <w:vAlign w:val="center"/>
          </w:tcPr>
          <w:p w14:paraId="521C6481">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0.87-1.529</w:t>
            </w:r>
          </w:p>
        </w:tc>
        <w:tc>
          <w:tcPr>
            <w:tcW w:w="1015" w:type="dxa"/>
            <w:tcBorders>
              <w:top w:val="nil"/>
              <w:left w:val="nil"/>
              <w:bottom w:val="nil"/>
              <w:right w:val="nil"/>
            </w:tcBorders>
            <w:shd w:val="clear" w:color="auto" w:fill="auto"/>
            <w:noWrap/>
            <w:vAlign w:val="center"/>
          </w:tcPr>
          <w:p w14:paraId="36777D2A">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0.321</w:t>
            </w:r>
          </w:p>
        </w:tc>
        <w:tc>
          <w:tcPr>
            <w:tcW w:w="946" w:type="dxa"/>
            <w:tcBorders>
              <w:top w:val="nil"/>
              <w:left w:val="nil"/>
              <w:bottom w:val="nil"/>
              <w:right w:val="nil"/>
            </w:tcBorders>
            <w:shd w:val="clear" w:color="auto" w:fill="auto"/>
            <w:noWrap/>
            <w:vAlign w:val="center"/>
          </w:tcPr>
          <w:p w14:paraId="7B2FAD93">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1.438</w:t>
            </w:r>
          </w:p>
        </w:tc>
        <w:tc>
          <w:tcPr>
            <w:tcW w:w="1509" w:type="dxa"/>
            <w:tcBorders>
              <w:top w:val="nil"/>
              <w:left w:val="nil"/>
              <w:bottom w:val="nil"/>
              <w:right w:val="nil"/>
            </w:tcBorders>
            <w:shd w:val="clear" w:color="auto" w:fill="auto"/>
            <w:noWrap/>
            <w:vAlign w:val="center"/>
          </w:tcPr>
          <w:p w14:paraId="78D8FE6B">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1.083-1.91</w:t>
            </w:r>
          </w:p>
        </w:tc>
        <w:tc>
          <w:tcPr>
            <w:tcW w:w="1015" w:type="dxa"/>
            <w:tcBorders>
              <w:top w:val="nil"/>
              <w:left w:val="nil"/>
              <w:bottom w:val="nil"/>
              <w:right w:val="nil"/>
            </w:tcBorders>
            <w:shd w:val="clear" w:color="auto" w:fill="auto"/>
            <w:noWrap/>
            <w:vAlign w:val="center"/>
          </w:tcPr>
          <w:p w14:paraId="5083B248">
            <w:pPr>
              <w:widowControl/>
              <w:jc w:val="center"/>
              <w:rPr>
                <w:rFonts w:hint="default"/>
                <w:color w:val="auto"/>
                <w:lang w:val="en-US"/>
              </w:rPr>
            </w:pPr>
            <w:r>
              <w:rPr>
                <w:rFonts w:hint="eastAsia" w:ascii="Times New Roman" w:hAnsi="Times New Roman" w:eastAsia="宋体" w:cs="Times New Roman"/>
                <w:b/>
                <w:bCs/>
                <w:color w:val="auto"/>
                <w:sz w:val="24"/>
                <w:szCs w:val="24"/>
                <w:lang w:val="en-US" w:eastAsia="zh-CN"/>
              </w:rPr>
              <w:t>0.012</w:t>
            </w:r>
          </w:p>
        </w:tc>
      </w:tr>
      <w:tr w14:paraId="53447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492" w:type="dxa"/>
            <w:tcBorders>
              <w:top w:val="nil"/>
              <w:left w:val="nil"/>
              <w:bottom w:val="nil"/>
              <w:right w:val="nil"/>
            </w:tcBorders>
            <w:shd w:val="clear" w:color="auto" w:fill="auto"/>
            <w:noWrap/>
            <w:vAlign w:val="center"/>
          </w:tcPr>
          <w:p w14:paraId="34AE96D1">
            <w:pPr>
              <w:widowControl/>
              <w:jc w:val="both"/>
              <w:rPr>
                <w:rFonts w:hint="eastAsia"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Albumin≥35g/L</w:t>
            </w:r>
          </w:p>
        </w:tc>
        <w:tc>
          <w:tcPr>
            <w:tcW w:w="900" w:type="dxa"/>
            <w:tcBorders>
              <w:top w:val="nil"/>
              <w:left w:val="nil"/>
              <w:bottom w:val="nil"/>
              <w:right w:val="nil"/>
            </w:tcBorders>
            <w:shd w:val="clear" w:color="auto" w:fill="auto"/>
            <w:noWrap/>
            <w:vAlign w:val="center"/>
          </w:tcPr>
          <w:p w14:paraId="0BFCD693">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0.922</w:t>
            </w:r>
          </w:p>
        </w:tc>
        <w:tc>
          <w:tcPr>
            <w:tcW w:w="1560" w:type="dxa"/>
            <w:tcBorders>
              <w:top w:val="nil"/>
              <w:left w:val="nil"/>
              <w:bottom w:val="nil"/>
              <w:right w:val="nil"/>
            </w:tcBorders>
            <w:shd w:val="clear" w:color="auto" w:fill="auto"/>
            <w:noWrap/>
            <w:vAlign w:val="center"/>
          </w:tcPr>
          <w:p w14:paraId="3C46E522">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0.691-1.231</w:t>
            </w:r>
          </w:p>
        </w:tc>
        <w:tc>
          <w:tcPr>
            <w:tcW w:w="1017" w:type="dxa"/>
            <w:tcBorders>
              <w:top w:val="nil"/>
              <w:left w:val="nil"/>
              <w:bottom w:val="nil"/>
              <w:right w:val="nil"/>
            </w:tcBorders>
            <w:shd w:val="clear" w:color="auto" w:fill="auto"/>
            <w:noWrap/>
            <w:vAlign w:val="center"/>
          </w:tcPr>
          <w:p w14:paraId="4DE550C4">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0.583</w:t>
            </w:r>
          </w:p>
        </w:tc>
        <w:tc>
          <w:tcPr>
            <w:tcW w:w="946" w:type="dxa"/>
            <w:tcBorders>
              <w:top w:val="nil"/>
              <w:left w:val="nil"/>
              <w:bottom w:val="nil"/>
              <w:right w:val="nil"/>
            </w:tcBorders>
            <w:shd w:val="clear" w:color="auto" w:fill="auto"/>
            <w:noWrap/>
            <w:vAlign w:val="center"/>
          </w:tcPr>
          <w:p w14:paraId="78004277">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 xml:space="preserve"> </w:t>
            </w:r>
          </w:p>
        </w:tc>
        <w:tc>
          <w:tcPr>
            <w:tcW w:w="1509" w:type="dxa"/>
            <w:tcBorders>
              <w:top w:val="nil"/>
              <w:left w:val="nil"/>
              <w:bottom w:val="nil"/>
              <w:right w:val="nil"/>
            </w:tcBorders>
            <w:shd w:val="clear" w:color="auto" w:fill="auto"/>
            <w:noWrap/>
            <w:vAlign w:val="center"/>
          </w:tcPr>
          <w:p w14:paraId="1F9971C5">
            <w:pPr>
              <w:widowControl/>
              <w:jc w:val="center"/>
              <w:rPr>
                <w:rFonts w:hint="default" w:ascii="Times New Roman" w:hAnsi="Times New Roman" w:eastAsia="宋体" w:cs="Times New Roman"/>
                <w:color w:val="auto"/>
                <w:sz w:val="24"/>
                <w:szCs w:val="24"/>
                <w:lang w:val="en-US" w:eastAsia="zh-CN"/>
              </w:rPr>
            </w:pPr>
          </w:p>
        </w:tc>
        <w:tc>
          <w:tcPr>
            <w:tcW w:w="1015" w:type="dxa"/>
            <w:tcBorders>
              <w:top w:val="nil"/>
              <w:left w:val="nil"/>
              <w:bottom w:val="nil"/>
              <w:right w:val="nil"/>
            </w:tcBorders>
            <w:shd w:val="clear" w:color="auto" w:fill="auto"/>
            <w:noWrap/>
            <w:vAlign w:val="center"/>
          </w:tcPr>
          <w:p w14:paraId="0F8DFF9F">
            <w:pPr>
              <w:widowControl/>
              <w:jc w:val="center"/>
              <w:rPr>
                <w:rFonts w:hint="default" w:ascii="Times New Roman" w:hAnsi="Times New Roman" w:eastAsia="宋体" w:cs="Times New Roman"/>
                <w:color w:val="auto"/>
                <w:sz w:val="24"/>
                <w:szCs w:val="24"/>
                <w:lang w:val="en-US" w:eastAsia="zh-CN"/>
              </w:rPr>
            </w:pPr>
          </w:p>
        </w:tc>
        <w:tc>
          <w:tcPr>
            <w:tcW w:w="946" w:type="dxa"/>
            <w:tcBorders>
              <w:top w:val="nil"/>
              <w:left w:val="nil"/>
              <w:bottom w:val="nil"/>
              <w:right w:val="nil"/>
            </w:tcBorders>
            <w:shd w:val="clear" w:color="auto" w:fill="auto"/>
            <w:noWrap/>
            <w:vAlign w:val="center"/>
          </w:tcPr>
          <w:p w14:paraId="2063E5BE">
            <w:pPr>
              <w:widowControl/>
              <w:jc w:val="center"/>
              <w:rPr>
                <w:rFonts w:hint="default" w:ascii="Times New Roman" w:hAnsi="Times New Roman" w:eastAsia="宋体" w:cs="Times New Roman"/>
                <w:color w:val="auto"/>
                <w:sz w:val="24"/>
                <w:szCs w:val="24"/>
                <w:lang w:val="en-US" w:eastAsia="zh-CN"/>
              </w:rPr>
            </w:pPr>
          </w:p>
        </w:tc>
        <w:tc>
          <w:tcPr>
            <w:tcW w:w="1509" w:type="dxa"/>
            <w:tcBorders>
              <w:top w:val="nil"/>
              <w:left w:val="nil"/>
              <w:bottom w:val="nil"/>
              <w:right w:val="nil"/>
            </w:tcBorders>
            <w:shd w:val="clear" w:color="auto" w:fill="auto"/>
            <w:noWrap/>
            <w:vAlign w:val="center"/>
          </w:tcPr>
          <w:p w14:paraId="1FAEC647">
            <w:pPr>
              <w:widowControl/>
              <w:jc w:val="center"/>
              <w:rPr>
                <w:rFonts w:hint="default" w:ascii="Times New Roman" w:hAnsi="Times New Roman" w:eastAsia="宋体" w:cs="Times New Roman"/>
                <w:color w:val="auto"/>
                <w:sz w:val="24"/>
                <w:szCs w:val="24"/>
                <w:lang w:val="en-US" w:eastAsia="zh-CN"/>
              </w:rPr>
            </w:pPr>
          </w:p>
        </w:tc>
        <w:tc>
          <w:tcPr>
            <w:tcW w:w="1015" w:type="dxa"/>
            <w:tcBorders>
              <w:top w:val="nil"/>
              <w:left w:val="nil"/>
              <w:bottom w:val="nil"/>
              <w:right w:val="nil"/>
            </w:tcBorders>
            <w:shd w:val="clear" w:color="auto" w:fill="auto"/>
            <w:noWrap/>
            <w:vAlign w:val="center"/>
          </w:tcPr>
          <w:p w14:paraId="52BDE80E">
            <w:pPr>
              <w:widowControl/>
              <w:jc w:val="center"/>
              <w:rPr>
                <w:rFonts w:hint="default"/>
                <w:color w:val="auto"/>
                <w:lang w:val="en-US"/>
              </w:rPr>
            </w:pPr>
          </w:p>
        </w:tc>
      </w:tr>
      <w:tr w14:paraId="30840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492" w:type="dxa"/>
            <w:tcBorders>
              <w:top w:val="nil"/>
              <w:left w:val="nil"/>
              <w:bottom w:val="nil"/>
              <w:right w:val="nil"/>
            </w:tcBorders>
            <w:shd w:val="clear" w:color="auto" w:fill="auto"/>
            <w:noWrap/>
            <w:vAlign w:val="center"/>
          </w:tcPr>
          <w:p w14:paraId="422E3A4A">
            <w:pPr>
              <w:widowControl/>
              <w:jc w:val="both"/>
              <w:rPr>
                <w:rFonts w:hint="eastAsia"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Tumor capsule</w:t>
            </w:r>
          </w:p>
        </w:tc>
        <w:tc>
          <w:tcPr>
            <w:tcW w:w="900" w:type="dxa"/>
            <w:tcBorders>
              <w:top w:val="nil"/>
              <w:left w:val="nil"/>
              <w:bottom w:val="nil"/>
              <w:right w:val="nil"/>
            </w:tcBorders>
            <w:shd w:val="clear" w:color="auto" w:fill="auto"/>
            <w:noWrap/>
            <w:vAlign w:val="center"/>
          </w:tcPr>
          <w:p w14:paraId="28EBE4D7">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1.582</w:t>
            </w:r>
          </w:p>
        </w:tc>
        <w:tc>
          <w:tcPr>
            <w:tcW w:w="1560" w:type="dxa"/>
            <w:tcBorders>
              <w:top w:val="nil"/>
              <w:left w:val="nil"/>
              <w:bottom w:val="nil"/>
              <w:right w:val="nil"/>
            </w:tcBorders>
            <w:shd w:val="clear" w:color="auto" w:fill="auto"/>
            <w:noWrap/>
            <w:vAlign w:val="center"/>
          </w:tcPr>
          <w:p w14:paraId="34B1E9EB">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1.351-1.853</w:t>
            </w:r>
          </w:p>
        </w:tc>
        <w:tc>
          <w:tcPr>
            <w:tcW w:w="1017" w:type="dxa"/>
            <w:tcBorders>
              <w:top w:val="nil"/>
              <w:left w:val="nil"/>
              <w:bottom w:val="nil"/>
              <w:right w:val="nil"/>
            </w:tcBorders>
            <w:shd w:val="clear" w:color="auto" w:fill="auto"/>
            <w:noWrap/>
            <w:vAlign w:val="center"/>
          </w:tcPr>
          <w:p w14:paraId="0730BC19">
            <w:pPr>
              <w:widowControl/>
              <w:jc w:val="center"/>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b/>
                <w:bCs/>
                <w:color w:val="auto"/>
                <w:sz w:val="24"/>
                <w:szCs w:val="24"/>
              </w:rPr>
              <w:t>&lt;0.001</w:t>
            </w:r>
          </w:p>
        </w:tc>
        <w:tc>
          <w:tcPr>
            <w:tcW w:w="946" w:type="dxa"/>
            <w:tcBorders>
              <w:top w:val="nil"/>
              <w:left w:val="nil"/>
              <w:bottom w:val="nil"/>
              <w:right w:val="nil"/>
            </w:tcBorders>
            <w:shd w:val="clear" w:color="auto" w:fill="auto"/>
            <w:noWrap/>
            <w:vAlign w:val="center"/>
          </w:tcPr>
          <w:p w14:paraId="3608F70E">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1.264</w:t>
            </w:r>
          </w:p>
        </w:tc>
        <w:tc>
          <w:tcPr>
            <w:tcW w:w="1509" w:type="dxa"/>
            <w:tcBorders>
              <w:top w:val="nil"/>
              <w:left w:val="nil"/>
              <w:bottom w:val="nil"/>
              <w:right w:val="nil"/>
            </w:tcBorders>
            <w:shd w:val="clear" w:color="auto" w:fill="auto"/>
            <w:noWrap/>
            <w:vAlign w:val="center"/>
          </w:tcPr>
          <w:p w14:paraId="095D65D7">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1.073-1.49</w:t>
            </w:r>
          </w:p>
        </w:tc>
        <w:tc>
          <w:tcPr>
            <w:tcW w:w="1015" w:type="dxa"/>
            <w:tcBorders>
              <w:top w:val="nil"/>
              <w:left w:val="nil"/>
              <w:bottom w:val="nil"/>
              <w:right w:val="nil"/>
            </w:tcBorders>
            <w:shd w:val="clear" w:color="auto" w:fill="auto"/>
            <w:noWrap/>
            <w:vAlign w:val="center"/>
          </w:tcPr>
          <w:p w14:paraId="42E0F8C1">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b/>
                <w:bCs/>
                <w:color w:val="auto"/>
                <w:sz w:val="24"/>
                <w:szCs w:val="24"/>
                <w:lang w:val="en-US" w:eastAsia="zh-CN"/>
              </w:rPr>
              <w:t>0.005</w:t>
            </w:r>
          </w:p>
        </w:tc>
        <w:tc>
          <w:tcPr>
            <w:tcW w:w="946" w:type="dxa"/>
            <w:tcBorders>
              <w:top w:val="nil"/>
              <w:left w:val="nil"/>
              <w:bottom w:val="nil"/>
              <w:right w:val="nil"/>
            </w:tcBorders>
            <w:shd w:val="clear" w:color="auto" w:fill="auto"/>
            <w:noWrap/>
            <w:vAlign w:val="center"/>
          </w:tcPr>
          <w:p w14:paraId="03CC0DE5">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1.276</w:t>
            </w:r>
          </w:p>
        </w:tc>
        <w:tc>
          <w:tcPr>
            <w:tcW w:w="1509" w:type="dxa"/>
            <w:tcBorders>
              <w:top w:val="nil"/>
              <w:left w:val="nil"/>
              <w:bottom w:val="nil"/>
              <w:right w:val="nil"/>
            </w:tcBorders>
            <w:shd w:val="clear" w:color="auto" w:fill="auto"/>
            <w:noWrap/>
            <w:vAlign w:val="center"/>
          </w:tcPr>
          <w:p w14:paraId="734572A1">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1.083-1.503</w:t>
            </w:r>
          </w:p>
        </w:tc>
        <w:tc>
          <w:tcPr>
            <w:tcW w:w="1015" w:type="dxa"/>
            <w:tcBorders>
              <w:top w:val="nil"/>
              <w:left w:val="nil"/>
              <w:bottom w:val="nil"/>
              <w:right w:val="nil"/>
            </w:tcBorders>
            <w:shd w:val="clear" w:color="auto" w:fill="auto"/>
            <w:noWrap/>
            <w:vAlign w:val="center"/>
          </w:tcPr>
          <w:p w14:paraId="72030F41">
            <w:pPr>
              <w:widowControl/>
              <w:jc w:val="center"/>
              <w:rPr>
                <w:rFonts w:hint="default"/>
                <w:color w:val="auto"/>
                <w:lang w:val="en-US"/>
              </w:rPr>
            </w:pPr>
            <w:r>
              <w:rPr>
                <w:rFonts w:hint="eastAsia" w:ascii="Times New Roman" w:hAnsi="Times New Roman" w:eastAsia="宋体" w:cs="Times New Roman"/>
                <w:b/>
                <w:bCs/>
                <w:color w:val="auto"/>
                <w:sz w:val="24"/>
                <w:szCs w:val="24"/>
                <w:lang w:val="en-US" w:eastAsia="zh-CN"/>
              </w:rPr>
              <w:t>0.004</w:t>
            </w:r>
          </w:p>
        </w:tc>
      </w:tr>
      <w:tr w14:paraId="1600A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492" w:type="dxa"/>
            <w:tcBorders>
              <w:top w:val="nil"/>
              <w:left w:val="nil"/>
              <w:bottom w:val="nil"/>
              <w:right w:val="nil"/>
            </w:tcBorders>
            <w:shd w:val="clear" w:color="auto" w:fill="auto"/>
            <w:noWrap/>
            <w:vAlign w:val="center"/>
          </w:tcPr>
          <w:p w14:paraId="3DE61164">
            <w:pPr>
              <w:widowControl/>
              <w:jc w:val="both"/>
              <w:rPr>
                <w:rFonts w:hint="eastAsia"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Child-Pugh B</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class</w:t>
            </w:r>
          </w:p>
        </w:tc>
        <w:tc>
          <w:tcPr>
            <w:tcW w:w="900" w:type="dxa"/>
            <w:tcBorders>
              <w:top w:val="nil"/>
              <w:left w:val="nil"/>
              <w:bottom w:val="nil"/>
              <w:right w:val="nil"/>
            </w:tcBorders>
            <w:shd w:val="clear" w:color="auto" w:fill="auto"/>
            <w:noWrap/>
            <w:vAlign w:val="center"/>
          </w:tcPr>
          <w:p w14:paraId="280A9AF2">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1.304</w:t>
            </w:r>
          </w:p>
        </w:tc>
        <w:tc>
          <w:tcPr>
            <w:tcW w:w="1560" w:type="dxa"/>
            <w:tcBorders>
              <w:top w:val="nil"/>
              <w:left w:val="nil"/>
              <w:bottom w:val="nil"/>
              <w:right w:val="nil"/>
            </w:tcBorders>
            <w:shd w:val="clear" w:color="auto" w:fill="auto"/>
            <w:noWrap/>
            <w:vAlign w:val="center"/>
          </w:tcPr>
          <w:p w14:paraId="68FA1070">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0.9-1.888</w:t>
            </w:r>
          </w:p>
        </w:tc>
        <w:tc>
          <w:tcPr>
            <w:tcW w:w="1017" w:type="dxa"/>
            <w:tcBorders>
              <w:top w:val="nil"/>
              <w:left w:val="nil"/>
              <w:bottom w:val="nil"/>
              <w:right w:val="nil"/>
            </w:tcBorders>
            <w:shd w:val="clear" w:color="auto" w:fill="auto"/>
            <w:noWrap/>
            <w:vAlign w:val="center"/>
          </w:tcPr>
          <w:p w14:paraId="776A8AEE">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0.161</w:t>
            </w:r>
          </w:p>
        </w:tc>
        <w:tc>
          <w:tcPr>
            <w:tcW w:w="946" w:type="dxa"/>
            <w:tcBorders>
              <w:top w:val="nil"/>
              <w:left w:val="nil"/>
              <w:bottom w:val="nil"/>
              <w:right w:val="nil"/>
            </w:tcBorders>
            <w:shd w:val="clear" w:color="auto" w:fill="auto"/>
            <w:noWrap/>
            <w:vAlign w:val="center"/>
          </w:tcPr>
          <w:p w14:paraId="4265C9AB">
            <w:pPr>
              <w:widowControl/>
              <w:jc w:val="center"/>
              <w:rPr>
                <w:rFonts w:hint="eastAsia" w:ascii="Times New Roman" w:hAnsi="Times New Roman" w:eastAsia="宋体" w:cs="Times New Roman"/>
                <w:color w:val="auto"/>
                <w:sz w:val="24"/>
                <w:szCs w:val="24"/>
                <w:lang w:val="en-US" w:eastAsia="zh-CN"/>
              </w:rPr>
            </w:pPr>
          </w:p>
        </w:tc>
        <w:tc>
          <w:tcPr>
            <w:tcW w:w="1509" w:type="dxa"/>
            <w:tcBorders>
              <w:top w:val="nil"/>
              <w:left w:val="nil"/>
              <w:bottom w:val="nil"/>
              <w:right w:val="nil"/>
            </w:tcBorders>
            <w:shd w:val="clear" w:color="auto" w:fill="auto"/>
            <w:noWrap/>
            <w:vAlign w:val="center"/>
          </w:tcPr>
          <w:p w14:paraId="0362B760">
            <w:pPr>
              <w:widowControl/>
              <w:jc w:val="center"/>
              <w:rPr>
                <w:rFonts w:hint="eastAsia" w:ascii="Times New Roman" w:hAnsi="Times New Roman" w:eastAsia="宋体" w:cs="Times New Roman"/>
                <w:color w:val="auto"/>
                <w:sz w:val="24"/>
                <w:szCs w:val="24"/>
                <w:lang w:val="en-US" w:eastAsia="zh-CN"/>
              </w:rPr>
            </w:pPr>
          </w:p>
        </w:tc>
        <w:tc>
          <w:tcPr>
            <w:tcW w:w="1015" w:type="dxa"/>
            <w:tcBorders>
              <w:top w:val="nil"/>
              <w:left w:val="nil"/>
              <w:bottom w:val="nil"/>
              <w:right w:val="nil"/>
            </w:tcBorders>
            <w:shd w:val="clear" w:color="auto" w:fill="auto"/>
            <w:noWrap/>
            <w:vAlign w:val="center"/>
          </w:tcPr>
          <w:p w14:paraId="3F02DA60">
            <w:pPr>
              <w:widowControl/>
              <w:jc w:val="center"/>
              <w:rPr>
                <w:rFonts w:hint="eastAsia" w:ascii="Times New Roman" w:hAnsi="Times New Roman" w:eastAsia="宋体" w:cs="Times New Roman"/>
                <w:color w:val="auto"/>
                <w:sz w:val="24"/>
                <w:szCs w:val="24"/>
                <w:lang w:val="en-US" w:eastAsia="zh-CN"/>
              </w:rPr>
            </w:pPr>
          </w:p>
        </w:tc>
        <w:tc>
          <w:tcPr>
            <w:tcW w:w="946" w:type="dxa"/>
            <w:tcBorders>
              <w:top w:val="nil"/>
              <w:left w:val="nil"/>
              <w:bottom w:val="nil"/>
              <w:right w:val="nil"/>
            </w:tcBorders>
            <w:shd w:val="clear" w:color="auto" w:fill="auto"/>
            <w:noWrap/>
            <w:vAlign w:val="center"/>
          </w:tcPr>
          <w:p w14:paraId="02CD2DC1">
            <w:pPr>
              <w:widowControl/>
              <w:jc w:val="center"/>
              <w:rPr>
                <w:rFonts w:hint="eastAsia" w:ascii="Times New Roman" w:hAnsi="Times New Roman" w:eastAsia="宋体" w:cs="Times New Roman"/>
                <w:color w:val="auto"/>
                <w:sz w:val="24"/>
                <w:szCs w:val="24"/>
                <w:lang w:val="en-US" w:eastAsia="zh-CN"/>
              </w:rPr>
            </w:pPr>
          </w:p>
        </w:tc>
        <w:tc>
          <w:tcPr>
            <w:tcW w:w="1509" w:type="dxa"/>
            <w:tcBorders>
              <w:top w:val="nil"/>
              <w:left w:val="nil"/>
              <w:bottom w:val="nil"/>
              <w:right w:val="nil"/>
            </w:tcBorders>
            <w:shd w:val="clear" w:color="auto" w:fill="auto"/>
            <w:noWrap/>
            <w:vAlign w:val="center"/>
          </w:tcPr>
          <w:p w14:paraId="44288894">
            <w:pPr>
              <w:widowControl/>
              <w:jc w:val="center"/>
              <w:rPr>
                <w:color w:val="auto"/>
              </w:rPr>
            </w:pPr>
          </w:p>
        </w:tc>
        <w:tc>
          <w:tcPr>
            <w:tcW w:w="1015" w:type="dxa"/>
            <w:tcBorders>
              <w:top w:val="nil"/>
              <w:left w:val="nil"/>
              <w:bottom w:val="nil"/>
              <w:right w:val="nil"/>
            </w:tcBorders>
            <w:shd w:val="clear" w:color="auto" w:fill="auto"/>
            <w:noWrap/>
            <w:vAlign w:val="center"/>
          </w:tcPr>
          <w:p w14:paraId="47C036B6">
            <w:pPr>
              <w:widowControl/>
              <w:jc w:val="center"/>
              <w:rPr>
                <w:color w:val="auto"/>
              </w:rPr>
            </w:pPr>
          </w:p>
        </w:tc>
      </w:tr>
      <w:tr w14:paraId="37342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492" w:type="dxa"/>
            <w:tcBorders>
              <w:top w:val="nil"/>
              <w:left w:val="nil"/>
              <w:bottom w:val="nil"/>
              <w:right w:val="nil"/>
            </w:tcBorders>
            <w:shd w:val="clear" w:color="auto" w:fill="auto"/>
            <w:noWrap/>
            <w:vAlign w:val="center"/>
          </w:tcPr>
          <w:p w14:paraId="7DEF5A03">
            <w:pPr>
              <w:widowControl/>
              <w:jc w:val="both"/>
              <w:rPr>
                <w:rFonts w:hint="eastAsia"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BCLC</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 xml:space="preserve">stage B </w:t>
            </w:r>
            <w:r>
              <w:rPr>
                <w:rFonts w:hint="eastAsia" w:ascii="Times New Roman" w:hAnsi="Times New Roman" w:eastAsia="宋体" w:cs="Times New Roman"/>
                <w:color w:val="auto"/>
                <w:sz w:val="24"/>
                <w:szCs w:val="24"/>
                <w:lang w:val="en-US" w:eastAsia="zh-CN"/>
              </w:rPr>
              <w:t xml:space="preserve">or </w:t>
            </w:r>
            <w:r>
              <w:rPr>
                <w:rFonts w:hint="default" w:ascii="Times New Roman" w:hAnsi="Times New Roman" w:eastAsia="宋体" w:cs="Times New Roman"/>
                <w:color w:val="auto"/>
                <w:sz w:val="24"/>
                <w:szCs w:val="24"/>
              </w:rPr>
              <w:t>C</w:t>
            </w:r>
          </w:p>
        </w:tc>
        <w:tc>
          <w:tcPr>
            <w:tcW w:w="900" w:type="dxa"/>
            <w:tcBorders>
              <w:top w:val="nil"/>
              <w:left w:val="nil"/>
              <w:bottom w:val="nil"/>
              <w:right w:val="nil"/>
            </w:tcBorders>
            <w:shd w:val="clear" w:color="auto" w:fill="auto"/>
            <w:noWrap/>
            <w:vAlign w:val="center"/>
          </w:tcPr>
          <w:p w14:paraId="29C4C860">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1.779</w:t>
            </w:r>
          </w:p>
        </w:tc>
        <w:tc>
          <w:tcPr>
            <w:tcW w:w="1560" w:type="dxa"/>
            <w:tcBorders>
              <w:top w:val="nil"/>
              <w:left w:val="nil"/>
              <w:bottom w:val="nil"/>
              <w:right w:val="nil"/>
            </w:tcBorders>
            <w:shd w:val="clear" w:color="auto" w:fill="auto"/>
            <w:noWrap/>
            <w:vAlign w:val="center"/>
          </w:tcPr>
          <w:p w14:paraId="1AC55F34">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1.589-1.992</w:t>
            </w:r>
          </w:p>
        </w:tc>
        <w:tc>
          <w:tcPr>
            <w:tcW w:w="1017" w:type="dxa"/>
            <w:tcBorders>
              <w:top w:val="nil"/>
              <w:left w:val="nil"/>
              <w:bottom w:val="nil"/>
              <w:right w:val="nil"/>
            </w:tcBorders>
            <w:shd w:val="clear" w:color="auto" w:fill="auto"/>
            <w:noWrap/>
            <w:vAlign w:val="center"/>
          </w:tcPr>
          <w:p w14:paraId="29FA7AB3">
            <w:pPr>
              <w:widowControl/>
              <w:jc w:val="center"/>
              <w:rPr>
                <w:rFonts w:hint="eastAsia"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rPr>
              <w:t>&lt;0.001</w:t>
            </w:r>
          </w:p>
        </w:tc>
        <w:tc>
          <w:tcPr>
            <w:tcW w:w="946" w:type="dxa"/>
            <w:tcBorders>
              <w:top w:val="nil"/>
              <w:left w:val="nil"/>
              <w:bottom w:val="nil"/>
              <w:right w:val="nil"/>
            </w:tcBorders>
            <w:shd w:val="clear" w:color="auto" w:fill="auto"/>
            <w:noWrap/>
            <w:vAlign w:val="center"/>
          </w:tcPr>
          <w:p w14:paraId="05721666">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1.391</w:t>
            </w:r>
          </w:p>
        </w:tc>
        <w:tc>
          <w:tcPr>
            <w:tcW w:w="1509" w:type="dxa"/>
            <w:tcBorders>
              <w:top w:val="nil"/>
              <w:left w:val="nil"/>
              <w:bottom w:val="nil"/>
              <w:right w:val="nil"/>
            </w:tcBorders>
            <w:shd w:val="clear" w:color="auto" w:fill="auto"/>
            <w:noWrap/>
            <w:vAlign w:val="center"/>
          </w:tcPr>
          <w:p w14:paraId="3D7E63D2">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1.211-1.596</w:t>
            </w:r>
          </w:p>
        </w:tc>
        <w:tc>
          <w:tcPr>
            <w:tcW w:w="1015" w:type="dxa"/>
            <w:tcBorders>
              <w:top w:val="nil"/>
              <w:left w:val="nil"/>
              <w:bottom w:val="nil"/>
              <w:right w:val="nil"/>
            </w:tcBorders>
            <w:shd w:val="clear" w:color="auto" w:fill="auto"/>
            <w:noWrap/>
            <w:vAlign w:val="center"/>
          </w:tcPr>
          <w:p w14:paraId="39604730">
            <w:pPr>
              <w:widowControl/>
              <w:jc w:val="center"/>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b/>
                <w:bCs/>
                <w:color w:val="auto"/>
                <w:sz w:val="24"/>
                <w:szCs w:val="24"/>
              </w:rPr>
              <w:t>&lt;0.001</w:t>
            </w:r>
          </w:p>
        </w:tc>
        <w:tc>
          <w:tcPr>
            <w:tcW w:w="946" w:type="dxa"/>
            <w:tcBorders>
              <w:top w:val="nil"/>
              <w:left w:val="nil"/>
              <w:bottom w:val="nil"/>
              <w:right w:val="nil"/>
            </w:tcBorders>
            <w:shd w:val="clear" w:color="auto" w:fill="auto"/>
            <w:noWrap/>
            <w:vAlign w:val="center"/>
          </w:tcPr>
          <w:p w14:paraId="303BCE82">
            <w:pPr>
              <w:widowControl/>
              <w:jc w:val="center"/>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1.400</w:t>
            </w:r>
          </w:p>
        </w:tc>
        <w:tc>
          <w:tcPr>
            <w:tcW w:w="1509" w:type="dxa"/>
            <w:tcBorders>
              <w:top w:val="nil"/>
              <w:left w:val="nil"/>
              <w:bottom w:val="nil"/>
              <w:right w:val="nil"/>
            </w:tcBorders>
            <w:shd w:val="clear" w:color="auto" w:fill="auto"/>
            <w:noWrap/>
            <w:vAlign w:val="center"/>
          </w:tcPr>
          <w:p w14:paraId="030742B1">
            <w:pPr>
              <w:widowControl/>
              <w:jc w:val="center"/>
              <w:rPr>
                <w:color w:val="auto"/>
              </w:rPr>
            </w:pPr>
            <w:r>
              <w:rPr>
                <w:rFonts w:hint="eastAsia" w:ascii="Times New Roman" w:hAnsi="Times New Roman" w:eastAsia="宋体" w:cs="Times New Roman"/>
                <w:color w:val="auto"/>
                <w:sz w:val="24"/>
                <w:szCs w:val="24"/>
                <w:lang w:val="en-US" w:eastAsia="zh-CN"/>
              </w:rPr>
              <w:t>1.22-1.606</w:t>
            </w:r>
          </w:p>
        </w:tc>
        <w:tc>
          <w:tcPr>
            <w:tcW w:w="1015" w:type="dxa"/>
            <w:tcBorders>
              <w:top w:val="nil"/>
              <w:left w:val="nil"/>
              <w:bottom w:val="nil"/>
              <w:right w:val="nil"/>
            </w:tcBorders>
            <w:shd w:val="clear" w:color="auto" w:fill="auto"/>
            <w:noWrap/>
            <w:vAlign w:val="center"/>
          </w:tcPr>
          <w:p w14:paraId="48075FC5">
            <w:pPr>
              <w:widowControl/>
              <w:jc w:val="center"/>
              <w:rPr>
                <w:color w:val="auto"/>
              </w:rPr>
            </w:pPr>
            <w:r>
              <w:rPr>
                <w:rFonts w:hint="default" w:ascii="Times New Roman" w:hAnsi="Times New Roman" w:eastAsia="宋体" w:cs="Times New Roman"/>
                <w:b/>
                <w:bCs/>
                <w:color w:val="auto"/>
                <w:sz w:val="24"/>
                <w:szCs w:val="24"/>
              </w:rPr>
              <w:t>&lt;0.001</w:t>
            </w:r>
          </w:p>
        </w:tc>
      </w:tr>
      <w:tr w14:paraId="4D6C1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492" w:type="dxa"/>
            <w:tcBorders>
              <w:top w:val="nil"/>
              <w:left w:val="nil"/>
              <w:bottom w:val="nil"/>
              <w:right w:val="nil"/>
            </w:tcBorders>
            <w:shd w:val="clear" w:color="auto" w:fill="auto"/>
            <w:noWrap/>
            <w:vAlign w:val="center"/>
          </w:tcPr>
          <w:p w14:paraId="00EF4DB6">
            <w:pPr>
              <w:widowControl/>
              <w:jc w:val="both"/>
              <w:rPr>
                <w:rFonts w:hint="eastAsia"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Tumor size</w:t>
            </w:r>
            <w:r>
              <w:rPr>
                <w:rFonts w:hint="default" w:ascii="Times New Roman" w:hAnsi="Times New Roman" w:eastAsia="AdvPTimes" w:cs="Times New Roman"/>
                <w:color w:val="auto"/>
                <w:sz w:val="24"/>
                <w:szCs w:val="24"/>
              </w:rPr>
              <w:t>≥</w:t>
            </w:r>
            <w:r>
              <w:rPr>
                <w:rFonts w:hint="default" w:ascii="Times New Roman" w:hAnsi="Times New Roman" w:eastAsia="宋体" w:cs="Times New Roman"/>
                <w:color w:val="auto"/>
                <w:sz w:val="24"/>
                <w:szCs w:val="24"/>
              </w:rPr>
              <w:t>5cm</w:t>
            </w:r>
          </w:p>
        </w:tc>
        <w:tc>
          <w:tcPr>
            <w:tcW w:w="900" w:type="dxa"/>
            <w:tcBorders>
              <w:top w:val="nil"/>
              <w:left w:val="nil"/>
              <w:bottom w:val="nil"/>
              <w:right w:val="nil"/>
            </w:tcBorders>
            <w:shd w:val="clear" w:color="auto" w:fill="auto"/>
            <w:noWrap/>
            <w:vAlign w:val="center"/>
          </w:tcPr>
          <w:p w14:paraId="7F10CBBB">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1.855</w:t>
            </w:r>
          </w:p>
        </w:tc>
        <w:tc>
          <w:tcPr>
            <w:tcW w:w="1560" w:type="dxa"/>
            <w:tcBorders>
              <w:top w:val="nil"/>
              <w:left w:val="nil"/>
              <w:bottom w:val="nil"/>
              <w:right w:val="nil"/>
            </w:tcBorders>
            <w:shd w:val="clear" w:color="auto" w:fill="auto"/>
            <w:noWrap/>
            <w:vAlign w:val="center"/>
          </w:tcPr>
          <w:p w14:paraId="5144871B">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1.565-2.199</w:t>
            </w:r>
          </w:p>
        </w:tc>
        <w:tc>
          <w:tcPr>
            <w:tcW w:w="1017" w:type="dxa"/>
            <w:tcBorders>
              <w:top w:val="nil"/>
              <w:left w:val="nil"/>
              <w:bottom w:val="nil"/>
              <w:right w:val="nil"/>
            </w:tcBorders>
            <w:shd w:val="clear" w:color="auto" w:fill="auto"/>
            <w:noWrap/>
            <w:vAlign w:val="center"/>
          </w:tcPr>
          <w:p w14:paraId="236AD491">
            <w:pPr>
              <w:widowControl/>
              <w:jc w:val="center"/>
              <w:rPr>
                <w:rFonts w:hint="eastAsia"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rPr>
              <w:t>&lt;0.001</w:t>
            </w:r>
          </w:p>
        </w:tc>
        <w:tc>
          <w:tcPr>
            <w:tcW w:w="946" w:type="dxa"/>
            <w:tcBorders>
              <w:top w:val="nil"/>
              <w:left w:val="nil"/>
              <w:bottom w:val="nil"/>
              <w:right w:val="nil"/>
            </w:tcBorders>
            <w:shd w:val="clear" w:color="auto" w:fill="auto"/>
            <w:noWrap/>
            <w:vAlign w:val="center"/>
          </w:tcPr>
          <w:p w14:paraId="4C88608F">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1.357</w:t>
            </w:r>
          </w:p>
        </w:tc>
        <w:tc>
          <w:tcPr>
            <w:tcW w:w="1509" w:type="dxa"/>
            <w:tcBorders>
              <w:top w:val="nil"/>
              <w:left w:val="nil"/>
              <w:bottom w:val="nil"/>
              <w:right w:val="nil"/>
            </w:tcBorders>
            <w:shd w:val="clear" w:color="auto" w:fill="auto"/>
            <w:noWrap/>
            <w:vAlign w:val="center"/>
          </w:tcPr>
          <w:p w14:paraId="5E10B368">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1.123-1.64</w:t>
            </w:r>
          </w:p>
        </w:tc>
        <w:tc>
          <w:tcPr>
            <w:tcW w:w="1015" w:type="dxa"/>
            <w:tcBorders>
              <w:top w:val="nil"/>
              <w:left w:val="nil"/>
              <w:bottom w:val="nil"/>
              <w:right w:val="nil"/>
            </w:tcBorders>
            <w:shd w:val="clear" w:color="auto" w:fill="auto"/>
            <w:noWrap/>
            <w:vAlign w:val="center"/>
          </w:tcPr>
          <w:p w14:paraId="62CE2A59">
            <w:pPr>
              <w:widowControl/>
              <w:jc w:val="center"/>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0.002</w:t>
            </w:r>
          </w:p>
        </w:tc>
        <w:tc>
          <w:tcPr>
            <w:tcW w:w="946" w:type="dxa"/>
            <w:tcBorders>
              <w:top w:val="nil"/>
              <w:left w:val="nil"/>
              <w:bottom w:val="nil"/>
              <w:right w:val="nil"/>
            </w:tcBorders>
            <w:shd w:val="clear" w:color="auto" w:fill="auto"/>
            <w:noWrap/>
            <w:vAlign w:val="center"/>
          </w:tcPr>
          <w:p w14:paraId="2F037B02">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1.324</w:t>
            </w:r>
          </w:p>
        </w:tc>
        <w:tc>
          <w:tcPr>
            <w:tcW w:w="1509" w:type="dxa"/>
            <w:tcBorders>
              <w:top w:val="nil"/>
              <w:left w:val="nil"/>
              <w:bottom w:val="nil"/>
              <w:right w:val="nil"/>
            </w:tcBorders>
            <w:shd w:val="clear" w:color="auto" w:fill="auto"/>
            <w:noWrap/>
            <w:vAlign w:val="center"/>
          </w:tcPr>
          <w:p w14:paraId="4D7647A9">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1.096-1.599</w:t>
            </w:r>
          </w:p>
        </w:tc>
        <w:tc>
          <w:tcPr>
            <w:tcW w:w="1015" w:type="dxa"/>
            <w:tcBorders>
              <w:top w:val="nil"/>
              <w:left w:val="nil"/>
              <w:bottom w:val="nil"/>
              <w:right w:val="nil"/>
            </w:tcBorders>
            <w:shd w:val="clear" w:color="auto" w:fill="auto"/>
            <w:noWrap/>
            <w:vAlign w:val="center"/>
          </w:tcPr>
          <w:p w14:paraId="4EC1FFBA">
            <w:pPr>
              <w:widowControl/>
              <w:jc w:val="center"/>
              <w:rPr>
                <w:rFonts w:hint="default"/>
                <w:b/>
                <w:bCs/>
                <w:color w:val="auto"/>
                <w:lang w:val="en-US"/>
              </w:rPr>
            </w:pPr>
            <w:r>
              <w:rPr>
                <w:rFonts w:hint="eastAsia" w:ascii="Times New Roman" w:hAnsi="Times New Roman" w:eastAsia="宋体" w:cs="Times New Roman"/>
                <w:b/>
                <w:bCs/>
                <w:color w:val="auto"/>
                <w:sz w:val="24"/>
                <w:szCs w:val="24"/>
                <w:lang w:val="en-US" w:eastAsia="zh-CN"/>
              </w:rPr>
              <w:t>0.004</w:t>
            </w:r>
          </w:p>
        </w:tc>
      </w:tr>
      <w:tr w14:paraId="66666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492" w:type="dxa"/>
            <w:tcBorders>
              <w:top w:val="nil"/>
              <w:left w:val="nil"/>
              <w:bottom w:val="nil"/>
              <w:right w:val="nil"/>
            </w:tcBorders>
            <w:shd w:val="clear" w:color="auto" w:fill="auto"/>
            <w:noWrap/>
            <w:vAlign w:val="center"/>
          </w:tcPr>
          <w:p w14:paraId="3F72A3E0">
            <w:pPr>
              <w:widowControl/>
              <w:jc w:val="both"/>
              <w:rPr>
                <w:rFonts w:hint="eastAsia"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Tumor number</w:t>
            </w:r>
          </w:p>
        </w:tc>
        <w:tc>
          <w:tcPr>
            <w:tcW w:w="900" w:type="dxa"/>
            <w:tcBorders>
              <w:top w:val="nil"/>
              <w:left w:val="nil"/>
              <w:bottom w:val="nil"/>
              <w:right w:val="nil"/>
            </w:tcBorders>
            <w:shd w:val="clear" w:color="auto" w:fill="auto"/>
            <w:noWrap/>
            <w:vAlign w:val="center"/>
          </w:tcPr>
          <w:p w14:paraId="552DE87D">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2.129</w:t>
            </w:r>
          </w:p>
        </w:tc>
        <w:tc>
          <w:tcPr>
            <w:tcW w:w="1560" w:type="dxa"/>
            <w:tcBorders>
              <w:top w:val="nil"/>
              <w:left w:val="nil"/>
              <w:bottom w:val="nil"/>
              <w:right w:val="nil"/>
            </w:tcBorders>
            <w:shd w:val="clear" w:color="auto" w:fill="auto"/>
            <w:noWrap/>
            <w:vAlign w:val="center"/>
          </w:tcPr>
          <w:p w14:paraId="44C22068">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1.815-2.496</w:t>
            </w:r>
          </w:p>
        </w:tc>
        <w:tc>
          <w:tcPr>
            <w:tcW w:w="1017" w:type="dxa"/>
            <w:tcBorders>
              <w:top w:val="nil"/>
              <w:left w:val="nil"/>
              <w:bottom w:val="nil"/>
              <w:right w:val="nil"/>
            </w:tcBorders>
            <w:shd w:val="clear" w:color="auto" w:fill="auto"/>
            <w:noWrap/>
            <w:vAlign w:val="center"/>
          </w:tcPr>
          <w:p w14:paraId="43C8599C">
            <w:pPr>
              <w:widowControl/>
              <w:jc w:val="center"/>
              <w:rPr>
                <w:rFonts w:hint="eastAsia"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rPr>
              <w:t>&lt;0.001</w:t>
            </w:r>
          </w:p>
        </w:tc>
        <w:tc>
          <w:tcPr>
            <w:tcW w:w="946" w:type="dxa"/>
            <w:tcBorders>
              <w:top w:val="nil"/>
              <w:left w:val="nil"/>
              <w:bottom w:val="nil"/>
              <w:right w:val="nil"/>
            </w:tcBorders>
            <w:shd w:val="clear" w:color="auto" w:fill="auto"/>
            <w:noWrap/>
            <w:vAlign w:val="center"/>
          </w:tcPr>
          <w:p w14:paraId="09514EE0">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1.702</w:t>
            </w:r>
          </w:p>
        </w:tc>
        <w:tc>
          <w:tcPr>
            <w:tcW w:w="1509" w:type="dxa"/>
            <w:tcBorders>
              <w:top w:val="nil"/>
              <w:left w:val="nil"/>
              <w:bottom w:val="nil"/>
              <w:right w:val="nil"/>
            </w:tcBorders>
            <w:shd w:val="clear" w:color="auto" w:fill="auto"/>
            <w:noWrap/>
            <w:vAlign w:val="center"/>
          </w:tcPr>
          <w:p w14:paraId="708C62BB">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1.439-2.014</w:t>
            </w:r>
          </w:p>
        </w:tc>
        <w:tc>
          <w:tcPr>
            <w:tcW w:w="1015" w:type="dxa"/>
            <w:tcBorders>
              <w:top w:val="nil"/>
              <w:left w:val="nil"/>
              <w:bottom w:val="nil"/>
              <w:right w:val="nil"/>
            </w:tcBorders>
            <w:shd w:val="clear" w:color="auto" w:fill="auto"/>
            <w:noWrap/>
            <w:vAlign w:val="center"/>
          </w:tcPr>
          <w:p w14:paraId="2F156C9E">
            <w:pPr>
              <w:widowControl/>
              <w:jc w:val="center"/>
              <w:rPr>
                <w:rFonts w:hint="eastAsia"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rPr>
              <w:t>&lt;0.001</w:t>
            </w:r>
          </w:p>
        </w:tc>
        <w:tc>
          <w:tcPr>
            <w:tcW w:w="946" w:type="dxa"/>
            <w:tcBorders>
              <w:top w:val="nil"/>
              <w:left w:val="nil"/>
              <w:bottom w:val="nil"/>
              <w:right w:val="nil"/>
            </w:tcBorders>
            <w:shd w:val="clear" w:color="auto" w:fill="auto"/>
            <w:noWrap/>
            <w:vAlign w:val="center"/>
          </w:tcPr>
          <w:p w14:paraId="4135E96D">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1.681</w:t>
            </w:r>
          </w:p>
        </w:tc>
        <w:tc>
          <w:tcPr>
            <w:tcW w:w="1509" w:type="dxa"/>
            <w:tcBorders>
              <w:top w:val="nil"/>
              <w:left w:val="nil"/>
              <w:bottom w:val="nil"/>
              <w:right w:val="nil"/>
            </w:tcBorders>
            <w:shd w:val="clear" w:color="auto" w:fill="auto"/>
            <w:noWrap/>
            <w:vAlign w:val="center"/>
          </w:tcPr>
          <w:p w14:paraId="0FF42791">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1.42-1.99</w:t>
            </w:r>
          </w:p>
        </w:tc>
        <w:tc>
          <w:tcPr>
            <w:tcW w:w="1015" w:type="dxa"/>
            <w:tcBorders>
              <w:top w:val="nil"/>
              <w:left w:val="nil"/>
              <w:bottom w:val="nil"/>
              <w:right w:val="nil"/>
            </w:tcBorders>
            <w:shd w:val="clear" w:color="auto" w:fill="auto"/>
            <w:noWrap/>
            <w:vAlign w:val="center"/>
          </w:tcPr>
          <w:p w14:paraId="6AF55BBF">
            <w:pPr>
              <w:widowControl/>
              <w:jc w:val="center"/>
              <w:rPr>
                <w:b/>
                <w:bCs/>
                <w:color w:val="auto"/>
              </w:rPr>
            </w:pPr>
            <w:r>
              <w:rPr>
                <w:rFonts w:hint="default" w:ascii="Times New Roman" w:hAnsi="Times New Roman" w:eastAsia="宋体" w:cs="Times New Roman"/>
                <w:b/>
                <w:bCs/>
                <w:color w:val="auto"/>
                <w:sz w:val="24"/>
                <w:szCs w:val="24"/>
              </w:rPr>
              <w:t>&lt;0.001</w:t>
            </w:r>
          </w:p>
        </w:tc>
      </w:tr>
      <w:tr w14:paraId="3D59E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492" w:type="dxa"/>
            <w:tcBorders>
              <w:top w:val="nil"/>
              <w:left w:val="nil"/>
              <w:bottom w:val="nil"/>
              <w:right w:val="nil"/>
            </w:tcBorders>
            <w:shd w:val="clear" w:color="auto" w:fill="auto"/>
            <w:noWrap/>
            <w:vAlign w:val="center"/>
          </w:tcPr>
          <w:p w14:paraId="1A8857B2">
            <w:pPr>
              <w:widowControl/>
              <w:jc w:val="both"/>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Liver cirrhosi</w:t>
            </w:r>
            <w:r>
              <w:rPr>
                <w:rFonts w:hint="eastAsia" w:ascii="Times New Roman" w:hAnsi="Times New Roman" w:eastAsia="宋体" w:cs="Times New Roman"/>
                <w:color w:val="auto"/>
                <w:sz w:val="24"/>
                <w:szCs w:val="24"/>
                <w:lang w:val="en-US" w:eastAsia="zh-CN"/>
              </w:rPr>
              <w:t>s</w:t>
            </w:r>
          </w:p>
        </w:tc>
        <w:tc>
          <w:tcPr>
            <w:tcW w:w="900" w:type="dxa"/>
            <w:tcBorders>
              <w:top w:val="nil"/>
              <w:left w:val="nil"/>
              <w:bottom w:val="nil"/>
              <w:right w:val="nil"/>
            </w:tcBorders>
            <w:shd w:val="clear" w:color="auto" w:fill="auto"/>
            <w:noWrap/>
            <w:vAlign w:val="center"/>
          </w:tcPr>
          <w:p w14:paraId="3770C48E">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1.020</w:t>
            </w:r>
          </w:p>
        </w:tc>
        <w:tc>
          <w:tcPr>
            <w:tcW w:w="1560" w:type="dxa"/>
            <w:tcBorders>
              <w:top w:val="nil"/>
              <w:left w:val="nil"/>
              <w:bottom w:val="nil"/>
              <w:right w:val="nil"/>
            </w:tcBorders>
            <w:shd w:val="clear" w:color="auto" w:fill="auto"/>
            <w:noWrap/>
            <w:vAlign w:val="center"/>
          </w:tcPr>
          <w:p w14:paraId="5C06DD24">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0.836-1.245</w:t>
            </w:r>
          </w:p>
        </w:tc>
        <w:tc>
          <w:tcPr>
            <w:tcW w:w="1017" w:type="dxa"/>
            <w:tcBorders>
              <w:top w:val="nil"/>
              <w:left w:val="nil"/>
              <w:bottom w:val="nil"/>
              <w:right w:val="nil"/>
            </w:tcBorders>
            <w:shd w:val="clear" w:color="auto" w:fill="auto"/>
            <w:noWrap/>
            <w:vAlign w:val="center"/>
          </w:tcPr>
          <w:p w14:paraId="6EAF3D99">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0.843</w:t>
            </w:r>
          </w:p>
        </w:tc>
        <w:tc>
          <w:tcPr>
            <w:tcW w:w="946" w:type="dxa"/>
            <w:tcBorders>
              <w:top w:val="nil"/>
              <w:left w:val="nil"/>
              <w:bottom w:val="nil"/>
              <w:right w:val="nil"/>
            </w:tcBorders>
            <w:shd w:val="clear" w:color="auto" w:fill="auto"/>
            <w:noWrap/>
            <w:vAlign w:val="center"/>
          </w:tcPr>
          <w:p w14:paraId="55CAA195">
            <w:pPr>
              <w:widowControl/>
              <w:jc w:val="center"/>
              <w:rPr>
                <w:rFonts w:hint="eastAsia" w:ascii="Times New Roman" w:hAnsi="Times New Roman" w:eastAsia="宋体" w:cs="Times New Roman"/>
                <w:color w:val="auto"/>
                <w:sz w:val="24"/>
                <w:szCs w:val="24"/>
                <w:lang w:val="en-US" w:eastAsia="zh-CN"/>
              </w:rPr>
            </w:pPr>
          </w:p>
        </w:tc>
        <w:tc>
          <w:tcPr>
            <w:tcW w:w="1509" w:type="dxa"/>
            <w:tcBorders>
              <w:top w:val="nil"/>
              <w:left w:val="nil"/>
              <w:bottom w:val="nil"/>
              <w:right w:val="nil"/>
            </w:tcBorders>
            <w:shd w:val="clear" w:color="auto" w:fill="auto"/>
            <w:noWrap/>
            <w:vAlign w:val="center"/>
          </w:tcPr>
          <w:p w14:paraId="70EE3E5A">
            <w:pPr>
              <w:widowControl/>
              <w:jc w:val="center"/>
              <w:rPr>
                <w:rFonts w:hint="eastAsia" w:ascii="Times New Roman" w:hAnsi="Times New Roman" w:eastAsia="宋体" w:cs="Times New Roman"/>
                <w:color w:val="auto"/>
                <w:sz w:val="24"/>
                <w:szCs w:val="24"/>
                <w:lang w:val="en-US" w:eastAsia="zh-CN"/>
              </w:rPr>
            </w:pPr>
          </w:p>
        </w:tc>
        <w:tc>
          <w:tcPr>
            <w:tcW w:w="1015" w:type="dxa"/>
            <w:tcBorders>
              <w:top w:val="nil"/>
              <w:left w:val="nil"/>
              <w:bottom w:val="nil"/>
              <w:right w:val="nil"/>
            </w:tcBorders>
            <w:shd w:val="clear" w:color="auto" w:fill="auto"/>
            <w:noWrap/>
            <w:vAlign w:val="center"/>
          </w:tcPr>
          <w:p w14:paraId="51D279FA">
            <w:pPr>
              <w:widowControl/>
              <w:jc w:val="center"/>
              <w:rPr>
                <w:rFonts w:hint="eastAsia" w:ascii="Times New Roman" w:hAnsi="Times New Roman" w:eastAsia="宋体" w:cs="Times New Roman"/>
                <w:color w:val="auto"/>
                <w:sz w:val="24"/>
                <w:szCs w:val="24"/>
                <w:lang w:val="en-US" w:eastAsia="zh-CN"/>
              </w:rPr>
            </w:pPr>
          </w:p>
        </w:tc>
        <w:tc>
          <w:tcPr>
            <w:tcW w:w="946" w:type="dxa"/>
            <w:tcBorders>
              <w:top w:val="nil"/>
              <w:left w:val="nil"/>
              <w:bottom w:val="nil"/>
              <w:right w:val="nil"/>
            </w:tcBorders>
            <w:shd w:val="clear" w:color="auto" w:fill="auto"/>
            <w:noWrap/>
            <w:vAlign w:val="center"/>
          </w:tcPr>
          <w:p w14:paraId="33F8AF51">
            <w:pPr>
              <w:widowControl/>
              <w:jc w:val="center"/>
              <w:rPr>
                <w:rFonts w:hint="eastAsia" w:ascii="Times New Roman" w:hAnsi="Times New Roman" w:eastAsia="宋体" w:cs="Times New Roman"/>
                <w:color w:val="auto"/>
                <w:sz w:val="24"/>
                <w:szCs w:val="24"/>
                <w:lang w:val="en-US" w:eastAsia="zh-CN"/>
              </w:rPr>
            </w:pPr>
          </w:p>
        </w:tc>
        <w:tc>
          <w:tcPr>
            <w:tcW w:w="1509" w:type="dxa"/>
            <w:tcBorders>
              <w:top w:val="nil"/>
              <w:left w:val="nil"/>
              <w:bottom w:val="nil"/>
              <w:right w:val="nil"/>
            </w:tcBorders>
            <w:shd w:val="clear" w:color="auto" w:fill="auto"/>
            <w:noWrap/>
            <w:vAlign w:val="center"/>
          </w:tcPr>
          <w:p w14:paraId="4A0A4B97">
            <w:pPr>
              <w:widowControl/>
              <w:jc w:val="center"/>
              <w:rPr>
                <w:color w:val="auto"/>
              </w:rPr>
            </w:pPr>
          </w:p>
        </w:tc>
        <w:tc>
          <w:tcPr>
            <w:tcW w:w="1015" w:type="dxa"/>
            <w:tcBorders>
              <w:top w:val="nil"/>
              <w:left w:val="nil"/>
              <w:bottom w:val="nil"/>
              <w:right w:val="nil"/>
            </w:tcBorders>
            <w:shd w:val="clear" w:color="auto" w:fill="auto"/>
            <w:noWrap/>
            <w:vAlign w:val="center"/>
          </w:tcPr>
          <w:p w14:paraId="6AE5FA8A">
            <w:pPr>
              <w:widowControl/>
              <w:jc w:val="center"/>
              <w:rPr>
                <w:color w:val="auto"/>
              </w:rPr>
            </w:pPr>
          </w:p>
        </w:tc>
      </w:tr>
      <w:tr w14:paraId="722BA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492" w:type="dxa"/>
            <w:tcBorders>
              <w:top w:val="nil"/>
              <w:left w:val="nil"/>
              <w:bottom w:val="single" w:color="auto" w:sz="4" w:space="0"/>
              <w:right w:val="nil"/>
            </w:tcBorders>
            <w:shd w:val="clear" w:color="auto" w:fill="auto"/>
            <w:noWrap/>
            <w:vAlign w:val="center"/>
          </w:tcPr>
          <w:p w14:paraId="70BBE915">
            <w:pPr>
              <w:widowControl/>
              <w:jc w:val="both"/>
              <w:rPr>
                <w:rFonts w:hint="eastAsia"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Positive HBsAg</w:t>
            </w:r>
          </w:p>
        </w:tc>
        <w:tc>
          <w:tcPr>
            <w:tcW w:w="900" w:type="dxa"/>
            <w:tcBorders>
              <w:top w:val="nil"/>
              <w:left w:val="nil"/>
              <w:bottom w:val="single" w:color="auto" w:sz="4" w:space="0"/>
              <w:right w:val="nil"/>
            </w:tcBorders>
            <w:shd w:val="clear" w:color="auto" w:fill="auto"/>
            <w:noWrap/>
            <w:vAlign w:val="center"/>
          </w:tcPr>
          <w:p w14:paraId="76023CA8">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1.224</w:t>
            </w:r>
          </w:p>
        </w:tc>
        <w:tc>
          <w:tcPr>
            <w:tcW w:w="1560" w:type="dxa"/>
            <w:tcBorders>
              <w:top w:val="nil"/>
              <w:left w:val="nil"/>
              <w:bottom w:val="single" w:color="auto" w:sz="4" w:space="0"/>
              <w:right w:val="nil"/>
            </w:tcBorders>
            <w:shd w:val="clear" w:color="auto" w:fill="auto"/>
            <w:noWrap/>
            <w:vAlign w:val="center"/>
          </w:tcPr>
          <w:p w14:paraId="316D097D">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0.974-1.538</w:t>
            </w:r>
          </w:p>
        </w:tc>
        <w:tc>
          <w:tcPr>
            <w:tcW w:w="1017" w:type="dxa"/>
            <w:tcBorders>
              <w:top w:val="nil"/>
              <w:left w:val="nil"/>
              <w:bottom w:val="single" w:color="auto" w:sz="4" w:space="0"/>
              <w:right w:val="nil"/>
            </w:tcBorders>
            <w:shd w:val="clear" w:color="auto" w:fill="auto"/>
            <w:noWrap/>
            <w:vAlign w:val="center"/>
          </w:tcPr>
          <w:p w14:paraId="61348FEC">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0.084</w:t>
            </w:r>
          </w:p>
        </w:tc>
        <w:tc>
          <w:tcPr>
            <w:tcW w:w="946" w:type="dxa"/>
            <w:tcBorders>
              <w:top w:val="nil"/>
              <w:left w:val="nil"/>
              <w:bottom w:val="single" w:color="auto" w:sz="4" w:space="0"/>
              <w:right w:val="nil"/>
            </w:tcBorders>
            <w:shd w:val="clear" w:color="auto" w:fill="auto"/>
            <w:noWrap/>
            <w:vAlign w:val="center"/>
          </w:tcPr>
          <w:p w14:paraId="139371A9">
            <w:pPr>
              <w:widowControl/>
              <w:jc w:val="center"/>
              <w:rPr>
                <w:rFonts w:hint="eastAsia" w:ascii="Times New Roman" w:hAnsi="Times New Roman" w:eastAsia="宋体" w:cs="Times New Roman"/>
                <w:color w:val="auto"/>
                <w:sz w:val="24"/>
                <w:szCs w:val="24"/>
                <w:lang w:val="en-US" w:eastAsia="zh-CN"/>
              </w:rPr>
            </w:pPr>
          </w:p>
        </w:tc>
        <w:tc>
          <w:tcPr>
            <w:tcW w:w="1509" w:type="dxa"/>
            <w:tcBorders>
              <w:top w:val="nil"/>
              <w:left w:val="nil"/>
              <w:bottom w:val="single" w:color="auto" w:sz="4" w:space="0"/>
              <w:right w:val="nil"/>
            </w:tcBorders>
            <w:shd w:val="clear" w:color="auto" w:fill="auto"/>
            <w:noWrap/>
            <w:vAlign w:val="center"/>
          </w:tcPr>
          <w:p w14:paraId="1F26D09B">
            <w:pPr>
              <w:widowControl/>
              <w:jc w:val="center"/>
              <w:rPr>
                <w:rFonts w:hint="eastAsia" w:ascii="Times New Roman" w:hAnsi="Times New Roman" w:eastAsia="宋体" w:cs="Times New Roman"/>
                <w:color w:val="auto"/>
                <w:sz w:val="24"/>
                <w:szCs w:val="24"/>
                <w:lang w:val="en-US" w:eastAsia="zh-CN"/>
              </w:rPr>
            </w:pPr>
          </w:p>
        </w:tc>
        <w:tc>
          <w:tcPr>
            <w:tcW w:w="1015" w:type="dxa"/>
            <w:tcBorders>
              <w:top w:val="nil"/>
              <w:left w:val="nil"/>
              <w:bottom w:val="single" w:color="auto" w:sz="4" w:space="0"/>
              <w:right w:val="nil"/>
            </w:tcBorders>
            <w:shd w:val="clear" w:color="auto" w:fill="auto"/>
            <w:noWrap/>
            <w:vAlign w:val="center"/>
          </w:tcPr>
          <w:p w14:paraId="76D2F789">
            <w:pPr>
              <w:widowControl/>
              <w:jc w:val="center"/>
              <w:rPr>
                <w:rFonts w:hint="eastAsia" w:ascii="Times New Roman" w:hAnsi="Times New Roman" w:eastAsia="宋体" w:cs="Times New Roman"/>
                <w:color w:val="auto"/>
                <w:sz w:val="24"/>
                <w:szCs w:val="24"/>
                <w:lang w:val="en-US" w:eastAsia="zh-CN"/>
              </w:rPr>
            </w:pPr>
          </w:p>
        </w:tc>
        <w:tc>
          <w:tcPr>
            <w:tcW w:w="946" w:type="dxa"/>
            <w:tcBorders>
              <w:top w:val="nil"/>
              <w:left w:val="nil"/>
              <w:bottom w:val="single" w:color="auto" w:sz="4" w:space="0"/>
              <w:right w:val="nil"/>
            </w:tcBorders>
            <w:shd w:val="clear" w:color="auto" w:fill="auto"/>
            <w:noWrap/>
            <w:vAlign w:val="center"/>
          </w:tcPr>
          <w:p w14:paraId="54DB6AE4">
            <w:pPr>
              <w:widowControl/>
              <w:jc w:val="center"/>
              <w:rPr>
                <w:rFonts w:hint="eastAsia" w:ascii="Times New Roman" w:hAnsi="Times New Roman" w:eastAsia="宋体" w:cs="Times New Roman"/>
                <w:color w:val="auto"/>
                <w:sz w:val="24"/>
                <w:szCs w:val="24"/>
                <w:lang w:val="en-US" w:eastAsia="zh-CN"/>
              </w:rPr>
            </w:pPr>
          </w:p>
        </w:tc>
        <w:tc>
          <w:tcPr>
            <w:tcW w:w="1509" w:type="dxa"/>
            <w:tcBorders>
              <w:top w:val="nil"/>
              <w:left w:val="nil"/>
              <w:bottom w:val="single" w:color="auto" w:sz="4" w:space="0"/>
              <w:right w:val="nil"/>
            </w:tcBorders>
            <w:shd w:val="clear" w:color="auto" w:fill="auto"/>
            <w:noWrap/>
            <w:vAlign w:val="center"/>
          </w:tcPr>
          <w:p w14:paraId="367E9542">
            <w:pPr>
              <w:widowControl/>
              <w:jc w:val="center"/>
              <w:rPr>
                <w:color w:val="auto"/>
              </w:rPr>
            </w:pPr>
          </w:p>
        </w:tc>
        <w:tc>
          <w:tcPr>
            <w:tcW w:w="1015" w:type="dxa"/>
            <w:tcBorders>
              <w:top w:val="nil"/>
              <w:left w:val="nil"/>
              <w:bottom w:val="single" w:color="auto" w:sz="4" w:space="0"/>
              <w:right w:val="nil"/>
            </w:tcBorders>
            <w:shd w:val="clear" w:color="auto" w:fill="auto"/>
            <w:noWrap/>
            <w:vAlign w:val="center"/>
          </w:tcPr>
          <w:p w14:paraId="6BBDF2D1">
            <w:pPr>
              <w:widowControl/>
              <w:jc w:val="center"/>
              <w:rPr>
                <w:color w:val="auto"/>
              </w:rPr>
            </w:pPr>
          </w:p>
        </w:tc>
      </w:tr>
    </w:tbl>
    <w:p w14:paraId="696D26EA">
      <w:pPr>
        <w:keepNext w:val="0"/>
        <w:keepLines w:val="0"/>
        <w:pageBreakBefore w:val="0"/>
        <w:widowControl w:val="0"/>
        <w:kinsoku w:val="0"/>
        <w:wordWrap/>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Abbreviations:HBsAg,</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hepatitis B surface</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antigen;</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AFP,</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 xml:space="preserve">alpha-fetoprotein; BCLC, </w:t>
      </w:r>
      <w:r>
        <w:rPr>
          <w:rFonts w:hint="eastAsia" w:ascii="Times New Roman" w:hAnsi="Times New Roman" w:eastAsia="宋体" w:cs="Times New Roman"/>
          <w:color w:val="auto"/>
          <w:sz w:val="24"/>
          <w:szCs w:val="24"/>
          <w:lang w:val="en-US" w:eastAsia="zh-CN"/>
        </w:rPr>
        <w:t>b</w:t>
      </w:r>
      <w:r>
        <w:rPr>
          <w:rFonts w:hint="default" w:ascii="Times New Roman" w:hAnsi="Times New Roman" w:eastAsia="宋体" w:cs="Times New Roman"/>
          <w:color w:val="auto"/>
          <w:sz w:val="24"/>
          <w:szCs w:val="24"/>
        </w:rPr>
        <w:t xml:space="preserve">arcelona </w:t>
      </w:r>
      <w:r>
        <w:rPr>
          <w:rFonts w:hint="eastAsia" w:ascii="Times New Roman" w:hAnsi="Times New Roman" w:eastAsia="宋体" w:cs="Times New Roman"/>
          <w:color w:val="auto"/>
          <w:sz w:val="24"/>
          <w:szCs w:val="24"/>
          <w:lang w:val="en-US" w:eastAsia="zh-CN"/>
        </w:rPr>
        <w:t>c</w:t>
      </w:r>
      <w:r>
        <w:rPr>
          <w:rFonts w:hint="default" w:ascii="Times New Roman" w:hAnsi="Times New Roman" w:eastAsia="宋体" w:cs="Times New Roman"/>
          <w:color w:val="auto"/>
          <w:sz w:val="24"/>
          <w:szCs w:val="24"/>
        </w:rPr>
        <w:t xml:space="preserve">linic </w:t>
      </w:r>
      <w:r>
        <w:rPr>
          <w:rFonts w:hint="eastAsia" w:ascii="Times New Roman" w:hAnsi="Times New Roman" w:eastAsia="宋体" w:cs="Times New Roman"/>
          <w:color w:val="auto"/>
          <w:sz w:val="24"/>
          <w:szCs w:val="24"/>
          <w:lang w:val="en-US" w:eastAsia="zh-CN"/>
        </w:rPr>
        <w:t>l</w:t>
      </w:r>
      <w:r>
        <w:rPr>
          <w:rFonts w:hint="default" w:ascii="Times New Roman" w:hAnsi="Times New Roman" w:eastAsia="宋体" w:cs="Times New Roman"/>
          <w:color w:val="auto"/>
          <w:sz w:val="24"/>
          <w:szCs w:val="24"/>
        </w:rPr>
        <w:t xml:space="preserve">iver </w:t>
      </w:r>
      <w:r>
        <w:rPr>
          <w:rFonts w:hint="eastAsia" w:ascii="Times New Roman" w:hAnsi="Times New Roman" w:eastAsia="宋体" w:cs="Times New Roman"/>
          <w:color w:val="auto"/>
          <w:sz w:val="24"/>
          <w:szCs w:val="24"/>
          <w:lang w:val="en-US" w:eastAsia="zh-CN"/>
        </w:rPr>
        <w:t>c</w:t>
      </w:r>
      <w:r>
        <w:rPr>
          <w:rFonts w:hint="default" w:ascii="Times New Roman" w:hAnsi="Times New Roman" w:eastAsia="宋体" w:cs="Times New Roman"/>
          <w:color w:val="auto"/>
          <w:sz w:val="24"/>
          <w:szCs w:val="24"/>
        </w:rPr>
        <w:t>ancer</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AST,</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aspartate aminotransferase; ALT,</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alanine aminotransferase;</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HCC,</w:t>
      </w:r>
      <w:r>
        <w:rPr>
          <w:rFonts w:hint="eastAsia" w:ascii="Times New Roman" w:hAnsi="Times New Roman" w:eastAsia="宋体" w:cs="Times New Roman"/>
          <w:color w:val="auto"/>
          <w:sz w:val="24"/>
          <w:szCs w:val="24"/>
          <w:lang w:val="en-US" w:eastAsia="zh-CN"/>
        </w:rPr>
        <w:t xml:space="preserve"> h</w:t>
      </w:r>
      <w:r>
        <w:rPr>
          <w:rFonts w:hint="default" w:ascii="Times New Roman" w:hAnsi="Times New Roman" w:eastAsia="宋体" w:cs="Times New Roman"/>
          <w:color w:val="auto"/>
          <w:sz w:val="24"/>
          <w:szCs w:val="24"/>
        </w:rPr>
        <w:t xml:space="preserve">epatocellular </w:t>
      </w:r>
      <w:r>
        <w:rPr>
          <w:rFonts w:hint="eastAsia" w:ascii="Times New Roman" w:hAnsi="Times New Roman" w:eastAsia="宋体" w:cs="Times New Roman"/>
          <w:color w:val="auto"/>
          <w:sz w:val="24"/>
          <w:szCs w:val="24"/>
          <w:lang w:val="en-US" w:eastAsia="zh-CN"/>
        </w:rPr>
        <w:t>c</w:t>
      </w:r>
      <w:r>
        <w:rPr>
          <w:rFonts w:hint="default" w:ascii="Times New Roman" w:hAnsi="Times New Roman" w:eastAsia="宋体" w:cs="Times New Roman"/>
          <w:color w:val="auto"/>
          <w:sz w:val="24"/>
          <w:szCs w:val="24"/>
        </w:rPr>
        <w:t>arcinoma</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FIB-4</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fibrosis-4</w:t>
      </w:r>
      <w:r>
        <w:rPr>
          <w:rFonts w:hint="eastAsia" w:ascii="Times New Roman" w:hAnsi="Times New Roman" w:eastAsia="宋体" w:cs="Times New Roman"/>
          <w:color w:val="auto"/>
          <w:sz w:val="24"/>
          <w:szCs w:val="24"/>
          <w:lang w:val="en-US" w:eastAsia="zh-CN"/>
        </w:rPr>
        <w:t>; APRI, aspartate aminotransferase to platelet ratio index; HR = hazard ratio; CI = confidence interval; (a), adjusting for AFP-FIB-4; (b), adjusting for AFP.</w:t>
      </w:r>
    </w:p>
    <w:p w14:paraId="62DFA389">
      <w:pPr>
        <w:keepNext w:val="0"/>
        <w:keepLines w:val="0"/>
        <w:pageBreakBefore w:val="0"/>
        <w:widowControl w:val="0"/>
        <w:kinsoku w:val="0"/>
        <w:wordWrap/>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2234D7DB">
      <w:pPr>
        <w:keepNext w:val="0"/>
        <w:keepLines w:val="0"/>
        <w:pageBreakBefore w:val="0"/>
        <w:widowControl w:val="0"/>
        <w:kinsoku w:val="0"/>
        <w:wordWrap/>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7A9112A7">
      <w:pPr>
        <w:widowControl/>
        <w:jc w:val="both"/>
        <w:rPr>
          <w:rFonts w:hint="default" w:ascii="Times New Roman" w:hAnsi="Times New Roman" w:eastAsia="宋体" w:cs="Times New Roman"/>
          <w:color w:val="auto"/>
          <w:sz w:val="24"/>
          <w:szCs w:val="24"/>
        </w:rPr>
      </w:pPr>
    </w:p>
    <w:p w14:paraId="0496EE07">
      <w:pPr>
        <w:widowControl/>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z w:val="24"/>
          <w:szCs w:val="24"/>
        </w:rPr>
        <w:t xml:space="preserve">Table </w:t>
      </w:r>
      <w:r>
        <w:rPr>
          <w:rFonts w:hint="eastAsia" w:ascii="Times New Roman" w:hAnsi="Times New Roman" w:eastAsia="宋体" w:cs="Times New Roman"/>
          <w:b/>
          <w:bCs/>
          <w:color w:val="auto"/>
          <w:sz w:val="24"/>
          <w:szCs w:val="24"/>
          <w:lang w:val="en-US" w:eastAsia="zh-CN"/>
        </w:rPr>
        <w:t>3</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Cox proportional hazards regression to identify predictors of overall survival in HCC patients treated by resection</w:t>
      </w:r>
    </w:p>
    <w:tbl>
      <w:tblPr>
        <w:tblStyle w:val="6"/>
        <w:tblW w:w="119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16"/>
        <w:gridCol w:w="921"/>
        <w:gridCol w:w="1388"/>
        <w:gridCol w:w="1023"/>
        <w:gridCol w:w="760"/>
        <w:gridCol w:w="1408"/>
        <w:gridCol w:w="1030"/>
        <w:gridCol w:w="760"/>
        <w:gridCol w:w="1408"/>
        <w:gridCol w:w="1030"/>
      </w:tblGrid>
      <w:tr w14:paraId="4503C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6" w:hRule="atLeast"/>
          <w:jc w:val="center"/>
        </w:trPr>
        <w:tc>
          <w:tcPr>
            <w:tcW w:w="2216" w:type="dxa"/>
            <w:vMerge w:val="restart"/>
            <w:tcBorders>
              <w:top w:val="single" w:color="auto" w:sz="4" w:space="0"/>
              <w:left w:val="nil"/>
              <w:bottom w:val="single" w:color="auto" w:sz="4" w:space="0"/>
              <w:right w:val="nil"/>
            </w:tcBorders>
            <w:shd w:val="clear" w:color="auto" w:fill="auto"/>
            <w:noWrap/>
            <w:vAlign w:val="center"/>
          </w:tcPr>
          <w:p w14:paraId="03BF56AE">
            <w:pPr>
              <w:widowControl/>
              <w:jc w:val="both"/>
              <w:rPr>
                <w:rFonts w:hint="eastAsia"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Variables</w:t>
            </w:r>
          </w:p>
        </w:tc>
        <w:tc>
          <w:tcPr>
            <w:tcW w:w="3332" w:type="dxa"/>
            <w:gridSpan w:val="3"/>
            <w:tcBorders>
              <w:top w:val="single" w:color="auto" w:sz="4" w:space="0"/>
              <w:left w:val="nil"/>
              <w:bottom w:val="single" w:color="auto" w:sz="4" w:space="0"/>
              <w:right w:val="nil"/>
            </w:tcBorders>
            <w:shd w:val="clear" w:color="auto" w:fill="auto"/>
            <w:noWrap/>
            <w:vAlign w:val="center"/>
          </w:tcPr>
          <w:p w14:paraId="73F1BC62">
            <w:pPr>
              <w:widowControl/>
              <w:jc w:val="center"/>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eastAsia="zh-CN"/>
              </w:rPr>
              <w:t>Univariate analysis</w:t>
            </w:r>
          </w:p>
        </w:tc>
        <w:tc>
          <w:tcPr>
            <w:tcW w:w="3198" w:type="dxa"/>
            <w:gridSpan w:val="3"/>
            <w:tcBorders>
              <w:top w:val="single" w:color="auto" w:sz="4" w:space="0"/>
              <w:left w:val="nil"/>
              <w:bottom w:val="single" w:color="auto" w:sz="4" w:space="0"/>
              <w:right w:val="nil"/>
            </w:tcBorders>
            <w:shd w:val="clear" w:color="auto" w:fill="auto"/>
            <w:noWrap/>
            <w:vAlign w:val="center"/>
          </w:tcPr>
          <w:p w14:paraId="39D3540C">
            <w:pPr>
              <w:widowControl/>
              <w:jc w:val="center"/>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eastAsia="zh-CN"/>
              </w:rPr>
              <w:t>Multivariate analysis</w:t>
            </w:r>
            <w:r>
              <w:rPr>
                <w:rFonts w:hint="eastAsia" w:ascii="Times New Roman" w:hAnsi="Times New Roman" w:eastAsia="宋体" w:cs="Times New Roman"/>
                <w:color w:val="auto"/>
                <w:sz w:val="24"/>
                <w:szCs w:val="24"/>
                <w:lang w:val="en-US" w:eastAsia="zh-CN"/>
              </w:rPr>
              <w:t>(a)</w:t>
            </w:r>
          </w:p>
        </w:tc>
        <w:tc>
          <w:tcPr>
            <w:tcW w:w="3198" w:type="dxa"/>
            <w:gridSpan w:val="3"/>
            <w:tcBorders>
              <w:top w:val="single" w:color="auto" w:sz="4" w:space="0"/>
              <w:left w:val="nil"/>
              <w:bottom w:val="single" w:color="auto" w:sz="4" w:space="0"/>
              <w:right w:val="nil"/>
            </w:tcBorders>
            <w:shd w:val="clear" w:color="auto" w:fill="auto"/>
            <w:noWrap/>
            <w:vAlign w:val="center"/>
          </w:tcPr>
          <w:p w14:paraId="2B1FC808">
            <w:pPr>
              <w:widowControl/>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Multivariate analysis</w:t>
            </w:r>
            <w:r>
              <w:rPr>
                <w:rFonts w:hint="eastAsia" w:ascii="Times New Roman" w:hAnsi="Times New Roman" w:eastAsia="宋体" w:cs="Times New Roman"/>
                <w:color w:val="auto"/>
                <w:sz w:val="24"/>
                <w:szCs w:val="24"/>
                <w:lang w:val="en-US" w:eastAsia="zh-CN"/>
              </w:rPr>
              <w:t>(b)</w:t>
            </w:r>
          </w:p>
        </w:tc>
      </w:tr>
      <w:tr w14:paraId="7C98C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jc w:val="center"/>
        </w:trPr>
        <w:tc>
          <w:tcPr>
            <w:tcW w:w="2216" w:type="dxa"/>
            <w:vMerge w:val="continue"/>
            <w:tcBorders>
              <w:top w:val="single" w:color="auto" w:sz="4" w:space="0"/>
              <w:left w:val="nil"/>
              <w:bottom w:val="single" w:color="auto" w:sz="4" w:space="0"/>
              <w:right w:val="nil"/>
            </w:tcBorders>
            <w:shd w:val="clear" w:color="auto" w:fill="auto"/>
            <w:noWrap/>
            <w:vAlign w:val="center"/>
          </w:tcPr>
          <w:p w14:paraId="4EA7176C">
            <w:pPr>
              <w:widowControl/>
              <w:jc w:val="both"/>
              <w:rPr>
                <w:rFonts w:hint="default" w:ascii="Times New Roman" w:hAnsi="Times New Roman" w:eastAsia="宋体" w:cs="Times New Roman"/>
                <w:color w:val="auto"/>
                <w:sz w:val="24"/>
                <w:szCs w:val="24"/>
              </w:rPr>
            </w:pPr>
          </w:p>
        </w:tc>
        <w:tc>
          <w:tcPr>
            <w:tcW w:w="921" w:type="dxa"/>
            <w:tcBorders>
              <w:top w:val="single" w:color="auto" w:sz="4" w:space="0"/>
              <w:left w:val="nil"/>
              <w:bottom w:val="single" w:color="auto" w:sz="4" w:space="0"/>
              <w:right w:val="nil"/>
            </w:tcBorders>
            <w:shd w:val="clear" w:color="auto" w:fill="auto"/>
            <w:noWrap/>
            <w:vAlign w:val="top"/>
          </w:tcPr>
          <w:p w14:paraId="4FC8909D">
            <w:pPr>
              <w:widowControl/>
              <w:jc w:val="center"/>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HR</w:t>
            </w:r>
          </w:p>
        </w:tc>
        <w:tc>
          <w:tcPr>
            <w:tcW w:w="1388" w:type="dxa"/>
            <w:tcBorders>
              <w:top w:val="single" w:color="auto" w:sz="4" w:space="0"/>
              <w:left w:val="nil"/>
              <w:bottom w:val="single" w:color="auto" w:sz="4" w:space="0"/>
              <w:right w:val="nil"/>
            </w:tcBorders>
            <w:shd w:val="clear" w:color="auto" w:fill="auto"/>
            <w:noWrap/>
            <w:vAlign w:val="top"/>
          </w:tcPr>
          <w:p w14:paraId="33FB96A5">
            <w:pPr>
              <w:widowControl/>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95% CI</w:t>
            </w:r>
          </w:p>
          <w:p w14:paraId="658D696F">
            <w:pPr>
              <w:widowControl/>
              <w:jc w:val="center"/>
              <w:rPr>
                <w:rFonts w:hint="eastAsia" w:ascii="Times New Roman" w:hAnsi="Times New Roman" w:eastAsia="宋体" w:cs="Times New Roman"/>
                <w:color w:val="auto"/>
                <w:sz w:val="24"/>
                <w:szCs w:val="24"/>
                <w:lang w:val="en-US" w:eastAsia="zh-CN"/>
              </w:rPr>
            </w:pPr>
          </w:p>
        </w:tc>
        <w:tc>
          <w:tcPr>
            <w:tcW w:w="1023" w:type="dxa"/>
            <w:tcBorders>
              <w:top w:val="single" w:color="auto" w:sz="4" w:space="0"/>
              <w:left w:val="nil"/>
              <w:bottom w:val="single" w:color="auto" w:sz="4" w:space="0"/>
              <w:right w:val="nil"/>
            </w:tcBorders>
            <w:shd w:val="clear" w:color="auto" w:fill="auto"/>
            <w:noWrap/>
            <w:vAlign w:val="top"/>
          </w:tcPr>
          <w:p w14:paraId="003AF486">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P values</w:t>
            </w:r>
          </w:p>
        </w:tc>
        <w:tc>
          <w:tcPr>
            <w:tcW w:w="760" w:type="dxa"/>
            <w:tcBorders>
              <w:top w:val="single" w:color="auto" w:sz="4" w:space="0"/>
              <w:left w:val="nil"/>
              <w:bottom w:val="single" w:color="auto" w:sz="4" w:space="0"/>
              <w:right w:val="nil"/>
            </w:tcBorders>
            <w:shd w:val="clear" w:color="auto" w:fill="auto"/>
            <w:noWrap/>
            <w:vAlign w:val="top"/>
          </w:tcPr>
          <w:p w14:paraId="6C0F0CB5">
            <w:pPr>
              <w:widowControl/>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HR</w:t>
            </w:r>
          </w:p>
          <w:p w14:paraId="4E08ED38">
            <w:pPr>
              <w:widowControl/>
              <w:jc w:val="center"/>
              <w:rPr>
                <w:rFonts w:hint="eastAsia" w:ascii="Times New Roman" w:hAnsi="Times New Roman" w:eastAsia="宋体" w:cs="Times New Roman"/>
                <w:color w:val="auto"/>
                <w:sz w:val="24"/>
                <w:szCs w:val="24"/>
                <w:lang w:val="en-US" w:eastAsia="zh-CN"/>
              </w:rPr>
            </w:pPr>
          </w:p>
        </w:tc>
        <w:tc>
          <w:tcPr>
            <w:tcW w:w="1408" w:type="dxa"/>
            <w:tcBorders>
              <w:top w:val="single" w:color="auto" w:sz="4" w:space="0"/>
              <w:left w:val="nil"/>
              <w:bottom w:val="single" w:color="auto" w:sz="4" w:space="0"/>
              <w:right w:val="nil"/>
            </w:tcBorders>
            <w:shd w:val="clear" w:color="auto" w:fill="auto"/>
            <w:noWrap/>
            <w:vAlign w:val="top"/>
          </w:tcPr>
          <w:p w14:paraId="019803EF">
            <w:pPr>
              <w:widowControl/>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95% CI</w:t>
            </w:r>
          </w:p>
          <w:p w14:paraId="7519F359">
            <w:pPr>
              <w:widowControl/>
              <w:jc w:val="center"/>
              <w:rPr>
                <w:rFonts w:hint="eastAsia" w:ascii="Times New Roman" w:hAnsi="Times New Roman" w:eastAsia="宋体" w:cs="Times New Roman"/>
                <w:color w:val="auto"/>
                <w:sz w:val="24"/>
                <w:szCs w:val="24"/>
                <w:lang w:val="en-US" w:eastAsia="zh-CN"/>
              </w:rPr>
            </w:pPr>
          </w:p>
        </w:tc>
        <w:tc>
          <w:tcPr>
            <w:tcW w:w="1030" w:type="dxa"/>
            <w:tcBorders>
              <w:top w:val="single" w:color="auto" w:sz="4" w:space="0"/>
              <w:left w:val="nil"/>
              <w:bottom w:val="single" w:color="auto" w:sz="4" w:space="0"/>
              <w:right w:val="nil"/>
            </w:tcBorders>
            <w:shd w:val="clear" w:color="auto" w:fill="auto"/>
            <w:noWrap/>
            <w:vAlign w:val="top"/>
          </w:tcPr>
          <w:p w14:paraId="09CC7D27">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P values</w:t>
            </w:r>
          </w:p>
        </w:tc>
        <w:tc>
          <w:tcPr>
            <w:tcW w:w="760" w:type="dxa"/>
            <w:tcBorders>
              <w:top w:val="single" w:color="auto" w:sz="4" w:space="0"/>
              <w:left w:val="nil"/>
              <w:bottom w:val="single" w:color="auto" w:sz="4" w:space="0"/>
              <w:right w:val="nil"/>
            </w:tcBorders>
            <w:shd w:val="clear" w:color="auto" w:fill="auto"/>
            <w:noWrap/>
            <w:vAlign w:val="top"/>
          </w:tcPr>
          <w:p w14:paraId="4D1EB4E1">
            <w:pPr>
              <w:widowControl/>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HR</w:t>
            </w:r>
          </w:p>
          <w:p w14:paraId="18499D54">
            <w:pPr>
              <w:widowControl/>
              <w:jc w:val="center"/>
              <w:rPr>
                <w:rFonts w:hint="eastAsia" w:ascii="Times New Roman" w:hAnsi="Times New Roman" w:eastAsia="宋体" w:cs="Times New Roman"/>
                <w:color w:val="auto"/>
                <w:kern w:val="2"/>
                <w:sz w:val="24"/>
                <w:szCs w:val="24"/>
                <w:lang w:val="en-US" w:eastAsia="zh-CN" w:bidi="ar-SA"/>
              </w:rPr>
            </w:pPr>
          </w:p>
        </w:tc>
        <w:tc>
          <w:tcPr>
            <w:tcW w:w="1408" w:type="dxa"/>
            <w:tcBorders>
              <w:top w:val="single" w:color="auto" w:sz="4" w:space="0"/>
              <w:left w:val="nil"/>
              <w:bottom w:val="single" w:color="auto" w:sz="4" w:space="0"/>
              <w:right w:val="nil"/>
            </w:tcBorders>
            <w:shd w:val="clear" w:color="auto" w:fill="auto"/>
            <w:noWrap/>
            <w:vAlign w:val="top"/>
          </w:tcPr>
          <w:p w14:paraId="02D51BDE">
            <w:pPr>
              <w:widowControl/>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95% CI</w:t>
            </w:r>
          </w:p>
          <w:p w14:paraId="2A265D4C">
            <w:pPr>
              <w:widowControl/>
              <w:jc w:val="center"/>
              <w:rPr>
                <w:rFonts w:hint="eastAsia" w:ascii="Times New Roman" w:hAnsi="Times New Roman" w:eastAsia="宋体" w:cs="Times New Roman"/>
                <w:color w:val="auto"/>
                <w:kern w:val="2"/>
                <w:sz w:val="24"/>
                <w:szCs w:val="24"/>
                <w:lang w:val="en-US" w:eastAsia="zh-CN" w:bidi="ar-SA"/>
              </w:rPr>
            </w:pPr>
          </w:p>
        </w:tc>
        <w:tc>
          <w:tcPr>
            <w:tcW w:w="1030" w:type="dxa"/>
            <w:tcBorders>
              <w:top w:val="single" w:color="auto" w:sz="4" w:space="0"/>
              <w:left w:val="nil"/>
              <w:bottom w:val="single" w:color="auto" w:sz="4" w:space="0"/>
              <w:right w:val="nil"/>
            </w:tcBorders>
            <w:shd w:val="clear" w:color="auto" w:fill="auto"/>
            <w:noWrap/>
            <w:vAlign w:val="top"/>
          </w:tcPr>
          <w:p w14:paraId="37A7DFC4">
            <w:pPr>
              <w:widowControl/>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szCs w:val="24"/>
                <w:lang w:val="en-US" w:eastAsia="zh-CN"/>
              </w:rPr>
              <w:t>P values</w:t>
            </w:r>
          </w:p>
        </w:tc>
      </w:tr>
      <w:tr w14:paraId="527AA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2216" w:type="dxa"/>
            <w:tcBorders>
              <w:top w:val="single" w:color="auto" w:sz="4" w:space="0"/>
              <w:left w:val="nil"/>
              <w:bottom w:val="nil"/>
              <w:right w:val="nil"/>
            </w:tcBorders>
            <w:shd w:val="clear" w:color="auto" w:fill="auto"/>
            <w:noWrap/>
            <w:vAlign w:val="center"/>
          </w:tcPr>
          <w:p w14:paraId="46143407">
            <w:pPr>
              <w:rPr>
                <w:rFonts w:hint="default" w:ascii="Times New Roman" w:hAnsi="Times New Roman" w:eastAsia="AdvPTimes" w:cs="Times New Roman"/>
                <w:color w:val="auto"/>
                <w:sz w:val="24"/>
                <w:szCs w:val="24"/>
              </w:rPr>
            </w:pPr>
            <w:r>
              <w:rPr>
                <w:rFonts w:hint="default" w:ascii="Times New Roman" w:hAnsi="Times New Roman" w:eastAsia="宋体" w:cs="Times New Roman"/>
                <w:color w:val="auto"/>
                <w:sz w:val="24"/>
                <w:szCs w:val="24"/>
              </w:rPr>
              <w:t>Age (</w:t>
            </w:r>
            <w:r>
              <w:rPr>
                <w:rFonts w:hint="default" w:ascii="Times New Roman" w:hAnsi="Times New Roman" w:eastAsia="AdvPTimes" w:cs="Times New Roman"/>
                <w:color w:val="auto"/>
                <w:sz w:val="24"/>
                <w:szCs w:val="24"/>
              </w:rPr>
              <w:t>≥</w:t>
            </w:r>
            <w:r>
              <w:rPr>
                <w:rFonts w:hint="default" w:ascii="Times New Roman" w:hAnsi="Times New Roman" w:eastAsia="宋体" w:cs="Times New Roman"/>
                <w:color w:val="auto"/>
                <w:sz w:val="24"/>
                <w:szCs w:val="24"/>
              </w:rPr>
              <w:t>60 years)</w:t>
            </w:r>
          </w:p>
        </w:tc>
        <w:tc>
          <w:tcPr>
            <w:tcW w:w="921" w:type="dxa"/>
            <w:tcBorders>
              <w:top w:val="single" w:color="auto" w:sz="4" w:space="0"/>
              <w:left w:val="nil"/>
              <w:bottom w:val="nil"/>
              <w:right w:val="nil"/>
            </w:tcBorders>
            <w:shd w:val="clear" w:color="auto" w:fill="auto"/>
            <w:noWrap/>
            <w:vAlign w:val="center"/>
          </w:tcPr>
          <w:p w14:paraId="3CAB1F9C">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1.030</w:t>
            </w:r>
          </w:p>
        </w:tc>
        <w:tc>
          <w:tcPr>
            <w:tcW w:w="1388" w:type="dxa"/>
            <w:tcBorders>
              <w:top w:val="single" w:color="auto" w:sz="4" w:space="0"/>
              <w:left w:val="nil"/>
              <w:bottom w:val="nil"/>
              <w:right w:val="nil"/>
            </w:tcBorders>
            <w:shd w:val="clear" w:color="auto" w:fill="auto"/>
            <w:noWrap/>
            <w:vAlign w:val="center"/>
          </w:tcPr>
          <w:p w14:paraId="65B84595">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0.827-1.284</w:t>
            </w:r>
          </w:p>
        </w:tc>
        <w:tc>
          <w:tcPr>
            <w:tcW w:w="1023" w:type="dxa"/>
            <w:tcBorders>
              <w:top w:val="single" w:color="auto" w:sz="4" w:space="0"/>
              <w:left w:val="nil"/>
              <w:bottom w:val="nil"/>
              <w:right w:val="nil"/>
            </w:tcBorders>
            <w:shd w:val="clear" w:color="auto" w:fill="auto"/>
            <w:noWrap/>
            <w:vAlign w:val="center"/>
          </w:tcPr>
          <w:p w14:paraId="7B215B5A">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0.791</w:t>
            </w:r>
          </w:p>
        </w:tc>
        <w:tc>
          <w:tcPr>
            <w:tcW w:w="760" w:type="dxa"/>
            <w:tcBorders>
              <w:top w:val="single" w:color="auto" w:sz="4" w:space="0"/>
              <w:left w:val="nil"/>
              <w:bottom w:val="nil"/>
              <w:right w:val="nil"/>
            </w:tcBorders>
            <w:shd w:val="clear" w:color="auto" w:fill="auto"/>
            <w:noWrap/>
            <w:vAlign w:val="center"/>
          </w:tcPr>
          <w:p w14:paraId="2F0966CC">
            <w:pPr>
              <w:widowControl/>
              <w:jc w:val="center"/>
              <w:rPr>
                <w:rFonts w:hint="eastAsia" w:ascii="Times New Roman" w:hAnsi="Times New Roman" w:eastAsia="宋体" w:cs="Times New Roman"/>
                <w:color w:val="auto"/>
                <w:sz w:val="24"/>
                <w:szCs w:val="24"/>
                <w:lang w:val="en-US" w:eastAsia="zh-CN"/>
              </w:rPr>
            </w:pPr>
          </w:p>
        </w:tc>
        <w:tc>
          <w:tcPr>
            <w:tcW w:w="1408" w:type="dxa"/>
            <w:tcBorders>
              <w:top w:val="single" w:color="auto" w:sz="4" w:space="0"/>
              <w:left w:val="nil"/>
              <w:bottom w:val="nil"/>
              <w:right w:val="nil"/>
            </w:tcBorders>
            <w:shd w:val="clear" w:color="auto" w:fill="auto"/>
            <w:noWrap/>
            <w:vAlign w:val="center"/>
          </w:tcPr>
          <w:p w14:paraId="3048FB5A">
            <w:pPr>
              <w:widowControl/>
              <w:jc w:val="center"/>
              <w:rPr>
                <w:rFonts w:hint="eastAsia" w:ascii="Times New Roman" w:hAnsi="Times New Roman" w:eastAsia="宋体" w:cs="Times New Roman"/>
                <w:color w:val="auto"/>
                <w:sz w:val="24"/>
                <w:szCs w:val="24"/>
                <w:lang w:val="en-US" w:eastAsia="zh-CN"/>
              </w:rPr>
            </w:pPr>
          </w:p>
        </w:tc>
        <w:tc>
          <w:tcPr>
            <w:tcW w:w="1030" w:type="dxa"/>
            <w:tcBorders>
              <w:top w:val="single" w:color="auto" w:sz="4" w:space="0"/>
              <w:left w:val="nil"/>
              <w:bottom w:val="nil"/>
              <w:right w:val="nil"/>
            </w:tcBorders>
            <w:shd w:val="clear" w:color="auto" w:fill="auto"/>
            <w:noWrap/>
            <w:vAlign w:val="center"/>
          </w:tcPr>
          <w:p w14:paraId="0F1DF247">
            <w:pPr>
              <w:widowControl/>
              <w:jc w:val="center"/>
              <w:rPr>
                <w:rFonts w:hint="eastAsia" w:ascii="Times New Roman" w:hAnsi="Times New Roman" w:eastAsia="宋体" w:cs="Times New Roman"/>
                <w:color w:val="auto"/>
                <w:sz w:val="24"/>
                <w:szCs w:val="24"/>
                <w:lang w:val="en-US" w:eastAsia="zh-CN"/>
              </w:rPr>
            </w:pPr>
          </w:p>
        </w:tc>
        <w:tc>
          <w:tcPr>
            <w:tcW w:w="760" w:type="dxa"/>
            <w:tcBorders>
              <w:top w:val="single" w:color="auto" w:sz="4" w:space="0"/>
              <w:left w:val="nil"/>
              <w:bottom w:val="nil"/>
              <w:right w:val="nil"/>
            </w:tcBorders>
            <w:shd w:val="clear" w:color="auto" w:fill="auto"/>
            <w:noWrap/>
            <w:vAlign w:val="center"/>
          </w:tcPr>
          <w:p w14:paraId="1A751FBF">
            <w:pPr>
              <w:widowControl/>
              <w:jc w:val="center"/>
              <w:rPr>
                <w:rFonts w:hint="eastAsia" w:ascii="Times New Roman" w:hAnsi="Times New Roman" w:eastAsia="宋体" w:cs="Times New Roman"/>
                <w:color w:val="auto"/>
                <w:kern w:val="2"/>
                <w:sz w:val="24"/>
                <w:szCs w:val="24"/>
                <w:lang w:val="en-US" w:eastAsia="zh-CN" w:bidi="ar-SA"/>
              </w:rPr>
            </w:pPr>
          </w:p>
        </w:tc>
        <w:tc>
          <w:tcPr>
            <w:tcW w:w="1408" w:type="dxa"/>
            <w:tcBorders>
              <w:top w:val="single" w:color="auto" w:sz="4" w:space="0"/>
              <w:left w:val="nil"/>
              <w:bottom w:val="nil"/>
              <w:right w:val="nil"/>
            </w:tcBorders>
            <w:shd w:val="clear" w:color="auto" w:fill="auto"/>
            <w:noWrap/>
            <w:vAlign w:val="center"/>
          </w:tcPr>
          <w:p w14:paraId="4DA85FD1">
            <w:pPr>
              <w:widowControl/>
              <w:jc w:val="center"/>
              <w:rPr>
                <w:rFonts w:hint="eastAsia" w:ascii="Times New Roman" w:hAnsi="Times New Roman" w:eastAsia="宋体" w:cs="Times New Roman"/>
                <w:color w:val="auto"/>
                <w:kern w:val="2"/>
                <w:sz w:val="24"/>
                <w:szCs w:val="24"/>
                <w:lang w:val="en-US" w:eastAsia="zh-CN" w:bidi="ar-SA"/>
              </w:rPr>
            </w:pPr>
          </w:p>
        </w:tc>
        <w:tc>
          <w:tcPr>
            <w:tcW w:w="1030" w:type="dxa"/>
            <w:tcBorders>
              <w:top w:val="single" w:color="auto" w:sz="4" w:space="0"/>
              <w:left w:val="nil"/>
              <w:bottom w:val="nil"/>
              <w:right w:val="nil"/>
            </w:tcBorders>
            <w:shd w:val="clear" w:color="auto" w:fill="auto"/>
            <w:noWrap/>
            <w:vAlign w:val="center"/>
          </w:tcPr>
          <w:p w14:paraId="248DD5C1">
            <w:pPr>
              <w:widowControl/>
              <w:jc w:val="center"/>
              <w:rPr>
                <w:rFonts w:hint="eastAsia" w:ascii="Times New Roman" w:hAnsi="Times New Roman" w:eastAsia="宋体" w:cs="Times New Roman"/>
                <w:color w:val="auto"/>
                <w:kern w:val="2"/>
                <w:sz w:val="24"/>
                <w:szCs w:val="24"/>
                <w:lang w:val="en-US" w:eastAsia="zh-CN" w:bidi="ar-SA"/>
              </w:rPr>
            </w:pPr>
          </w:p>
        </w:tc>
      </w:tr>
      <w:tr w14:paraId="0250B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216" w:type="dxa"/>
            <w:tcBorders>
              <w:top w:val="nil"/>
              <w:left w:val="nil"/>
              <w:bottom w:val="nil"/>
              <w:right w:val="nil"/>
            </w:tcBorders>
            <w:shd w:val="clear" w:color="auto" w:fill="auto"/>
            <w:noWrap/>
            <w:vAlign w:val="center"/>
          </w:tcPr>
          <w:p w14:paraId="70BC20F8">
            <w:pPr>
              <w:widowControl/>
              <w:jc w:val="both"/>
              <w:rPr>
                <w:rFonts w:hint="default" w:ascii="Times New Roman" w:hAnsi="Times New Roman" w:eastAsia="AdvPTimes" w:cs="Times New Roman"/>
                <w:color w:val="auto"/>
                <w:sz w:val="24"/>
                <w:szCs w:val="24"/>
              </w:rPr>
            </w:pPr>
            <w:r>
              <w:rPr>
                <w:rFonts w:hint="default" w:ascii="Times New Roman" w:hAnsi="Times New Roman" w:eastAsia="宋体" w:cs="Times New Roman"/>
                <w:color w:val="auto"/>
                <w:sz w:val="24"/>
                <w:szCs w:val="24"/>
                <w:lang w:val="en-US" w:eastAsia="zh-CN"/>
              </w:rPr>
              <w:t>Male</w:t>
            </w:r>
          </w:p>
        </w:tc>
        <w:tc>
          <w:tcPr>
            <w:tcW w:w="921" w:type="dxa"/>
            <w:tcBorders>
              <w:top w:val="nil"/>
              <w:left w:val="nil"/>
              <w:bottom w:val="nil"/>
              <w:right w:val="nil"/>
            </w:tcBorders>
            <w:shd w:val="clear" w:color="auto" w:fill="auto"/>
            <w:noWrap/>
            <w:vAlign w:val="center"/>
          </w:tcPr>
          <w:p w14:paraId="4D58CBC1">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0.993</w:t>
            </w:r>
          </w:p>
        </w:tc>
        <w:tc>
          <w:tcPr>
            <w:tcW w:w="1388" w:type="dxa"/>
            <w:tcBorders>
              <w:top w:val="nil"/>
              <w:left w:val="nil"/>
              <w:bottom w:val="nil"/>
              <w:right w:val="nil"/>
            </w:tcBorders>
            <w:shd w:val="clear" w:color="auto" w:fill="auto"/>
            <w:noWrap/>
            <w:vAlign w:val="center"/>
          </w:tcPr>
          <w:p w14:paraId="436C434B">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0.789-1.25</w:t>
            </w:r>
          </w:p>
        </w:tc>
        <w:tc>
          <w:tcPr>
            <w:tcW w:w="1023" w:type="dxa"/>
            <w:tcBorders>
              <w:top w:val="nil"/>
              <w:left w:val="nil"/>
              <w:bottom w:val="nil"/>
              <w:right w:val="nil"/>
            </w:tcBorders>
            <w:shd w:val="clear" w:color="auto" w:fill="auto"/>
            <w:noWrap/>
            <w:vAlign w:val="center"/>
          </w:tcPr>
          <w:p w14:paraId="46FB9A1C">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0.955</w:t>
            </w:r>
          </w:p>
        </w:tc>
        <w:tc>
          <w:tcPr>
            <w:tcW w:w="760" w:type="dxa"/>
            <w:tcBorders>
              <w:top w:val="nil"/>
              <w:left w:val="nil"/>
              <w:bottom w:val="nil"/>
              <w:right w:val="nil"/>
            </w:tcBorders>
            <w:shd w:val="clear" w:color="auto" w:fill="auto"/>
            <w:noWrap/>
            <w:vAlign w:val="center"/>
          </w:tcPr>
          <w:p w14:paraId="6A245E6B">
            <w:pPr>
              <w:widowControl/>
              <w:jc w:val="center"/>
              <w:rPr>
                <w:rFonts w:hint="eastAsia" w:ascii="Times New Roman" w:hAnsi="Times New Roman" w:eastAsia="宋体" w:cs="Times New Roman"/>
                <w:color w:val="auto"/>
                <w:sz w:val="24"/>
                <w:szCs w:val="24"/>
                <w:lang w:val="en-US" w:eastAsia="zh-CN"/>
              </w:rPr>
            </w:pPr>
          </w:p>
        </w:tc>
        <w:tc>
          <w:tcPr>
            <w:tcW w:w="1408" w:type="dxa"/>
            <w:tcBorders>
              <w:top w:val="nil"/>
              <w:left w:val="nil"/>
              <w:bottom w:val="nil"/>
              <w:right w:val="nil"/>
            </w:tcBorders>
            <w:shd w:val="clear" w:color="auto" w:fill="auto"/>
            <w:noWrap/>
            <w:vAlign w:val="center"/>
          </w:tcPr>
          <w:p w14:paraId="4EB2A351">
            <w:pPr>
              <w:widowControl/>
              <w:jc w:val="center"/>
              <w:rPr>
                <w:rFonts w:hint="eastAsia" w:ascii="Times New Roman" w:hAnsi="Times New Roman" w:eastAsia="宋体" w:cs="Times New Roman"/>
                <w:color w:val="auto"/>
                <w:sz w:val="24"/>
                <w:szCs w:val="24"/>
                <w:lang w:val="en-US" w:eastAsia="zh-CN"/>
              </w:rPr>
            </w:pPr>
          </w:p>
        </w:tc>
        <w:tc>
          <w:tcPr>
            <w:tcW w:w="1030" w:type="dxa"/>
            <w:tcBorders>
              <w:top w:val="nil"/>
              <w:left w:val="nil"/>
              <w:bottom w:val="nil"/>
              <w:right w:val="nil"/>
            </w:tcBorders>
            <w:shd w:val="clear" w:color="auto" w:fill="auto"/>
            <w:noWrap/>
            <w:vAlign w:val="center"/>
          </w:tcPr>
          <w:p w14:paraId="4317BC8C">
            <w:pPr>
              <w:widowControl/>
              <w:jc w:val="center"/>
              <w:rPr>
                <w:rFonts w:hint="eastAsia" w:ascii="Times New Roman" w:hAnsi="Times New Roman" w:eastAsia="宋体" w:cs="Times New Roman"/>
                <w:color w:val="auto"/>
                <w:sz w:val="24"/>
                <w:szCs w:val="24"/>
                <w:lang w:val="en-US" w:eastAsia="zh-CN"/>
              </w:rPr>
            </w:pPr>
          </w:p>
        </w:tc>
        <w:tc>
          <w:tcPr>
            <w:tcW w:w="760" w:type="dxa"/>
            <w:tcBorders>
              <w:top w:val="nil"/>
              <w:left w:val="nil"/>
              <w:bottom w:val="nil"/>
              <w:right w:val="nil"/>
            </w:tcBorders>
            <w:shd w:val="clear" w:color="auto" w:fill="auto"/>
            <w:noWrap/>
            <w:vAlign w:val="center"/>
          </w:tcPr>
          <w:p w14:paraId="4BE4BCE6">
            <w:pPr>
              <w:widowControl/>
              <w:jc w:val="center"/>
              <w:rPr>
                <w:rFonts w:hint="eastAsia" w:ascii="Times New Roman" w:hAnsi="Times New Roman" w:eastAsia="宋体" w:cs="Times New Roman"/>
                <w:color w:val="auto"/>
                <w:kern w:val="2"/>
                <w:sz w:val="24"/>
                <w:szCs w:val="24"/>
                <w:lang w:val="en-US" w:eastAsia="zh-CN" w:bidi="ar-SA"/>
              </w:rPr>
            </w:pPr>
          </w:p>
        </w:tc>
        <w:tc>
          <w:tcPr>
            <w:tcW w:w="1408" w:type="dxa"/>
            <w:tcBorders>
              <w:top w:val="nil"/>
              <w:left w:val="nil"/>
              <w:bottom w:val="nil"/>
              <w:right w:val="nil"/>
            </w:tcBorders>
            <w:shd w:val="clear" w:color="auto" w:fill="auto"/>
            <w:noWrap/>
            <w:vAlign w:val="center"/>
          </w:tcPr>
          <w:p w14:paraId="1DD20BD9">
            <w:pPr>
              <w:widowControl/>
              <w:jc w:val="center"/>
              <w:rPr>
                <w:rFonts w:hint="eastAsia" w:ascii="Times New Roman" w:hAnsi="Times New Roman" w:eastAsia="宋体" w:cs="Times New Roman"/>
                <w:color w:val="auto"/>
                <w:kern w:val="2"/>
                <w:sz w:val="24"/>
                <w:szCs w:val="24"/>
                <w:lang w:val="en-US" w:eastAsia="zh-CN" w:bidi="ar-SA"/>
              </w:rPr>
            </w:pPr>
          </w:p>
        </w:tc>
        <w:tc>
          <w:tcPr>
            <w:tcW w:w="1030" w:type="dxa"/>
            <w:tcBorders>
              <w:top w:val="nil"/>
              <w:left w:val="nil"/>
              <w:bottom w:val="nil"/>
              <w:right w:val="nil"/>
            </w:tcBorders>
            <w:shd w:val="clear" w:color="auto" w:fill="auto"/>
            <w:noWrap/>
            <w:vAlign w:val="center"/>
          </w:tcPr>
          <w:p w14:paraId="1FA1CF37">
            <w:pPr>
              <w:widowControl/>
              <w:jc w:val="center"/>
              <w:rPr>
                <w:rFonts w:hint="eastAsia" w:ascii="Times New Roman" w:hAnsi="Times New Roman" w:eastAsia="宋体" w:cs="Times New Roman"/>
                <w:color w:val="auto"/>
                <w:kern w:val="2"/>
                <w:sz w:val="24"/>
                <w:szCs w:val="24"/>
                <w:lang w:val="en-US" w:eastAsia="zh-CN" w:bidi="ar-SA"/>
              </w:rPr>
            </w:pPr>
          </w:p>
        </w:tc>
      </w:tr>
      <w:tr w14:paraId="330BB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216" w:type="dxa"/>
            <w:tcBorders>
              <w:top w:val="nil"/>
              <w:left w:val="nil"/>
              <w:bottom w:val="nil"/>
              <w:right w:val="nil"/>
            </w:tcBorders>
            <w:shd w:val="clear" w:color="auto" w:fill="auto"/>
            <w:noWrap/>
            <w:vAlign w:val="center"/>
          </w:tcPr>
          <w:p w14:paraId="288F61F6">
            <w:pPr>
              <w:widowControl/>
              <w:jc w:val="both"/>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APRI</w:t>
            </w:r>
            <w:r>
              <w:rPr>
                <w:rFonts w:hint="default" w:ascii="Times New Roman" w:hAnsi="Times New Roman" w:eastAsia="AdvPTimes" w:cs="Times New Roman"/>
                <w:color w:val="auto"/>
                <w:sz w:val="24"/>
                <w:szCs w:val="24"/>
              </w:rPr>
              <w:t>≥</w:t>
            </w:r>
            <w:r>
              <w:rPr>
                <w:rFonts w:hint="eastAsia" w:ascii="Times New Roman" w:hAnsi="Times New Roman" w:eastAsia="宋体" w:cs="Times New Roman"/>
                <w:color w:val="auto"/>
                <w:sz w:val="24"/>
                <w:szCs w:val="24"/>
                <w:lang w:val="en-US" w:eastAsia="zh-CN"/>
              </w:rPr>
              <w:t>1.5</w:t>
            </w:r>
          </w:p>
        </w:tc>
        <w:tc>
          <w:tcPr>
            <w:tcW w:w="921" w:type="dxa"/>
            <w:tcBorders>
              <w:top w:val="nil"/>
              <w:left w:val="nil"/>
              <w:bottom w:val="nil"/>
              <w:right w:val="nil"/>
            </w:tcBorders>
            <w:shd w:val="clear" w:color="auto" w:fill="auto"/>
            <w:noWrap/>
            <w:vAlign w:val="center"/>
          </w:tcPr>
          <w:p w14:paraId="5849EBBF">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1.189</w:t>
            </w:r>
          </w:p>
        </w:tc>
        <w:tc>
          <w:tcPr>
            <w:tcW w:w="1388" w:type="dxa"/>
            <w:tcBorders>
              <w:top w:val="nil"/>
              <w:left w:val="nil"/>
              <w:bottom w:val="nil"/>
              <w:right w:val="nil"/>
            </w:tcBorders>
            <w:shd w:val="clear" w:color="auto" w:fill="auto"/>
            <w:noWrap/>
            <w:vAlign w:val="center"/>
          </w:tcPr>
          <w:p w14:paraId="4ED7BA01">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1.05-1.345</w:t>
            </w:r>
          </w:p>
        </w:tc>
        <w:tc>
          <w:tcPr>
            <w:tcW w:w="1023" w:type="dxa"/>
            <w:tcBorders>
              <w:top w:val="nil"/>
              <w:left w:val="nil"/>
              <w:bottom w:val="nil"/>
              <w:right w:val="nil"/>
            </w:tcBorders>
            <w:shd w:val="clear" w:color="auto" w:fill="auto"/>
            <w:noWrap/>
            <w:vAlign w:val="center"/>
          </w:tcPr>
          <w:p w14:paraId="7A39ED0D">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b/>
                <w:bCs/>
                <w:color w:val="auto"/>
                <w:sz w:val="24"/>
                <w:szCs w:val="24"/>
                <w:lang w:val="en-US" w:eastAsia="zh-CN"/>
              </w:rPr>
              <w:t>0.006</w:t>
            </w:r>
          </w:p>
        </w:tc>
        <w:tc>
          <w:tcPr>
            <w:tcW w:w="760" w:type="dxa"/>
            <w:tcBorders>
              <w:top w:val="nil"/>
              <w:left w:val="nil"/>
              <w:bottom w:val="nil"/>
              <w:right w:val="nil"/>
            </w:tcBorders>
            <w:shd w:val="clear" w:color="auto" w:fill="auto"/>
            <w:noWrap/>
            <w:vAlign w:val="center"/>
          </w:tcPr>
          <w:p w14:paraId="23D7582B">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0.996</w:t>
            </w:r>
          </w:p>
        </w:tc>
        <w:tc>
          <w:tcPr>
            <w:tcW w:w="1408" w:type="dxa"/>
            <w:tcBorders>
              <w:top w:val="nil"/>
              <w:left w:val="nil"/>
              <w:bottom w:val="nil"/>
              <w:right w:val="nil"/>
            </w:tcBorders>
            <w:shd w:val="clear" w:color="auto" w:fill="auto"/>
            <w:noWrap/>
            <w:vAlign w:val="center"/>
          </w:tcPr>
          <w:p w14:paraId="2A5B2FCE">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0.83-1.195</w:t>
            </w:r>
          </w:p>
        </w:tc>
        <w:tc>
          <w:tcPr>
            <w:tcW w:w="1030" w:type="dxa"/>
            <w:tcBorders>
              <w:top w:val="nil"/>
              <w:left w:val="nil"/>
              <w:bottom w:val="nil"/>
              <w:right w:val="nil"/>
            </w:tcBorders>
            <w:shd w:val="clear" w:color="auto" w:fill="auto"/>
            <w:noWrap/>
            <w:vAlign w:val="center"/>
          </w:tcPr>
          <w:p w14:paraId="60875171">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0.966</w:t>
            </w:r>
          </w:p>
        </w:tc>
        <w:tc>
          <w:tcPr>
            <w:tcW w:w="760" w:type="dxa"/>
            <w:tcBorders>
              <w:top w:val="nil"/>
              <w:left w:val="nil"/>
              <w:bottom w:val="nil"/>
              <w:right w:val="nil"/>
            </w:tcBorders>
            <w:shd w:val="clear" w:color="auto" w:fill="auto"/>
            <w:noWrap/>
            <w:vAlign w:val="center"/>
          </w:tcPr>
          <w:p w14:paraId="300DD5F3">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0.978</w:t>
            </w:r>
          </w:p>
        </w:tc>
        <w:tc>
          <w:tcPr>
            <w:tcW w:w="1408" w:type="dxa"/>
            <w:tcBorders>
              <w:top w:val="nil"/>
              <w:left w:val="nil"/>
              <w:bottom w:val="nil"/>
              <w:right w:val="nil"/>
            </w:tcBorders>
            <w:shd w:val="clear" w:color="auto" w:fill="auto"/>
            <w:noWrap/>
            <w:vAlign w:val="center"/>
          </w:tcPr>
          <w:p w14:paraId="67B2FB85">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0.817-1.171</w:t>
            </w:r>
          </w:p>
        </w:tc>
        <w:tc>
          <w:tcPr>
            <w:tcW w:w="1030" w:type="dxa"/>
            <w:tcBorders>
              <w:top w:val="nil"/>
              <w:left w:val="nil"/>
              <w:bottom w:val="nil"/>
              <w:right w:val="nil"/>
            </w:tcBorders>
            <w:shd w:val="clear" w:color="auto" w:fill="auto"/>
            <w:noWrap/>
            <w:vAlign w:val="center"/>
          </w:tcPr>
          <w:p w14:paraId="1E827886">
            <w:pPr>
              <w:widowControl/>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szCs w:val="24"/>
                <w:lang w:val="en-US" w:eastAsia="zh-CN"/>
              </w:rPr>
              <w:t>0.809</w:t>
            </w:r>
          </w:p>
        </w:tc>
      </w:tr>
      <w:tr w14:paraId="662D6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216" w:type="dxa"/>
            <w:tcBorders>
              <w:top w:val="nil"/>
              <w:left w:val="nil"/>
              <w:bottom w:val="nil"/>
              <w:right w:val="nil"/>
            </w:tcBorders>
            <w:shd w:val="clear" w:color="auto" w:fill="auto"/>
            <w:noWrap/>
            <w:vAlign w:val="center"/>
          </w:tcPr>
          <w:p w14:paraId="2421CCDA">
            <w:pPr>
              <w:widowControl/>
              <w:jc w:val="both"/>
              <w:rPr>
                <w:rFonts w:hint="default" w:ascii="Times New Roman" w:hAnsi="Times New Roman" w:eastAsia="宋体" w:cs="Times New Roman"/>
                <w:color w:val="auto"/>
                <w:sz w:val="24"/>
                <w:szCs w:val="24"/>
                <w:lang w:val="en-US"/>
              </w:rPr>
            </w:pPr>
            <w:r>
              <w:rPr>
                <w:rFonts w:hint="eastAsia" w:ascii="Times New Roman" w:hAnsi="Times New Roman" w:eastAsia="宋体" w:cs="Times New Roman"/>
                <w:color w:val="auto"/>
                <w:sz w:val="24"/>
                <w:szCs w:val="24"/>
                <w:lang w:val="en-US" w:eastAsia="zh-CN"/>
              </w:rPr>
              <w:t>AFP-FIB-4 score 2</w:t>
            </w:r>
          </w:p>
        </w:tc>
        <w:tc>
          <w:tcPr>
            <w:tcW w:w="921" w:type="dxa"/>
            <w:tcBorders>
              <w:top w:val="nil"/>
              <w:left w:val="nil"/>
              <w:bottom w:val="nil"/>
              <w:right w:val="nil"/>
            </w:tcBorders>
            <w:shd w:val="clear" w:color="auto" w:fill="auto"/>
            <w:noWrap/>
            <w:vAlign w:val="center"/>
          </w:tcPr>
          <w:p w14:paraId="33A8E8DB">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1.561</w:t>
            </w:r>
          </w:p>
        </w:tc>
        <w:tc>
          <w:tcPr>
            <w:tcW w:w="1388" w:type="dxa"/>
            <w:tcBorders>
              <w:top w:val="nil"/>
              <w:left w:val="nil"/>
              <w:bottom w:val="nil"/>
              <w:right w:val="nil"/>
            </w:tcBorders>
            <w:shd w:val="clear" w:color="auto" w:fill="auto"/>
            <w:noWrap/>
            <w:vAlign w:val="center"/>
          </w:tcPr>
          <w:p w14:paraId="519FD715">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1.382-1.763</w:t>
            </w:r>
          </w:p>
        </w:tc>
        <w:tc>
          <w:tcPr>
            <w:tcW w:w="1023" w:type="dxa"/>
            <w:tcBorders>
              <w:top w:val="nil"/>
              <w:left w:val="nil"/>
              <w:bottom w:val="nil"/>
              <w:right w:val="nil"/>
            </w:tcBorders>
            <w:shd w:val="clear" w:color="auto" w:fill="auto"/>
            <w:noWrap/>
            <w:vAlign w:val="center"/>
          </w:tcPr>
          <w:p w14:paraId="0C2C1674">
            <w:pPr>
              <w:widowControl/>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
                <w:bCs/>
                <w:color w:val="auto"/>
                <w:sz w:val="24"/>
                <w:szCs w:val="24"/>
              </w:rPr>
              <w:t>&lt;0.001</w:t>
            </w:r>
          </w:p>
        </w:tc>
        <w:tc>
          <w:tcPr>
            <w:tcW w:w="760" w:type="dxa"/>
            <w:tcBorders>
              <w:top w:val="nil"/>
              <w:left w:val="nil"/>
              <w:bottom w:val="nil"/>
              <w:right w:val="nil"/>
            </w:tcBorders>
            <w:shd w:val="clear" w:color="auto" w:fill="auto"/>
            <w:noWrap/>
            <w:vAlign w:val="center"/>
          </w:tcPr>
          <w:p w14:paraId="436F9CE5">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 xml:space="preserve"> </w:t>
            </w:r>
          </w:p>
        </w:tc>
        <w:tc>
          <w:tcPr>
            <w:tcW w:w="1408" w:type="dxa"/>
            <w:tcBorders>
              <w:top w:val="nil"/>
              <w:left w:val="nil"/>
              <w:bottom w:val="nil"/>
              <w:right w:val="nil"/>
            </w:tcBorders>
            <w:shd w:val="clear" w:color="auto" w:fill="auto"/>
            <w:noWrap/>
            <w:vAlign w:val="center"/>
          </w:tcPr>
          <w:p w14:paraId="67D9CB9E">
            <w:pPr>
              <w:widowControl/>
              <w:jc w:val="center"/>
              <w:rPr>
                <w:rFonts w:hint="default" w:ascii="Times New Roman" w:hAnsi="Times New Roman" w:eastAsia="宋体" w:cs="Times New Roman"/>
                <w:color w:val="auto"/>
                <w:sz w:val="24"/>
                <w:szCs w:val="24"/>
                <w:lang w:val="en-US" w:eastAsia="zh-CN"/>
              </w:rPr>
            </w:pPr>
          </w:p>
        </w:tc>
        <w:tc>
          <w:tcPr>
            <w:tcW w:w="1030" w:type="dxa"/>
            <w:tcBorders>
              <w:top w:val="nil"/>
              <w:left w:val="nil"/>
              <w:bottom w:val="nil"/>
              <w:right w:val="nil"/>
            </w:tcBorders>
            <w:shd w:val="clear" w:color="auto" w:fill="auto"/>
            <w:noWrap/>
            <w:vAlign w:val="center"/>
          </w:tcPr>
          <w:p w14:paraId="2ACBE68F">
            <w:pPr>
              <w:widowControl/>
              <w:jc w:val="center"/>
              <w:rPr>
                <w:rFonts w:hint="default" w:ascii="Times New Roman" w:hAnsi="Times New Roman" w:eastAsia="宋体" w:cs="Times New Roman"/>
                <w:color w:val="auto"/>
                <w:sz w:val="24"/>
                <w:szCs w:val="24"/>
                <w:lang w:val="en-US" w:eastAsia="zh-CN"/>
              </w:rPr>
            </w:pPr>
          </w:p>
        </w:tc>
        <w:tc>
          <w:tcPr>
            <w:tcW w:w="760" w:type="dxa"/>
            <w:tcBorders>
              <w:top w:val="nil"/>
              <w:left w:val="nil"/>
              <w:bottom w:val="nil"/>
              <w:right w:val="nil"/>
            </w:tcBorders>
            <w:shd w:val="clear" w:color="auto" w:fill="auto"/>
            <w:noWrap/>
            <w:vAlign w:val="center"/>
          </w:tcPr>
          <w:p w14:paraId="11DD250F">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1.378</w:t>
            </w:r>
          </w:p>
        </w:tc>
        <w:tc>
          <w:tcPr>
            <w:tcW w:w="1408" w:type="dxa"/>
            <w:tcBorders>
              <w:top w:val="nil"/>
              <w:left w:val="nil"/>
              <w:bottom w:val="nil"/>
              <w:right w:val="nil"/>
            </w:tcBorders>
            <w:shd w:val="clear" w:color="auto" w:fill="auto"/>
            <w:noWrap/>
            <w:vAlign w:val="center"/>
          </w:tcPr>
          <w:p w14:paraId="0BCEAED9">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1.196-1.588</w:t>
            </w:r>
          </w:p>
        </w:tc>
        <w:tc>
          <w:tcPr>
            <w:tcW w:w="1030" w:type="dxa"/>
            <w:tcBorders>
              <w:top w:val="nil"/>
              <w:left w:val="nil"/>
              <w:bottom w:val="nil"/>
              <w:right w:val="nil"/>
            </w:tcBorders>
            <w:shd w:val="clear" w:color="auto" w:fill="auto"/>
            <w:noWrap/>
            <w:vAlign w:val="center"/>
          </w:tcPr>
          <w:p w14:paraId="29B485E2">
            <w:pPr>
              <w:widowControl/>
              <w:jc w:val="center"/>
              <w:rPr>
                <w:rFonts w:hint="eastAsia"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b/>
                <w:bCs/>
                <w:color w:val="auto"/>
                <w:sz w:val="24"/>
                <w:szCs w:val="24"/>
              </w:rPr>
              <w:t>&lt;0.001</w:t>
            </w:r>
          </w:p>
        </w:tc>
      </w:tr>
      <w:tr w14:paraId="024A7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216" w:type="dxa"/>
            <w:tcBorders>
              <w:top w:val="nil"/>
              <w:left w:val="nil"/>
              <w:bottom w:val="nil"/>
              <w:right w:val="nil"/>
            </w:tcBorders>
            <w:shd w:val="clear" w:color="auto" w:fill="auto"/>
            <w:noWrap/>
            <w:vAlign w:val="center"/>
          </w:tcPr>
          <w:p w14:paraId="1F1A9E46">
            <w:pPr>
              <w:widowControl/>
              <w:jc w:val="both"/>
              <w:rPr>
                <w:rFonts w:hint="eastAsia"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FIB-4</w:t>
            </w:r>
            <w:r>
              <w:rPr>
                <w:rFonts w:hint="default" w:ascii="Times New Roman" w:hAnsi="Times New Roman" w:eastAsia="AdvPTimes" w:cs="Times New Roman"/>
                <w:color w:val="auto"/>
                <w:sz w:val="24"/>
                <w:szCs w:val="24"/>
              </w:rPr>
              <w:t>≥</w:t>
            </w:r>
            <w:r>
              <w:rPr>
                <w:rFonts w:hint="default" w:ascii="Times New Roman" w:hAnsi="Times New Roman" w:eastAsia="宋体" w:cs="Times New Roman"/>
                <w:color w:val="auto"/>
                <w:sz w:val="24"/>
                <w:szCs w:val="24"/>
              </w:rPr>
              <w:t>3.0</w:t>
            </w:r>
          </w:p>
        </w:tc>
        <w:tc>
          <w:tcPr>
            <w:tcW w:w="921" w:type="dxa"/>
            <w:tcBorders>
              <w:top w:val="nil"/>
              <w:left w:val="nil"/>
              <w:bottom w:val="nil"/>
              <w:right w:val="nil"/>
            </w:tcBorders>
            <w:shd w:val="clear" w:color="auto" w:fill="auto"/>
            <w:noWrap/>
            <w:vAlign w:val="center"/>
          </w:tcPr>
          <w:p w14:paraId="7B746484">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1.523</w:t>
            </w:r>
          </w:p>
        </w:tc>
        <w:tc>
          <w:tcPr>
            <w:tcW w:w="1388" w:type="dxa"/>
            <w:tcBorders>
              <w:top w:val="nil"/>
              <w:left w:val="nil"/>
              <w:bottom w:val="nil"/>
              <w:right w:val="nil"/>
            </w:tcBorders>
            <w:shd w:val="clear" w:color="auto" w:fill="auto"/>
            <w:noWrap/>
            <w:vAlign w:val="center"/>
          </w:tcPr>
          <w:p w14:paraId="7ABD12A7">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1.287-1.801</w:t>
            </w:r>
          </w:p>
        </w:tc>
        <w:tc>
          <w:tcPr>
            <w:tcW w:w="1023" w:type="dxa"/>
            <w:tcBorders>
              <w:top w:val="nil"/>
              <w:left w:val="nil"/>
              <w:bottom w:val="nil"/>
              <w:right w:val="nil"/>
            </w:tcBorders>
            <w:shd w:val="clear" w:color="auto" w:fill="auto"/>
            <w:noWrap/>
            <w:vAlign w:val="center"/>
          </w:tcPr>
          <w:p w14:paraId="4745F777">
            <w:pPr>
              <w:widowControl/>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
                <w:bCs/>
                <w:color w:val="auto"/>
                <w:sz w:val="24"/>
                <w:szCs w:val="24"/>
              </w:rPr>
              <w:t>&lt;0.001</w:t>
            </w:r>
          </w:p>
        </w:tc>
        <w:tc>
          <w:tcPr>
            <w:tcW w:w="760" w:type="dxa"/>
            <w:tcBorders>
              <w:top w:val="nil"/>
              <w:left w:val="nil"/>
              <w:bottom w:val="nil"/>
              <w:right w:val="nil"/>
            </w:tcBorders>
            <w:shd w:val="clear" w:color="auto" w:fill="auto"/>
            <w:noWrap/>
            <w:vAlign w:val="center"/>
          </w:tcPr>
          <w:p w14:paraId="244CBC15">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1.159</w:t>
            </w:r>
          </w:p>
        </w:tc>
        <w:tc>
          <w:tcPr>
            <w:tcW w:w="1408" w:type="dxa"/>
            <w:tcBorders>
              <w:top w:val="nil"/>
              <w:left w:val="nil"/>
              <w:bottom w:val="nil"/>
              <w:right w:val="nil"/>
            </w:tcBorders>
            <w:shd w:val="clear" w:color="auto" w:fill="auto"/>
            <w:noWrap/>
            <w:vAlign w:val="center"/>
          </w:tcPr>
          <w:p w14:paraId="1446B90F">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0.883-1.521</w:t>
            </w:r>
          </w:p>
        </w:tc>
        <w:tc>
          <w:tcPr>
            <w:tcW w:w="1030" w:type="dxa"/>
            <w:tcBorders>
              <w:top w:val="nil"/>
              <w:left w:val="nil"/>
              <w:bottom w:val="nil"/>
              <w:right w:val="nil"/>
            </w:tcBorders>
            <w:shd w:val="clear" w:color="auto" w:fill="auto"/>
            <w:noWrap/>
            <w:vAlign w:val="center"/>
          </w:tcPr>
          <w:p w14:paraId="4D4E626C">
            <w:pPr>
              <w:keepNext w:val="0"/>
              <w:keepLines w:val="0"/>
              <w:widowControl/>
              <w:suppressLineNumbers w:val="0"/>
              <w:jc w:val="center"/>
              <w:textAlignment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0.287</w:t>
            </w:r>
          </w:p>
        </w:tc>
        <w:tc>
          <w:tcPr>
            <w:tcW w:w="760" w:type="dxa"/>
            <w:tcBorders>
              <w:top w:val="nil"/>
              <w:left w:val="nil"/>
              <w:bottom w:val="nil"/>
              <w:right w:val="nil"/>
            </w:tcBorders>
            <w:shd w:val="clear" w:color="auto" w:fill="auto"/>
            <w:noWrap/>
            <w:vAlign w:val="center"/>
          </w:tcPr>
          <w:p w14:paraId="0E5289CF">
            <w:pPr>
              <w:widowControl/>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szCs w:val="24"/>
                <w:lang w:val="en-US" w:eastAsia="zh-CN"/>
              </w:rPr>
              <w:t>0.914</w:t>
            </w:r>
          </w:p>
        </w:tc>
        <w:tc>
          <w:tcPr>
            <w:tcW w:w="1408" w:type="dxa"/>
            <w:tcBorders>
              <w:top w:val="nil"/>
              <w:left w:val="nil"/>
              <w:bottom w:val="nil"/>
              <w:right w:val="nil"/>
            </w:tcBorders>
            <w:shd w:val="clear" w:color="auto" w:fill="auto"/>
            <w:noWrap/>
            <w:vAlign w:val="center"/>
          </w:tcPr>
          <w:p w14:paraId="7E5656DF">
            <w:pPr>
              <w:widowControl/>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szCs w:val="24"/>
                <w:lang w:val="en-US" w:eastAsia="zh-CN"/>
              </w:rPr>
              <w:t>0.688-1.214</w:t>
            </w:r>
          </w:p>
        </w:tc>
        <w:tc>
          <w:tcPr>
            <w:tcW w:w="1030" w:type="dxa"/>
            <w:tcBorders>
              <w:top w:val="nil"/>
              <w:left w:val="nil"/>
              <w:bottom w:val="nil"/>
              <w:right w:val="nil"/>
            </w:tcBorders>
            <w:shd w:val="clear" w:color="auto" w:fill="auto"/>
            <w:noWrap/>
            <w:vAlign w:val="center"/>
          </w:tcPr>
          <w:p w14:paraId="5B5FAB40">
            <w:pPr>
              <w:widowControl/>
              <w:jc w:val="center"/>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szCs w:val="24"/>
                <w:lang w:val="en-US" w:eastAsia="zh-CN"/>
              </w:rPr>
              <w:t>0.535</w:t>
            </w:r>
          </w:p>
        </w:tc>
      </w:tr>
      <w:tr w14:paraId="53BB4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216" w:type="dxa"/>
            <w:tcBorders>
              <w:top w:val="nil"/>
              <w:left w:val="nil"/>
              <w:bottom w:val="nil"/>
              <w:right w:val="nil"/>
            </w:tcBorders>
            <w:shd w:val="clear" w:color="auto" w:fill="auto"/>
            <w:noWrap/>
            <w:vAlign w:val="center"/>
          </w:tcPr>
          <w:p w14:paraId="06A22B9C">
            <w:pPr>
              <w:widowControl/>
              <w:jc w:val="both"/>
              <w:rPr>
                <w:rFonts w:hint="eastAsia"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AST</w:t>
            </w:r>
            <w:r>
              <w:rPr>
                <w:rFonts w:hint="default" w:ascii="Times New Roman" w:hAnsi="Times New Roman" w:eastAsia="AdvPTimes" w:cs="Times New Roman"/>
                <w:color w:val="auto"/>
                <w:sz w:val="24"/>
                <w:szCs w:val="24"/>
              </w:rPr>
              <w:t>≥</w:t>
            </w:r>
            <w:r>
              <w:rPr>
                <w:rFonts w:hint="default" w:ascii="Times New Roman" w:hAnsi="Times New Roman" w:eastAsia="宋体" w:cs="Times New Roman"/>
                <w:color w:val="auto"/>
                <w:sz w:val="24"/>
                <w:szCs w:val="24"/>
              </w:rPr>
              <w:t>80U/L</w:t>
            </w:r>
          </w:p>
        </w:tc>
        <w:tc>
          <w:tcPr>
            <w:tcW w:w="921" w:type="dxa"/>
            <w:tcBorders>
              <w:top w:val="nil"/>
              <w:left w:val="nil"/>
              <w:bottom w:val="nil"/>
              <w:right w:val="nil"/>
            </w:tcBorders>
            <w:shd w:val="clear" w:color="auto" w:fill="auto"/>
            <w:noWrap/>
            <w:vAlign w:val="center"/>
          </w:tcPr>
          <w:p w14:paraId="12AEFFDB">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1.438</w:t>
            </w:r>
          </w:p>
        </w:tc>
        <w:tc>
          <w:tcPr>
            <w:tcW w:w="1388" w:type="dxa"/>
            <w:tcBorders>
              <w:top w:val="nil"/>
              <w:left w:val="nil"/>
              <w:bottom w:val="nil"/>
              <w:right w:val="nil"/>
            </w:tcBorders>
            <w:shd w:val="clear" w:color="auto" w:fill="auto"/>
            <w:noWrap/>
            <w:vAlign w:val="center"/>
          </w:tcPr>
          <w:p w14:paraId="794EEFA7">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1.165-1.774</w:t>
            </w:r>
          </w:p>
        </w:tc>
        <w:tc>
          <w:tcPr>
            <w:tcW w:w="1023" w:type="dxa"/>
            <w:tcBorders>
              <w:top w:val="nil"/>
              <w:left w:val="nil"/>
              <w:bottom w:val="nil"/>
              <w:right w:val="nil"/>
            </w:tcBorders>
            <w:shd w:val="clear" w:color="auto" w:fill="auto"/>
            <w:noWrap/>
            <w:vAlign w:val="center"/>
          </w:tcPr>
          <w:p w14:paraId="4F425743">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b/>
                <w:bCs/>
                <w:color w:val="auto"/>
                <w:sz w:val="24"/>
                <w:szCs w:val="24"/>
                <w:lang w:val="en-US" w:eastAsia="zh-CN"/>
              </w:rPr>
              <w:t>0.001</w:t>
            </w:r>
          </w:p>
        </w:tc>
        <w:tc>
          <w:tcPr>
            <w:tcW w:w="760" w:type="dxa"/>
            <w:tcBorders>
              <w:top w:val="nil"/>
              <w:left w:val="nil"/>
              <w:bottom w:val="nil"/>
              <w:right w:val="nil"/>
            </w:tcBorders>
            <w:shd w:val="clear" w:color="auto" w:fill="auto"/>
            <w:noWrap/>
            <w:vAlign w:val="center"/>
          </w:tcPr>
          <w:p w14:paraId="7CFBBEBB">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1.189</w:t>
            </w:r>
          </w:p>
        </w:tc>
        <w:tc>
          <w:tcPr>
            <w:tcW w:w="1408" w:type="dxa"/>
            <w:tcBorders>
              <w:top w:val="nil"/>
              <w:left w:val="nil"/>
              <w:bottom w:val="nil"/>
              <w:right w:val="nil"/>
            </w:tcBorders>
            <w:shd w:val="clear" w:color="auto" w:fill="auto"/>
            <w:noWrap/>
            <w:vAlign w:val="center"/>
          </w:tcPr>
          <w:p w14:paraId="199D93A4">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0.925-1.528</w:t>
            </w:r>
          </w:p>
        </w:tc>
        <w:tc>
          <w:tcPr>
            <w:tcW w:w="1030" w:type="dxa"/>
            <w:tcBorders>
              <w:top w:val="nil"/>
              <w:left w:val="nil"/>
              <w:bottom w:val="nil"/>
              <w:right w:val="nil"/>
            </w:tcBorders>
            <w:shd w:val="clear" w:color="auto" w:fill="auto"/>
            <w:noWrap/>
            <w:vAlign w:val="center"/>
          </w:tcPr>
          <w:p w14:paraId="0BE9FA06">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0.177</w:t>
            </w:r>
          </w:p>
        </w:tc>
        <w:tc>
          <w:tcPr>
            <w:tcW w:w="760" w:type="dxa"/>
            <w:tcBorders>
              <w:top w:val="nil"/>
              <w:left w:val="nil"/>
              <w:bottom w:val="nil"/>
              <w:right w:val="nil"/>
            </w:tcBorders>
            <w:shd w:val="clear" w:color="auto" w:fill="auto"/>
            <w:noWrap/>
            <w:vAlign w:val="center"/>
          </w:tcPr>
          <w:p w14:paraId="4C77370E">
            <w:pPr>
              <w:widowControl/>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szCs w:val="24"/>
                <w:lang w:val="en-US" w:eastAsia="zh-CN"/>
              </w:rPr>
              <w:t>1.145</w:t>
            </w:r>
          </w:p>
        </w:tc>
        <w:tc>
          <w:tcPr>
            <w:tcW w:w="1408" w:type="dxa"/>
            <w:tcBorders>
              <w:top w:val="nil"/>
              <w:left w:val="nil"/>
              <w:bottom w:val="nil"/>
              <w:right w:val="nil"/>
            </w:tcBorders>
            <w:shd w:val="clear" w:color="auto" w:fill="auto"/>
            <w:noWrap/>
            <w:vAlign w:val="center"/>
          </w:tcPr>
          <w:p w14:paraId="3F27589C">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0.891-1.47</w:t>
            </w:r>
          </w:p>
        </w:tc>
        <w:tc>
          <w:tcPr>
            <w:tcW w:w="1030" w:type="dxa"/>
            <w:tcBorders>
              <w:top w:val="nil"/>
              <w:left w:val="nil"/>
              <w:bottom w:val="nil"/>
              <w:right w:val="nil"/>
            </w:tcBorders>
            <w:shd w:val="clear" w:color="auto" w:fill="auto"/>
            <w:noWrap/>
            <w:vAlign w:val="center"/>
          </w:tcPr>
          <w:p w14:paraId="468ED13A">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0.291</w:t>
            </w:r>
          </w:p>
        </w:tc>
      </w:tr>
      <w:tr w14:paraId="03C56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216" w:type="dxa"/>
            <w:tcBorders>
              <w:top w:val="nil"/>
              <w:left w:val="nil"/>
              <w:bottom w:val="nil"/>
              <w:right w:val="nil"/>
            </w:tcBorders>
            <w:shd w:val="clear" w:color="auto" w:fill="auto"/>
            <w:noWrap/>
            <w:vAlign w:val="center"/>
          </w:tcPr>
          <w:p w14:paraId="6E3B5A01">
            <w:pPr>
              <w:widowControl/>
              <w:jc w:val="both"/>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ALT</w:t>
            </w:r>
            <w:r>
              <w:rPr>
                <w:rFonts w:hint="default" w:ascii="Times New Roman" w:hAnsi="Times New Roman" w:eastAsia="AdvPTimes" w:cs="Times New Roman"/>
                <w:color w:val="auto"/>
                <w:sz w:val="24"/>
                <w:szCs w:val="24"/>
              </w:rPr>
              <w:t>≥</w:t>
            </w:r>
            <w:r>
              <w:rPr>
                <w:rFonts w:hint="default" w:ascii="Times New Roman" w:hAnsi="Times New Roman" w:eastAsia="宋体" w:cs="Times New Roman"/>
                <w:color w:val="auto"/>
                <w:sz w:val="24"/>
                <w:szCs w:val="24"/>
              </w:rPr>
              <w:t>80U/L</w:t>
            </w:r>
          </w:p>
        </w:tc>
        <w:tc>
          <w:tcPr>
            <w:tcW w:w="921" w:type="dxa"/>
            <w:tcBorders>
              <w:top w:val="nil"/>
              <w:left w:val="nil"/>
              <w:bottom w:val="nil"/>
              <w:right w:val="nil"/>
            </w:tcBorders>
            <w:shd w:val="clear" w:color="auto" w:fill="auto"/>
            <w:noWrap/>
            <w:vAlign w:val="center"/>
          </w:tcPr>
          <w:p w14:paraId="365ACC10">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0.976</w:t>
            </w:r>
          </w:p>
        </w:tc>
        <w:tc>
          <w:tcPr>
            <w:tcW w:w="1388" w:type="dxa"/>
            <w:tcBorders>
              <w:top w:val="nil"/>
              <w:left w:val="nil"/>
              <w:bottom w:val="nil"/>
              <w:right w:val="nil"/>
            </w:tcBorders>
            <w:shd w:val="clear" w:color="auto" w:fill="auto"/>
            <w:noWrap/>
            <w:vAlign w:val="center"/>
          </w:tcPr>
          <w:p w14:paraId="575D4ADC">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0.759-1.256</w:t>
            </w:r>
          </w:p>
        </w:tc>
        <w:tc>
          <w:tcPr>
            <w:tcW w:w="1023" w:type="dxa"/>
            <w:tcBorders>
              <w:top w:val="nil"/>
              <w:left w:val="nil"/>
              <w:bottom w:val="nil"/>
              <w:right w:val="nil"/>
            </w:tcBorders>
            <w:shd w:val="clear" w:color="auto" w:fill="auto"/>
            <w:noWrap/>
            <w:vAlign w:val="center"/>
          </w:tcPr>
          <w:p w14:paraId="4208C030">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0.852</w:t>
            </w:r>
          </w:p>
        </w:tc>
        <w:tc>
          <w:tcPr>
            <w:tcW w:w="760" w:type="dxa"/>
            <w:tcBorders>
              <w:top w:val="nil"/>
              <w:left w:val="nil"/>
              <w:bottom w:val="nil"/>
              <w:right w:val="nil"/>
            </w:tcBorders>
            <w:shd w:val="clear" w:color="auto" w:fill="auto"/>
            <w:noWrap/>
            <w:vAlign w:val="center"/>
          </w:tcPr>
          <w:p w14:paraId="55817D63">
            <w:pPr>
              <w:widowControl/>
              <w:jc w:val="center"/>
              <w:rPr>
                <w:rFonts w:hint="eastAsia" w:ascii="Times New Roman" w:hAnsi="Times New Roman" w:eastAsia="宋体" w:cs="Times New Roman"/>
                <w:color w:val="auto"/>
                <w:sz w:val="24"/>
                <w:szCs w:val="24"/>
                <w:lang w:val="en-US" w:eastAsia="zh-CN"/>
              </w:rPr>
            </w:pPr>
          </w:p>
        </w:tc>
        <w:tc>
          <w:tcPr>
            <w:tcW w:w="1408" w:type="dxa"/>
            <w:tcBorders>
              <w:top w:val="nil"/>
              <w:left w:val="nil"/>
              <w:bottom w:val="nil"/>
              <w:right w:val="nil"/>
            </w:tcBorders>
            <w:shd w:val="clear" w:color="auto" w:fill="auto"/>
            <w:noWrap/>
            <w:vAlign w:val="center"/>
          </w:tcPr>
          <w:p w14:paraId="03D90B3C">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 xml:space="preserve"> </w:t>
            </w:r>
          </w:p>
        </w:tc>
        <w:tc>
          <w:tcPr>
            <w:tcW w:w="1030" w:type="dxa"/>
            <w:tcBorders>
              <w:top w:val="nil"/>
              <w:left w:val="nil"/>
              <w:bottom w:val="nil"/>
              <w:right w:val="nil"/>
            </w:tcBorders>
            <w:shd w:val="clear" w:color="auto" w:fill="auto"/>
            <w:noWrap/>
            <w:vAlign w:val="center"/>
          </w:tcPr>
          <w:p w14:paraId="1E013621">
            <w:pPr>
              <w:widowControl/>
              <w:jc w:val="center"/>
              <w:rPr>
                <w:rFonts w:hint="default" w:ascii="Times New Roman" w:hAnsi="Times New Roman" w:eastAsia="宋体" w:cs="Times New Roman"/>
                <w:color w:val="auto"/>
                <w:sz w:val="24"/>
                <w:szCs w:val="24"/>
                <w:lang w:val="en-US" w:eastAsia="zh-CN"/>
              </w:rPr>
            </w:pPr>
          </w:p>
        </w:tc>
        <w:tc>
          <w:tcPr>
            <w:tcW w:w="760" w:type="dxa"/>
            <w:tcBorders>
              <w:top w:val="nil"/>
              <w:left w:val="nil"/>
              <w:bottom w:val="nil"/>
              <w:right w:val="nil"/>
            </w:tcBorders>
            <w:shd w:val="clear" w:color="auto" w:fill="auto"/>
            <w:noWrap/>
            <w:vAlign w:val="center"/>
          </w:tcPr>
          <w:p w14:paraId="4C899279">
            <w:pPr>
              <w:widowControl/>
              <w:jc w:val="center"/>
              <w:rPr>
                <w:rFonts w:hint="default" w:ascii="Times New Roman" w:hAnsi="Times New Roman" w:eastAsia="宋体" w:cs="Times New Roman"/>
                <w:color w:val="auto"/>
                <w:kern w:val="2"/>
                <w:sz w:val="24"/>
                <w:szCs w:val="24"/>
                <w:lang w:val="en-US" w:eastAsia="zh-CN" w:bidi="ar-SA"/>
              </w:rPr>
            </w:pPr>
          </w:p>
        </w:tc>
        <w:tc>
          <w:tcPr>
            <w:tcW w:w="1408" w:type="dxa"/>
            <w:tcBorders>
              <w:top w:val="nil"/>
              <w:left w:val="nil"/>
              <w:bottom w:val="nil"/>
              <w:right w:val="nil"/>
            </w:tcBorders>
            <w:shd w:val="clear" w:color="auto" w:fill="auto"/>
            <w:noWrap/>
            <w:vAlign w:val="center"/>
          </w:tcPr>
          <w:p w14:paraId="2EA32262">
            <w:pPr>
              <w:widowControl/>
              <w:jc w:val="both"/>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szCs w:val="24"/>
                <w:lang w:val="en-US" w:eastAsia="zh-CN"/>
              </w:rPr>
              <w:t xml:space="preserve"> </w:t>
            </w:r>
          </w:p>
        </w:tc>
        <w:tc>
          <w:tcPr>
            <w:tcW w:w="1030" w:type="dxa"/>
            <w:tcBorders>
              <w:top w:val="nil"/>
              <w:left w:val="nil"/>
              <w:bottom w:val="nil"/>
              <w:right w:val="nil"/>
            </w:tcBorders>
            <w:shd w:val="clear" w:color="auto" w:fill="auto"/>
            <w:noWrap/>
            <w:vAlign w:val="center"/>
          </w:tcPr>
          <w:p w14:paraId="7593F720">
            <w:pPr>
              <w:widowControl/>
              <w:jc w:val="center"/>
              <w:rPr>
                <w:rFonts w:hint="default" w:ascii="Times New Roman" w:hAnsi="Times New Roman" w:eastAsia="宋体" w:cs="Times New Roman"/>
                <w:color w:val="auto"/>
                <w:kern w:val="2"/>
                <w:sz w:val="24"/>
                <w:szCs w:val="24"/>
                <w:lang w:val="en-US" w:eastAsia="zh-CN" w:bidi="ar-SA"/>
              </w:rPr>
            </w:pPr>
          </w:p>
        </w:tc>
      </w:tr>
      <w:tr w14:paraId="5D921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216" w:type="dxa"/>
            <w:tcBorders>
              <w:top w:val="nil"/>
              <w:left w:val="nil"/>
              <w:bottom w:val="nil"/>
              <w:right w:val="nil"/>
            </w:tcBorders>
            <w:shd w:val="clear" w:color="auto" w:fill="auto"/>
            <w:noWrap/>
            <w:vAlign w:val="center"/>
          </w:tcPr>
          <w:p w14:paraId="1F32A246">
            <w:pPr>
              <w:widowControl/>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AFP</w:t>
            </w:r>
            <w:r>
              <w:rPr>
                <w:rFonts w:hint="default" w:ascii="Times New Roman" w:hAnsi="Times New Roman" w:eastAsia="AdvPTimes" w:cs="Times New Roman"/>
                <w:color w:val="auto"/>
                <w:sz w:val="24"/>
                <w:szCs w:val="24"/>
              </w:rPr>
              <w:t>≥</w:t>
            </w:r>
            <w:r>
              <w:rPr>
                <w:rFonts w:hint="default" w:ascii="Times New Roman" w:hAnsi="Times New Roman" w:eastAsia="宋体" w:cs="Times New Roman"/>
                <w:color w:val="auto"/>
                <w:sz w:val="24"/>
                <w:szCs w:val="24"/>
              </w:rPr>
              <w:t>200 ng/mL</w:t>
            </w:r>
          </w:p>
        </w:tc>
        <w:tc>
          <w:tcPr>
            <w:tcW w:w="921" w:type="dxa"/>
            <w:tcBorders>
              <w:top w:val="nil"/>
              <w:left w:val="nil"/>
              <w:bottom w:val="nil"/>
              <w:right w:val="nil"/>
            </w:tcBorders>
            <w:shd w:val="clear" w:color="auto" w:fill="auto"/>
            <w:noWrap/>
            <w:vAlign w:val="center"/>
          </w:tcPr>
          <w:p w14:paraId="45380481">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1.465</w:t>
            </w:r>
          </w:p>
        </w:tc>
        <w:tc>
          <w:tcPr>
            <w:tcW w:w="1388" w:type="dxa"/>
            <w:tcBorders>
              <w:top w:val="nil"/>
              <w:left w:val="nil"/>
              <w:bottom w:val="nil"/>
              <w:right w:val="nil"/>
            </w:tcBorders>
            <w:shd w:val="clear" w:color="auto" w:fill="auto"/>
            <w:noWrap/>
            <w:vAlign w:val="center"/>
          </w:tcPr>
          <w:p w14:paraId="39A57132">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1.252-1.715</w:t>
            </w:r>
          </w:p>
        </w:tc>
        <w:tc>
          <w:tcPr>
            <w:tcW w:w="1023" w:type="dxa"/>
            <w:tcBorders>
              <w:top w:val="nil"/>
              <w:left w:val="nil"/>
              <w:bottom w:val="nil"/>
              <w:right w:val="nil"/>
            </w:tcBorders>
            <w:shd w:val="clear" w:color="auto" w:fill="auto"/>
            <w:noWrap/>
            <w:vAlign w:val="top"/>
          </w:tcPr>
          <w:p w14:paraId="4E089401">
            <w:pPr>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b/>
                <w:bCs/>
                <w:color w:val="auto"/>
                <w:sz w:val="24"/>
                <w:szCs w:val="24"/>
              </w:rPr>
              <w:t>&lt;0.001</w:t>
            </w:r>
          </w:p>
        </w:tc>
        <w:tc>
          <w:tcPr>
            <w:tcW w:w="760" w:type="dxa"/>
            <w:tcBorders>
              <w:top w:val="nil"/>
              <w:left w:val="nil"/>
              <w:bottom w:val="nil"/>
              <w:right w:val="nil"/>
            </w:tcBorders>
            <w:shd w:val="clear" w:color="auto" w:fill="auto"/>
            <w:noWrap/>
            <w:vAlign w:val="center"/>
          </w:tcPr>
          <w:p w14:paraId="29E690A6">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1.267</w:t>
            </w:r>
          </w:p>
        </w:tc>
        <w:tc>
          <w:tcPr>
            <w:tcW w:w="1408" w:type="dxa"/>
            <w:tcBorders>
              <w:top w:val="nil"/>
              <w:left w:val="nil"/>
              <w:bottom w:val="nil"/>
              <w:right w:val="nil"/>
            </w:tcBorders>
            <w:shd w:val="clear" w:color="auto" w:fill="auto"/>
            <w:noWrap/>
            <w:vAlign w:val="center"/>
          </w:tcPr>
          <w:p w14:paraId="1D3BD343">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1.08-1.486</w:t>
            </w:r>
          </w:p>
        </w:tc>
        <w:tc>
          <w:tcPr>
            <w:tcW w:w="1030" w:type="dxa"/>
            <w:tcBorders>
              <w:top w:val="nil"/>
              <w:left w:val="nil"/>
              <w:bottom w:val="nil"/>
              <w:right w:val="nil"/>
            </w:tcBorders>
            <w:shd w:val="clear" w:color="auto" w:fill="auto"/>
            <w:noWrap/>
            <w:vAlign w:val="center"/>
          </w:tcPr>
          <w:p w14:paraId="109EF200">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b/>
                <w:bCs/>
                <w:color w:val="auto"/>
                <w:sz w:val="24"/>
                <w:szCs w:val="24"/>
                <w:lang w:val="en-US" w:eastAsia="zh-CN"/>
              </w:rPr>
              <w:t>0.004</w:t>
            </w:r>
          </w:p>
        </w:tc>
        <w:tc>
          <w:tcPr>
            <w:tcW w:w="760" w:type="dxa"/>
            <w:tcBorders>
              <w:top w:val="nil"/>
              <w:left w:val="nil"/>
              <w:bottom w:val="nil"/>
              <w:right w:val="nil"/>
            </w:tcBorders>
            <w:shd w:val="clear" w:color="auto" w:fill="auto"/>
            <w:noWrap/>
            <w:vAlign w:val="center"/>
          </w:tcPr>
          <w:p w14:paraId="2A286B3C">
            <w:pPr>
              <w:widowControl/>
              <w:jc w:val="center"/>
              <w:rPr>
                <w:rFonts w:hint="default" w:ascii="Times New Roman" w:hAnsi="Times New Roman" w:eastAsia="宋体" w:cs="Times New Roman"/>
                <w:color w:val="auto"/>
                <w:sz w:val="24"/>
                <w:szCs w:val="24"/>
                <w:lang w:val="en-US" w:eastAsia="zh-CN"/>
              </w:rPr>
            </w:pPr>
          </w:p>
        </w:tc>
        <w:tc>
          <w:tcPr>
            <w:tcW w:w="1408" w:type="dxa"/>
            <w:tcBorders>
              <w:top w:val="nil"/>
              <w:left w:val="nil"/>
              <w:bottom w:val="nil"/>
              <w:right w:val="nil"/>
            </w:tcBorders>
            <w:shd w:val="clear" w:color="auto" w:fill="auto"/>
            <w:noWrap/>
            <w:vAlign w:val="center"/>
          </w:tcPr>
          <w:p w14:paraId="22021B58">
            <w:pPr>
              <w:widowControl/>
              <w:jc w:val="both"/>
              <w:rPr>
                <w:rFonts w:hint="default" w:ascii="Times New Roman" w:hAnsi="Times New Roman" w:eastAsia="宋体" w:cs="Times New Roman"/>
                <w:color w:val="auto"/>
                <w:kern w:val="2"/>
                <w:sz w:val="24"/>
                <w:szCs w:val="24"/>
                <w:lang w:val="en-US" w:eastAsia="zh-CN" w:bidi="ar-SA"/>
              </w:rPr>
            </w:pPr>
          </w:p>
        </w:tc>
        <w:tc>
          <w:tcPr>
            <w:tcW w:w="1030" w:type="dxa"/>
            <w:tcBorders>
              <w:top w:val="nil"/>
              <w:left w:val="nil"/>
              <w:bottom w:val="nil"/>
              <w:right w:val="nil"/>
            </w:tcBorders>
            <w:shd w:val="clear" w:color="auto" w:fill="auto"/>
            <w:noWrap/>
            <w:vAlign w:val="center"/>
          </w:tcPr>
          <w:p w14:paraId="407AC981">
            <w:pPr>
              <w:widowControl/>
              <w:jc w:val="center"/>
              <w:rPr>
                <w:rFonts w:hint="default" w:ascii="Times New Roman" w:hAnsi="Times New Roman" w:eastAsia="宋体" w:cs="Times New Roman"/>
                <w:color w:val="auto"/>
                <w:kern w:val="2"/>
                <w:sz w:val="24"/>
                <w:szCs w:val="24"/>
                <w:lang w:val="en-US" w:eastAsia="zh-CN" w:bidi="ar-SA"/>
              </w:rPr>
            </w:pPr>
          </w:p>
        </w:tc>
      </w:tr>
      <w:tr w14:paraId="46A3E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216" w:type="dxa"/>
            <w:tcBorders>
              <w:top w:val="nil"/>
              <w:left w:val="nil"/>
              <w:bottom w:val="nil"/>
              <w:right w:val="nil"/>
            </w:tcBorders>
            <w:shd w:val="clear" w:color="auto" w:fill="auto"/>
            <w:noWrap/>
            <w:vAlign w:val="center"/>
          </w:tcPr>
          <w:p w14:paraId="7C297830">
            <w:pPr>
              <w:rPr>
                <w:rFonts w:hint="default" w:ascii="Times New Roman" w:hAnsi="Times New Roman" w:eastAsia="AdvPTimes" w:cs="Times New Roman"/>
                <w:color w:val="auto"/>
                <w:sz w:val="24"/>
                <w:szCs w:val="24"/>
              </w:rPr>
            </w:pPr>
            <w:r>
              <w:rPr>
                <w:rFonts w:hint="eastAsia" w:ascii="Times New Roman" w:hAnsi="Times New Roman" w:eastAsia="宋体" w:cs="Times New Roman"/>
                <w:color w:val="auto"/>
                <w:sz w:val="24"/>
                <w:szCs w:val="24"/>
                <w:lang w:eastAsia="zh-CN"/>
              </w:rPr>
              <w:t>Edmondson</w:t>
            </w:r>
            <w:r>
              <w:rPr>
                <w:rFonts w:hint="eastAsia" w:ascii="Times New Roman" w:hAnsi="Times New Roman" w:eastAsia="宋体" w:cs="Times New Roman"/>
                <w:color w:val="auto"/>
                <w:sz w:val="24"/>
                <w:szCs w:val="24"/>
                <w:lang w:val="en-US" w:eastAsia="zh-CN"/>
              </w:rPr>
              <w:t>-Steiner</w:t>
            </w:r>
            <w:r>
              <w:rPr>
                <w:rFonts w:hint="eastAsia" w:ascii="Times New Roman" w:hAnsi="Times New Roman" w:eastAsia="宋体" w:cs="Times New Roman"/>
                <w:color w:val="auto"/>
                <w:sz w:val="24"/>
                <w:szCs w:val="24"/>
              </w:rPr>
              <w:t xml:space="preserve"> grad</w:t>
            </w:r>
            <w:r>
              <w:rPr>
                <w:rFonts w:hint="eastAsia" w:ascii="Times New Roman" w:hAnsi="Times New Roman" w:eastAsia="宋体" w:cs="Times New Roman"/>
                <w:color w:val="auto"/>
                <w:sz w:val="24"/>
                <w:szCs w:val="24"/>
                <w:lang w:val="en-US" w:eastAsia="zh-CN"/>
              </w:rPr>
              <w:t>ing III-IV</w:t>
            </w:r>
          </w:p>
        </w:tc>
        <w:tc>
          <w:tcPr>
            <w:tcW w:w="921" w:type="dxa"/>
            <w:tcBorders>
              <w:top w:val="nil"/>
              <w:left w:val="nil"/>
              <w:bottom w:val="nil"/>
              <w:right w:val="nil"/>
            </w:tcBorders>
            <w:shd w:val="clear" w:color="auto" w:fill="auto"/>
            <w:noWrap/>
            <w:vAlign w:val="center"/>
          </w:tcPr>
          <w:p w14:paraId="5CA495E1">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1.280</w:t>
            </w:r>
          </w:p>
        </w:tc>
        <w:tc>
          <w:tcPr>
            <w:tcW w:w="1388" w:type="dxa"/>
            <w:tcBorders>
              <w:top w:val="nil"/>
              <w:left w:val="nil"/>
              <w:bottom w:val="nil"/>
              <w:right w:val="nil"/>
            </w:tcBorders>
            <w:shd w:val="clear" w:color="auto" w:fill="auto"/>
            <w:noWrap/>
            <w:vAlign w:val="center"/>
          </w:tcPr>
          <w:p w14:paraId="719FDA90">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0.756-2.168</w:t>
            </w:r>
          </w:p>
        </w:tc>
        <w:tc>
          <w:tcPr>
            <w:tcW w:w="1023" w:type="dxa"/>
            <w:tcBorders>
              <w:top w:val="nil"/>
              <w:left w:val="nil"/>
              <w:bottom w:val="nil"/>
              <w:right w:val="nil"/>
            </w:tcBorders>
            <w:shd w:val="clear" w:color="auto" w:fill="auto"/>
            <w:noWrap/>
            <w:vAlign w:val="center"/>
          </w:tcPr>
          <w:p w14:paraId="47A43AB3">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0.289</w:t>
            </w:r>
          </w:p>
        </w:tc>
        <w:tc>
          <w:tcPr>
            <w:tcW w:w="760" w:type="dxa"/>
            <w:tcBorders>
              <w:top w:val="nil"/>
              <w:left w:val="nil"/>
              <w:bottom w:val="nil"/>
              <w:right w:val="nil"/>
            </w:tcBorders>
            <w:shd w:val="clear" w:color="auto" w:fill="auto"/>
            <w:noWrap/>
            <w:vAlign w:val="center"/>
          </w:tcPr>
          <w:p w14:paraId="1DC2D4EB">
            <w:pPr>
              <w:widowControl/>
              <w:jc w:val="center"/>
              <w:rPr>
                <w:rFonts w:hint="default" w:ascii="Times New Roman" w:hAnsi="Times New Roman" w:eastAsia="宋体" w:cs="Times New Roman"/>
                <w:color w:val="auto"/>
                <w:sz w:val="24"/>
                <w:szCs w:val="24"/>
                <w:lang w:val="en-US" w:eastAsia="zh-CN"/>
              </w:rPr>
            </w:pPr>
          </w:p>
        </w:tc>
        <w:tc>
          <w:tcPr>
            <w:tcW w:w="1408" w:type="dxa"/>
            <w:tcBorders>
              <w:top w:val="nil"/>
              <w:left w:val="nil"/>
              <w:bottom w:val="nil"/>
              <w:right w:val="nil"/>
            </w:tcBorders>
            <w:shd w:val="clear" w:color="auto" w:fill="auto"/>
            <w:noWrap/>
            <w:vAlign w:val="center"/>
          </w:tcPr>
          <w:p w14:paraId="0B695B08">
            <w:pPr>
              <w:widowControl/>
              <w:jc w:val="center"/>
              <w:rPr>
                <w:rFonts w:hint="default" w:ascii="Times New Roman" w:hAnsi="Times New Roman" w:eastAsia="宋体" w:cs="Times New Roman"/>
                <w:color w:val="auto"/>
                <w:sz w:val="24"/>
                <w:szCs w:val="24"/>
                <w:lang w:val="en-US" w:eastAsia="zh-CN"/>
              </w:rPr>
            </w:pPr>
          </w:p>
        </w:tc>
        <w:tc>
          <w:tcPr>
            <w:tcW w:w="1030" w:type="dxa"/>
            <w:tcBorders>
              <w:top w:val="nil"/>
              <w:left w:val="nil"/>
              <w:bottom w:val="nil"/>
              <w:right w:val="nil"/>
            </w:tcBorders>
            <w:shd w:val="clear" w:color="auto" w:fill="auto"/>
            <w:noWrap/>
            <w:vAlign w:val="center"/>
          </w:tcPr>
          <w:p w14:paraId="440ADF23">
            <w:pPr>
              <w:widowControl/>
              <w:jc w:val="center"/>
              <w:rPr>
                <w:rFonts w:hint="default" w:ascii="Times New Roman" w:hAnsi="Times New Roman" w:eastAsia="宋体" w:cs="Times New Roman"/>
                <w:color w:val="auto"/>
                <w:sz w:val="24"/>
                <w:szCs w:val="24"/>
                <w:lang w:val="en-US" w:eastAsia="zh-CN"/>
              </w:rPr>
            </w:pPr>
          </w:p>
        </w:tc>
        <w:tc>
          <w:tcPr>
            <w:tcW w:w="760" w:type="dxa"/>
            <w:tcBorders>
              <w:top w:val="nil"/>
              <w:left w:val="nil"/>
              <w:bottom w:val="nil"/>
              <w:right w:val="nil"/>
            </w:tcBorders>
            <w:shd w:val="clear" w:color="auto" w:fill="auto"/>
            <w:noWrap/>
            <w:vAlign w:val="center"/>
          </w:tcPr>
          <w:p w14:paraId="019AD9E1">
            <w:pPr>
              <w:widowControl/>
              <w:jc w:val="center"/>
              <w:rPr>
                <w:rFonts w:hint="default" w:ascii="Times New Roman" w:hAnsi="Times New Roman" w:eastAsia="宋体" w:cs="Times New Roman"/>
                <w:color w:val="auto"/>
                <w:kern w:val="2"/>
                <w:sz w:val="24"/>
                <w:szCs w:val="24"/>
                <w:lang w:val="en-US" w:eastAsia="zh-CN" w:bidi="ar-SA"/>
              </w:rPr>
            </w:pPr>
          </w:p>
        </w:tc>
        <w:tc>
          <w:tcPr>
            <w:tcW w:w="1408" w:type="dxa"/>
            <w:tcBorders>
              <w:top w:val="nil"/>
              <w:left w:val="nil"/>
              <w:bottom w:val="nil"/>
              <w:right w:val="nil"/>
            </w:tcBorders>
            <w:shd w:val="clear" w:color="auto" w:fill="auto"/>
            <w:noWrap/>
            <w:vAlign w:val="center"/>
          </w:tcPr>
          <w:p w14:paraId="0CC5CB66">
            <w:pPr>
              <w:widowControl/>
              <w:jc w:val="center"/>
              <w:rPr>
                <w:rFonts w:hint="default" w:ascii="Times New Roman" w:hAnsi="Times New Roman" w:eastAsia="宋体" w:cs="Times New Roman"/>
                <w:color w:val="auto"/>
                <w:kern w:val="2"/>
                <w:sz w:val="24"/>
                <w:szCs w:val="24"/>
                <w:lang w:val="en-US" w:eastAsia="zh-CN" w:bidi="ar-SA"/>
              </w:rPr>
            </w:pPr>
          </w:p>
        </w:tc>
        <w:tc>
          <w:tcPr>
            <w:tcW w:w="1030" w:type="dxa"/>
            <w:tcBorders>
              <w:top w:val="nil"/>
              <w:left w:val="nil"/>
              <w:bottom w:val="nil"/>
              <w:right w:val="nil"/>
            </w:tcBorders>
            <w:shd w:val="clear" w:color="auto" w:fill="auto"/>
            <w:noWrap/>
            <w:vAlign w:val="center"/>
          </w:tcPr>
          <w:p w14:paraId="23DA4F2F">
            <w:pPr>
              <w:widowControl/>
              <w:jc w:val="center"/>
              <w:rPr>
                <w:rFonts w:hint="default" w:ascii="Times New Roman" w:hAnsi="Times New Roman" w:eastAsia="宋体" w:cs="Times New Roman"/>
                <w:color w:val="auto"/>
                <w:kern w:val="2"/>
                <w:sz w:val="24"/>
                <w:szCs w:val="24"/>
                <w:lang w:val="en-US" w:eastAsia="zh-CN" w:bidi="ar-SA"/>
              </w:rPr>
            </w:pPr>
          </w:p>
        </w:tc>
      </w:tr>
      <w:tr w14:paraId="1A4B2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216" w:type="dxa"/>
            <w:tcBorders>
              <w:top w:val="nil"/>
              <w:left w:val="nil"/>
              <w:bottom w:val="nil"/>
              <w:right w:val="nil"/>
            </w:tcBorders>
            <w:shd w:val="clear" w:color="auto" w:fill="auto"/>
            <w:noWrap/>
            <w:vAlign w:val="center"/>
          </w:tcPr>
          <w:p w14:paraId="40CF08E8">
            <w:pP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Total bilirubin</w:t>
            </w:r>
          </w:p>
          <w:p w14:paraId="15D9318C">
            <w:pPr>
              <w:widowControl/>
              <w:jc w:val="both"/>
              <w:rPr>
                <w:rFonts w:hint="default" w:ascii="Times New Roman" w:hAnsi="Times New Roman" w:eastAsia="宋体" w:cs="Times New Roman"/>
                <w:color w:val="auto"/>
                <w:sz w:val="24"/>
                <w:szCs w:val="24"/>
              </w:rPr>
            </w:pPr>
            <w:r>
              <w:rPr>
                <w:rFonts w:hint="default" w:ascii="Times New Roman" w:hAnsi="Times New Roman" w:eastAsia="AdvPTimes" w:cs="Times New Roman"/>
                <w:color w:val="auto"/>
                <w:sz w:val="24"/>
                <w:szCs w:val="24"/>
              </w:rPr>
              <w:t>≥</w:t>
            </w:r>
            <w:r>
              <w:rPr>
                <w:rFonts w:hint="default" w:ascii="Times New Roman" w:hAnsi="Times New Roman" w:eastAsia="宋体" w:cs="Times New Roman"/>
                <w:color w:val="auto"/>
                <w:sz w:val="24"/>
                <w:szCs w:val="24"/>
              </w:rPr>
              <w:t>17.1μmol/L</w:t>
            </w:r>
          </w:p>
        </w:tc>
        <w:tc>
          <w:tcPr>
            <w:tcW w:w="921" w:type="dxa"/>
            <w:tcBorders>
              <w:top w:val="nil"/>
              <w:left w:val="nil"/>
              <w:bottom w:val="nil"/>
              <w:right w:val="nil"/>
            </w:tcBorders>
            <w:shd w:val="clear" w:color="auto" w:fill="auto"/>
            <w:noWrap/>
            <w:vAlign w:val="center"/>
          </w:tcPr>
          <w:p w14:paraId="64D93B79">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1.130</w:t>
            </w:r>
          </w:p>
        </w:tc>
        <w:tc>
          <w:tcPr>
            <w:tcW w:w="1388" w:type="dxa"/>
            <w:tcBorders>
              <w:top w:val="nil"/>
              <w:left w:val="nil"/>
              <w:bottom w:val="nil"/>
              <w:right w:val="nil"/>
            </w:tcBorders>
            <w:shd w:val="clear" w:color="auto" w:fill="auto"/>
            <w:noWrap/>
            <w:vAlign w:val="center"/>
          </w:tcPr>
          <w:p w14:paraId="6BDE19D2">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0.945-1.351</w:t>
            </w:r>
          </w:p>
        </w:tc>
        <w:tc>
          <w:tcPr>
            <w:tcW w:w="1023" w:type="dxa"/>
            <w:tcBorders>
              <w:top w:val="nil"/>
              <w:left w:val="nil"/>
              <w:bottom w:val="nil"/>
              <w:right w:val="nil"/>
            </w:tcBorders>
            <w:shd w:val="clear" w:color="auto" w:fill="auto"/>
            <w:noWrap/>
            <w:vAlign w:val="center"/>
          </w:tcPr>
          <w:p w14:paraId="64DA9E80">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0.180</w:t>
            </w:r>
          </w:p>
        </w:tc>
        <w:tc>
          <w:tcPr>
            <w:tcW w:w="760" w:type="dxa"/>
            <w:tcBorders>
              <w:top w:val="nil"/>
              <w:left w:val="nil"/>
              <w:bottom w:val="nil"/>
              <w:right w:val="nil"/>
            </w:tcBorders>
            <w:shd w:val="clear" w:color="auto" w:fill="auto"/>
            <w:noWrap/>
            <w:vAlign w:val="center"/>
          </w:tcPr>
          <w:p w14:paraId="29A1964B">
            <w:pPr>
              <w:widowControl/>
              <w:jc w:val="center"/>
              <w:rPr>
                <w:rFonts w:hint="default" w:ascii="Times New Roman" w:hAnsi="Times New Roman" w:eastAsia="宋体" w:cs="Times New Roman"/>
                <w:color w:val="auto"/>
                <w:sz w:val="24"/>
                <w:szCs w:val="24"/>
                <w:lang w:val="en-US" w:eastAsia="zh-CN"/>
              </w:rPr>
            </w:pPr>
          </w:p>
        </w:tc>
        <w:tc>
          <w:tcPr>
            <w:tcW w:w="1408" w:type="dxa"/>
            <w:tcBorders>
              <w:top w:val="nil"/>
              <w:left w:val="nil"/>
              <w:bottom w:val="nil"/>
              <w:right w:val="nil"/>
            </w:tcBorders>
            <w:shd w:val="clear" w:color="auto" w:fill="auto"/>
            <w:noWrap/>
            <w:vAlign w:val="center"/>
          </w:tcPr>
          <w:p w14:paraId="6F367C60">
            <w:pPr>
              <w:widowControl/>
              <w:jc w:val="center"/>
              <w:rPr>
                <w:rFonts w:hint="default" w:ascii="Times New Roman" w:hAnsi="Times New Roman" w:eastAsia="宋体" w:cs="Times New Roman"/>
                <w:color w:val="auto"/>
                <w:sz w:val="24"/>
                <w:szCs w:val="24"/>
                <w:lang w:val="en-US" w:eastAsia="zh-CN"/>
              </w:rPr>
            </w:pPr>
          </w:p>
        </w:tc>
        <w:tc>
          <w:tcPr>
            <w:tcW w:w="1030" w:type="dxa"/>
            <w:tcBorders>
              <w:top w:val="nil"/>
              <w:left w:val="nil"/>
              <w:bottom w:val="nil"/>
              <w:right w:val="nil"/>
            </w:tcBorders>
            <w:shd w:val="clear" w:color="auto" w:fill="auto"/>
            <w:noWrap/>
            <w:vAlign w:val="center"/>
          </w:tcPr>
          <w:p w14:paraId="22C1E785">
            <w:pPr>
              <w:widowControl/>
              <w:jc w:val="center"/>
              <w:rPr>
                <w:rFonts w:hint="default" w:ascii="Times New Roman" w:hAnsi="Times New Roman" w:eastAsia="宋体" w:cs="Times New Roman"/>
                <w:color w:val="auto"/>
                <w:sz w:val="24"/>
                <w:szCs w:val="24"/>
                <w:lang w:val="en-US" w:eastAsia="zh-CN"/>
              </w:rPr>
            </w:pPr>
          </w:p>
        </w:tc>
        <w:tc>
          <w:tcPr>
            <w:tcW w:w="760" w:type="dxa"/>
            <w:tcBorders>
              <w:top w:val="nil"/>
              <w:left w:val="nil"/>
              <w:bottom w:val="nil"/>
              <w:right w:val="nil"/>
            </w:tcBorders>
            <w:shd w:val="clear" w:color="auto" w:fill="auto"/>
            <w:noWrap/>
            <w:vAlign w:val="center"/>
          </w:tcPr>
          <w:p w14:paraId="73719330">
            <w:pPr>
              <w:widowControl/>
              <w:jc w:val="center"/>
              <w:rPr>
                <w:rFonts w:hint="default" w:ascii="Times New Roman" w:hAnsi="Times New Roman" w:eastAsia="宋体" w:cs="Times New Roman"/>
                <w:color w:val="auto"/>
                <w:kern w:val="2"/>
                <w:sz w:val="24"/>
                <w:szCs w:val="24"/>
                <w:lang w:val="en-US" w:eastAsia="zh-CN" w:bidi="ar-SA"/>
              </w:rPr>
            </w:pPr>
          </w:p>
        </w:tc>
        <w:tc>
          <w:tcPr>
            <w:tcW w:w="1408" w:type="dxa"/>
            <w:tcBorders>
              <w:top w:val="nil"/>
              <w:left w:val="nil"/>
              <w:bottom w:val="nil"/>
              <w:right w:val="nil"/>
            </w:tcBorders>
            <w:shd w:val="clear" w:color="auto" w:fill="auto"/>
            <w:noWrap/>
            <w:vAlign w:val="center"/>
          </w:tcPr>
          <w:p w14:paraId="603E7572">
            <w:pPr>
              <w:widowControl/>
              <w:jc w:val="center"/>
              <w:rPr>
                <w:rFonts w:hint="default" w:ascii="Times New Roman" w:hAnsi="Times New Roman" w:eastAsia="宋体" w:cs="Times New Roman"/>
                <w:color w:val="auto"/>
                <w:kern w:val="2"/>
                <w:sz w:val="24"/>
                <w:szCs w:val="24"/>
                <w:lang w:val="en-US" w:eastAsia="zh-CN" w:bidi="ar-SA"/>
              </w:rPr>
            </w:pPr>
          </w:p>
        </w:tc>
        <w:tc>
          <w:tcPr>
            <w:tcW w:w="1030" w:type="dxa"/>
            <w:tcBorders>
              <w:top w:val="nil"/>
              <w:left w:val="nil"/>
              <w:bottom w:val="nil"/>
              <w:right w:val="nil"/>
            </w:tcBorders>
            <w:shd w:val="clear" w:color="auto" w:fill="auto"/>
            <w:noWrap/>
            <w:vAlign w:val="center"/>
          </w:tcPr>
          <w:p w14:paraId="6FFC1B83">
            <w:pPr>
              <w:widowControl/>
              <w:jc w:val="center"/>
              <w:rPr>
                <w:rFonts w:hint="default" w:ascii="Times New Roman" w:hAnsi="Times New Roman" w:eastAsia="宋体" w:cs="Times New Roman"/>
                <w:color w:val="auto"/>
                <w:kern w:val="2"/>
                <w:sz w:val="24"/>
                <w:szCs w:val="24"/>
                <w:lang w:val="en-US" w:eastAsia="zh-CN" w:bidi="ar-SA"/>
              </w:rPr>
            </w:pPr>
          </w:p>
        </w:tc>
      </w:tr>
      <w:tr w14:paraId="311BA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216" w:type="dxa"/>
            <w:tcBorders>
              <w:top w:val="nil"/>
              <w:left w:val="nil"/>
              <w:bottom w:val="nil"/>
              <w:right w:val="nil"/>
            </w:tcBorders>
            <w:shd w:val="clear" w:color="auto" w:fill="auto"/>
            <w:noWrap/>
            <w:vAlign w:val="center"/>
          </w:tcPr>
          <w:p w14:paraId="1F30073C">
            <w:pPr>
              <w:widowControl/>
              <w:jc w:val="both"/>
              <w:rPr>
                <w:rFonts w:hint="eastAsia"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Platelet</w:t>
            </w:r>
            <w:r>
              <w:rPr>
                <w:rFonts w:hint="default" w:ascii="Times New Roman" w:hAnsi="Times New Roman" w:eastAsia="AdvPTimes" w:cs="Times New Roman"/>
                <w:color w:val="auto"/>
                <w:sz w:val="24"/>
                <w:szCs w:val="24"/>
              </w:rPr>
              <w:t>≥</w:t>
            </w:r>
            <w:r>
              <w:rPr>
                <w:rFonts w:hint="default" w:ascii="Times New Roman" w:hAnsi="Times New Roman" w:eastAsia="宋体" w:cs="Times New Roman"/>
                <w:color w:val="auto"/>
                <w:sz w:val="24"/>
                <w:szCs w:val="24"/>
              </w:rPr>
              <w:t>100×10</w:t>
            </w:r>
            <w:r>
              <w:rPr>
                <w:rFonts w:hint="default" w:ascii="Times New Roman" w:hAnsi="Times New Roman" w:eastAsia="宋体" w:cs="Times New Roman"/>
                <w:color w:val="auto"/>
                <w:sz w:val="24"/>
                <w:szCs w:val="24"/>
                <w:vertAlign w:val="superscript"/>
              </w:rPr>
              <w:t>9</w:t>
            </w:r>
            <w:r>
              <w:rPr>
                <w:rFonts w:hint="default" w:ascii="Times New Roman" w:hAnsi="Times New Roman" w:eastAsia="宋体" w:cs="Times New Roman"/>
                <w:color w:val="auto"/>
                <w:sz w:val="24"/>
                <w:szCs w:val="24"/>
              </w:rPr>
              <w:t>/L</w:t>
            </w:r>
          </w:p>
        </w:tc>
        <w:tc>
          <w:tcPr>
            <w:tcW w:w="921" w:type="dxa"/>
            <w:tcBorders>
              <w:top w:val="nil"/>
              <w:left w:val="nil"/>
              <w:bottom w:val="nil"/>
              <w:right w:val="nil"/>
            </w:tcBorders>
            <w:shd w:val="clear" w:color="auto" w:fill="auto"/>
            <w:noWrap/>
            <w:vAlign w:val="center"/>
          </w:tcPr>
          <w:p w14:paraId="484BF520">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1.008</w:t>
            </w:r>
          </w:p>
        </w:tc>
        <w:tc>
          <w:tcPr>
            <w:tcW w:w="1388" w:type="dxa"/>
            <w:tcBorders>
              <w:top w:val="nil"/>
              <w:left w:val="nil"/>
              <w:bottom w:val="nil"/>
              <w:right w:val="nil"/>
            </w:tcBorders>
            <w:shd w:val="clear" w:color="auto" w:fill="auto"/>
            <w:noWrap/>
            <w:vAlign w:val="center"/>
          </w:tcPr>
          <w:p w14:paraId="56BAAFC3">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0.798-1.274</w:t>
            </w:r>
          </w:p>
        </w:tc>
        <w:tc>
          <w:tcPr>
            <w:tcW w:w="1023" w:type="dxa"/>
            <w:tcBorders>
              <w:top w:val="nil"/>
              <w:left w:val="nil"/>
              <w:bottom w:val="nil"/>
              <w:right w:val="nil"/>
            </w:tcBorders>
            <w:shd w:val="clear" w:color="auto" w:fill="auto"/>
            <w:noWrap/>
            <w:vAlign w:val="center"/>
          </w:tcPr>
          <w:p w14:paraId="1CFDE6DA">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0.944</w:t>
            </w:r>
          </w:p>
        </w:tc>
        <w:tc>
          <w:tcPr>
            <w:tcW w:w="760" w:type="dxa"/>
            <w:tcBorders>
              <w:top w:val="nil"/>
              <w:left w:val="nil"/>
              <w:bottom w:val="nil"/>
              <w:right w:val="nil"/>
            </w:tcBorders>
            <w:shd w:val="clear" w:color="auto" w:fill="auto"/>
            <w:noWrap/>
            <w:vAlign w:val="center"/>
          </w:tcPr>
          <w:p w14:paraId="1DBB95B2">
            <w:pPr>
              <w:widowControl/>
              <w:jc w:val="center"/>
              <w:rPr>
                <w:rFonts w:hint="default" w:ascii="Times New Roman" w:hAnsi="Times New Roman" w:eastAsia="宋体" w:cs="Times New Roman"/>
                <w:color w:val="auto"/>
                <w:sz w:val="24"/>
                <w:szCs w:val="24"/>
                <w:lang w:val="en-US" w:eastAsia="zh-CN"/>
              </w:rPr>
            </w:pPr>
          </w:p>
        </w:tc>
        <w:tc>
          <w:tcPr>
            <w:tcW w:w="1408" w:type="dxa"/>
            <w:tcBorders>
              <w:top w:val="nil"/>
              <w:left w:val="nil"/>
              <w:bottom w:val="nil"/>
              <w:right w:val="nil"/>
            </w:tcBorders>
            <w:shd w:val="clear" w:color="auto" w:fill="auto"/>
            <w:noWrap/>
            <w:vAlign w:val="center"/>
          </w:tcPr>
          <w:p w14:paraId="5E3ABF2E">
            <w:pPr>
              <w:widowControl/>
              <w:jc w:val="center"/>
              <w:rPr>
                <w:rFonts w:hint="default" w:ascii="Times New Roman" w:hAnsi="Times New Roman" w:eastAsia="宋体" w:cs="Times New Roman"/>
                <w:color w:val="auto"/>
                <w:sz w:val="24"/>
                <w:szCs w:val="24"/>
                <w:lang w:val="en-US" w:eastAsia="zh-CN"/>
              </w:rPr>
            </w:pPr>
          </w:p>
        </w:tc>
        <w:tc>
          <w:tcPr>
            <w:tcW w:w="1030" w:type="dxa"/>
            <w:tcBorders>
              <w:top w:val="nil"/>
              <w:left w:val="nil"/>
              <w:bottom w:val="nil"/>
              <w:right w:val="nil"/>
            </w:tcBorders>
            <w:shd w:val="clear" w:color="auto" w:fill="auto"/>
            <w:noWrap/>
            <w:vAlign w:val="center"/>
          </w:tcPr>
          <w:p w14:paraId="59EB4DE9">
            <w:pPr>
              <w:widowControl/>
              <w:jc w:val="center"/>
              <w:rPr>
                <w:rFonts w:hint="default" w:ascii="Times New Roman" w:hAnsi="Times New Roman" w:eastAsia="宋体" w:cs="Times New Roman"/>
                <w:color w:val="auto"/>
                <w:sz w:val="24"/>
                <w:szCs w:val="24"/>
                <w:lang w:val="en-US" w:eastAsia="zh-CN"/>
              </w:rPr>
            </w:pPr>
          </w:p>
        </w:tc>
        <w:tc>
          <w:tcPr>
            <w:tcW w:w="760" w:type="dxa"/>
            <w:tcBorders>
              <w:top w:val="nil"/>
              <w:left w:val="nil"/>
              <w:bottom w:val="nil"/>
              <w:right w:val="nil"/>
            </w:tcBorders>
            <w:shd w:val="clear" w:color="auto" w:fill="auto"/>
            <w:noWrap/>
            <w:vAlign w:val="center"/>
          </w:tcPr>
          <w:p w14:paraId="5781BE9A">
            <w:pPr>
              <w:widowControl/>
              <w:jc w:val="center"/>
              <w:rPr>
                <w:rFonts w:hint="default" w:ascii="Times New Roman" w:hAnsi="Times New Roman" w:eastAsia="宋体" w:cs="Times New Roman"/>
                <w:color w:val="auto"/>
                <w:kern w:val="2"/>
                <w:sz w:val="24"/>
                <w:szCs w:val="24"/>
                <w:lang w:val="en-US" w:eastAsia="zh-CN" w:bidi="ar-SA"/>
              </w:rPr>
            </w:pPr>
          </w:p>
        </w:tc>
        <w:tc>
          <w:tcPr>
            <w:tcW w:w="1408" w:type="dxa"/>
            <w:tcBorders>
              <w:top w:val="nil"/>
              <w:left w:val="nil"/>
              <w:bottom w:val="nil"/>
              <w:right w:val="nil"/>
            </w:tcBorders>
            <w:shd w:val="clear" w:color="auto" w:fill="auto"/>
            <w:noWrap/>
            <w:vAlign w:val="center"/>
          </w:tcPr>
          <w:p w14:paraId="682ED012">
            <w:pPr>
              <w:widowControl/>
              <w:jc w:val="center"/>
              <w:rPr>
                <w:rFonts w:hint="default" w:ascii="Times New Roman" w:hAnsi="Times New Roman" w:eastAsia="宋体" w:cs="Times New Roman"/>
                <w:color w:val="auto"/>
                <w:kern w:val="2"/>
                <w:sz w:val="24"/>
                <w:szCs w:val="24"/>
                <w:lang w:val="en-US" w:eastAsia="zh-CN" w:bidi="ar-SA"/>
              </w:rPr>
            </w:pPr>
          </w:p>
        </w:tc>
        <w:tc>
          <w:tcPr>
            <w:tcW w:w="1030" w:type="dxa"/>
            <w:tcBorders>
              <w:top w:val="nil"/>
              <w:left w:val="nil"/>
              <w:bottom w:val="nil"/>
              <w:right w:val="nil"/>
            </w:tcBorders>
            <w:shd w:val="clear" w:color="auto" w:fill="auto"/>
            <w:noWrap/>
            <w:vAlign w:val="center"/>
          </w:tcPr>
          <w:p w14:paraId="1EBC85D8">
            <w:pPr>
              <w:widowControl/>
              <w:jc w:val="center"/>
              <w:rPr>
                <w:rFonts w:hint="default" w:ascii="Times New Roman" w:hAnsi="Times New Roman" w:eastAsia="宋体" w:cs="Times New Roman"/>
                <w:color w:val="auto"/>
                <w:kern w:val="2"/>
                <w:sz w:val="24"/>
                <w:szCs w:val="24"/>
                <w:lang w:val="en-US" w:eastAsia="zh-CN" w:bidi="ar-SA"/>
              </w:rPr>
            </w:pPr>
          </w:p>
        </w:tc>
      </w:tr>
      <w:tr w14:paraId="21B81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216" w:type="dxa"/>
            <w:tcBorders>
              <w:top w:val="nil"/>
              <w:left w:val="nil"/>
              <w:bottom w:val="nil"/>
              <w:right w:val="nil"/>
            </w:tcBorders>
            <w:shd w:val="clear" w:color="auto" w:fill="auto"/>
            <w:noWrap/>
            <w:vAlign w:val="center"/>
          </w:tcPr>
          <w:p w14:paraId="526131F4">
            <w:pPr>
              <w:widowControl/>
              <w:jc w:val="both"/>
              <w:rPr>
                <w:rFonts w:hint="eastAsia"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Albumin≥35g/L</w:t>
            </w:r>
          </w:p>
        </w:tc>
        <w:tc>
          <w:tcPr>
            <w:tcW w:w="921" w:type="dxa"/>
            <w:tcBorders>
              <w:top w:val="nil"/>
              <w:left w:val="nil"/>
              <w:bottom w:val="nil"/>
              <w:right w:val="nil"/>
            </w:tcBorders>
            <w:shd w:val="clear" w:color="auto" w:fill="auto"/>
            <w:noWrap/>
            <w:vAlign w:val="center"/>
          </w:tcPr>
          <w:p w14:paraId="158B2603">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1.362</w:t>
            </w:r>
          </w:p>
        </w:tc>
        <w:tc>
          <w:tcPr>
            <w:tcW w:w="1388" w:type="dxa"/>
            <w:tcBorders>
              <w:top w:val="nil"/>
              <w:left w:val="nil"/>
              <w:bottom w:val="nil"/>
              <w:right w:val="nil"/>
            </w:tcBorders>
            <w:shd w:val="clear" w:color="auto" w:fill="auto"/>
            <w:noWrap/>
            <w:vAlign w:val="center"/>
          </w:tcPr>
          <w:p w14:paraId="3590A5AD">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1.047-1.771</w:t>
            </w:r>
          </w:p>
        </w:tc>
        <w:tc>
          <w:tcPr>
            <w:tcW w:w="1023" w:type="dxa"/>
            <w:tcBorders>
              <w:top w:val="nil"/>
              <w:left w:val="nil"/>
              <w:bottom w:val="nil"/>
              <w:right w:val="nil"/>
            </w:tcBorders>
            <w:shd w:val="clear" w:color="auto" w:fill="auto"/>
            <w:noWrap/>
            <w:vAlign w:val="center"/>
          </w:tcPr>
          <w:p w14:paraId="1AAF5261">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b/>
                <w:bCs/>
                <w:color w:val="auto"/>
                <w:sz w:val="24"/>
                <w:szCs w:val="24"/>
                <w:lang w:val="en-US" w:eastAsia="zh-CN"/>
              </w:rPr>
              <w:t>0.021</w:t>
            </w:r>
          </w:p>
        </w:tc>
        <w:tc>
          <w:tcPr>
            <w:tcW w:w="760" w:type="dxa"/>
            <w:tcBorders>
              <w:top w:val="nil"/>
              <w:left w:val="nil"/>
              <w:bottom w:val="nil"/>
              <w:right w:val="nil"/>
            </w:tcBorders>
            <w:shd w:val="clear" w:color="auto" w:fill="auto"/>
            <w:noWrap/>
            <w:vAlign w:val="center"/>
          </w:tcPr>
          <w:p w14:paraId="1696CC8E">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1.247</w:t>
            </w:r>
          </w:p>
        </w:tc>
        <w:tc>
          <w:tcPr>
            <w:tcW w:w="1408" w:type="dxa"/>
            <w:tcBorders>
              <w:top w:val="nil"/>
              <w:left w:val="nil"/>
              <w:bottom w:val="nil"/>
              <w:right w:val="nil"/>
            </w:tcBorders>
            <w:shd w:val="clear" w:color="auto" w:fill="auto"/>
            <w:noWrap/>
            <w:vAlign w:val="center"/>
          </w:tcPr>
          <w:p w14:paraId="47D92B0D">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0.953-1.632</w:t>
            </w:r>
          </w:p>
        </w:tc>
        <w:tc>
          <w:tcPr>
            <w:tcW w:w="1030" w:type="dxa"/>
            <w:tcBorders>
              <w:top w:val="nil"/>
              <w:left w:val="nil"/>
              <w:bottom w:val="nil"/>
              <w:right w:val="nil"/>
            </w:tcBorders>
            <w:shd w:val="clear" w:color="auto" w:fill="auto"/>
            <w:noWrap/>
            <w:vAlign w:val="center"/>
          </w:tcPr>
          <w:p w14:paraId="3446E19D">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0.107</w:t>
            </w:r>
          </w:p>
        </w:tc>
        <w:tc>
          <w:tcPr>
            <w:tcW w:w="760" w:type="dxa"/>
            <w:tcBorders>
              <w:top w:val="nil"/>
              <w:left w:val="nil"/>
              <w:bottom w:val="nil"/>
              <w:right w:val="nil"/>
            </w:tcBorders>
            <w:shd w:val="clear" w:color="auto" w:fill="auto"/>
            <w:noWrap/>
            <w:vAlign w:val="center"/>
          </w:tcPr>
          <w:p w14:paraId="38A6DB25">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1.226</w:t>
            </w:r>
          </w:p>
        </w:tc>
        <w:tc>
          <w:tcPr>
            <w:tcW w:w="1408" w:type="dxa"/>
            <w:tcBorders>
              <w:top w:val="nil"/>
              <w:left w:val="nil"/>
              <w:bottom w:val="nil"/>
              <w:right w:val="nil"/>
            </w:tcBorders>
            <w:shd w:val="clear" w:color="auto" w:fill="auto"/>
            <w:noWrap/>
            <w:vAlign w:val="center"/>
          </w:tcPr>
          <w:p w14:paraId="13D24D89">
            <w:pPr>
              <w:widowControl/>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0.938-1.602</w:t>
            </w:r>
          </w:p>
        </w:tc>
        <w:tc>
          <w:tcPr>
            <w:tcW w:w="1030" w:type="dxa"/>
            <w:tcBorders>
              <w:top w:val="nil"/>
              <w:left w:val="nil"/>
              <w:bottom w:val="nil"/>
              <w:right w:val="nil"/>
            </w:tcBorders>
            <w:shd w:val="clear" w:color="auto" w:fill="auto"/>
            <w:noWrap/>
            <w:vAlign w:val="center"/>
          </w:tcPr>
          <w:p w14:paraId="0AE431A8">
            <w:pPr>
              <w:widowControl/>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szCs w:val="24"/>
                <w:lang w:val="en-US" w:eastAsia="zh-CN"/>
              </w:rPr>
              <w:t>0.136</w:t>
            </w:r>
          </w:p>
        </w:tc>
      </w:tr>
      <w:tr w14:paraId="417CF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216" w:type="dxa"/>
            <w:tcBorders>
              <w:top w:val="nil"/>
              <w:left w:val="nil"/>
              <w:bottom w:val="nil"/>
              <w:right w:val="nil"/>
            </w:tcBorders>
            <w:shd w:val="clear" w:color="auto" w:fill="auto"/>
            <w:noWrap/>
            <w:vAlign w:val="center"/>
          </w:tcPr>
          <w:p w14:paraId="3BE9D66B">
            <w:pPr>
              <w:widowControl/>
              <w:jc w:val="both"/>
              <w:rPr>
                <w:rFonts w:hint="eastAsia"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Tumor capsule</w:t>
            </w:r>
          </w:p>
        </w:tc>
        <w:tc>
          <w:tcPr>
            <w:tcW w:w="921" w:type="dxa"/>
            <w:tcBorders>
              <w:top w:val="nil"/>
              <w:left w:val="nil"/>
              <w:bottom w:val="nil"/>
              <w:right w:val="nil"/>
            </w:tcBorders>
            <w:shd w:val="clear" w:color="auto" w:fill="auto"/>
            <w:noWrap/>
            <w:vAlign w:val="center"/>
          </w:tcPr>
          <w:p w14:paraId="226F336F">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2.080</w:t>
            </w:r>
          </w:p>
        </w:tc>
        <w:tc>
          <w:tcPr>
            <w:tcW w:w="1388" w:type="dxa"/>
            <w:tcBorders>
              <w:top w:val="nil"/>
              <w:left w:val="nil"/>
              <w:bottom w:val="nil"/>
              <w:right w:val="nil"/>
            </w:tcBorders>
            <w:shd w:val="clear" w:color="auto" w:fill="auto"/>
            <w:noWrap/>
            <w:vAlign w:val="center"/>
          </w:tcPr>
          <w:p w14:paraId="4EB5B040">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1.755-2.465</w:t>
            </w:r>
          </w:p>
        </w:tc>
        <w:tc>
          <w:tcPr>
            <w:tcW w:w="1023" w:type="dxa"/>
            <w:tcBorders>
              <w:top w:val="nil"/>
              <w:left w:val="nil"/>
              <w:bottom w:val="nil"/>
              <w:right w:val="nil"/>
            </w:tcBorders>
            <w:shd w:val="clear" w:color="auto" w:fill="auto"/>
            <w:noWrap/>
            <w:vAlign w:val="center"/>
          </w:tcPr>
          <w:p w14:paraId="4DA15B57">
            <w:pPr>
              <w:widowControl/>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
                <w:bCs/>
                <w:color w:val="auto"/>
                <w:sz w:val="24"/>
                <w:szCs w:val="24"/>
              </w:rPr>
              <w:t>&lt;0.001</w:t>
            </w:r>
          </w:p>
        </w:tc>
        <w:tc>
          <w:tcPr>
            <w:tcW w:w="760" w:type="dxa"/>
            <w:tcBorders>
              <w:top w:val="nil"/>
              <w:left w:val="nil"/>
              <w:bottom w:val="nil"/>
              <w:right w:val="nil"/>
            </w:tcBorders>
            <w:shd w:val="clear" w:color="auto" w:fill="auto"/>
            <w:noWrap/>
            <w:vAlign w:val="center"/>
          </w:tcPr>
          <w:p w14:paraId="7264D192">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1.669</w:t>
            </w:r>
          </w:p>
        </w:tc>
        <w:tc>
          <w:tcPr>
            <w:tcW w:w="1408" w:type="dxa"/>
            <w:tcBorders>
              <w:top w:val="nil"/>
              <w:left w:val="nil"/>
              <w:bottom w:val="nil"/>
              <w:right w:val="nil"/>
            </w:tcBorders>
            <w:shd w:val="clear" w:color="auto" w:fill="auto"/>
            <w:noWrap/>
            <w:vAlign w:val="center"/>
          </w:tcPr>
          <w:p w14:paraId="1AA0CE48">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1.4-1.99</w:t>
            </w:r>
          </w:p>
        </w:tc>
        <w:tc>
          <w:tcPr>
            <w:tcW w:w="1030" w:type="dxa"/>
            <w:tcBorders>
              <w:top w:val="nil"/>
              <w:left w:val="nil"/>
              <w:bottom w:val="nil"/>
              <w:right w:val="nil"/>
            </w:tcBorders>
            <w:shd w:val="clear" w:color="auto" w:fill="auto"/>
            <w:noWrap/>
            <w:vAlign w:val="center"/>
          </w:tcPr>
          <w:p w14:paraId="551E8EFF">
            <w:pPr>
              <w:widowControl/>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
                <w:bCs/>
                <w:color w:val="auto"/>
                <w:sz w:val="24"/>
                <w:szCs w:val="24"/>
              </w:rPr>
              <w:t>&lt;0.001</w:t>
            </w:r>
          </w:p>
        </w:tc>
        <w:tc>
          <w:tcPr>
            <w:tcW w:w="760" w:type="dxa"/>
            <w:tcBorders>
              <w:top w:val="nil"/>
              <w:left w:val="nil"/>
              <w:bottom w:val="nil"/>
              <w:right w:val="nil"/>
            </w:tcBorders>
            <w:shd w:val="clear" w:color="auto" w:fill="auto"/>
            <w:noWrap/>
            <w:vAlign w:val="center"/>
          </w:tcPr>
          <w:p w14:paraId="49BEBC76">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1.69</w:t>
            </w:r>
          </w:p>
        </w:tc>
        <w:tc>
          <w:tcPr>
            <w:tcW w:w="1408" w:type="dxa"/>
            <w:tcBorders>
              <w:top w:val="nil"/>
              <w:left w:val="nil"/>
              <w:bottom w:val="nil"/>
              <w:right w:val="nil"/>
            </w:tcBorders>
            <w:shd w:val="clear" w:color="auto" w:fill="auto"/>
            <w:noWrap/>
            <w:vAlign w:val="center"/>
          </w:tcPr>
          <w:p w14:paraId="6EF5120F">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1.418-2.014</w:t>
            </w:r>
          </w:p>
        </w:tc>
        <w:tc>
          <w:tcPr>
            <w:tcW w:w="1030" w:type="dxa"/>
            <w:tcBorders>
              <w:top w:val="nil"/>
              <w:left w:val="nil"/>
              <w:bottom w:val="nil"/>
              <w:right w:val="nil"/>
            </w:tcBorders>
            <w:shd w:val="clear" w:color="auto" w:fill="auto"/>
            <w:noWrap/>
            <w:vAlign w:val="center"/>
          </w:tcPr>
          <w:p w14:paraId="6813653F">
            <w:pPr>
              <w:widowControl/>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b/>
                <w:bCs/>
                <w:color w:val="auto"/>
                <w:sz w:val="24"/>
                <w:szCs w:val="24"/>
              </w:rPr>
              <w:t>&lt;0.001</w:t>
            </w:r>
          </w:p>
        </w:tc>
      </w:tr>
      <w:tr w14:paraId="296B9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216" w:type="dxa"/>
            <w:tcBorders>
              <w:top w:val="nil"/>
              <w:left w:val="nil"/>
              <w:bottom w:val="nil"/>
              <w:right w:val="nil"/>
            </w:tcBorders>
            <w:shd w:val="clear" w:color="auto" w:fill="auto"/>
            <w:noWrap/>
            <w:vAlign w:val="center"/>
          </w:tcPr>
          <w:p w14:paraId="3AAB4045">
            <w:pPr>
              <w:widowControl/>
              <w:jc w:val="both"/>
              <w:rPr>
                <w:rFonts w:hint="eastAsia"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Child-Pugh B</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class</w:t>
            </w:r>
          </w:p>
        </w:tc>
        <w:tc>
          <w:tcPr>
            <w:tcW w:w="921" w:type="dxa"/>
            <w:tcBorders>
              <w:top w:val="nil"/>
              <w:left w:val="nil"/>
              <w:bottom w:val="nil"/>
              <w:right w:val="nil"/>
            </w:tcBorders>
            <w:shd w:val="clear" w:color="auto" w:fill="auto"/>
            <w:noWrap/>
            <w:vAlign w:val="center"/>
          </w:tcPr>
          <w:p w14:paraId="55C77447">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1.224</w:t>
            </w:r>
          </w:p>
        </w:tc>
        <w:tc>
          <w:tcPr>
            <w:tcW w:w="1388" w:type="dxa"/>
            <w:tcBorders>
              <w:top w:val="nil"/>
              <w:left w:val="nil"/>
              <w:bottom w:val="nil"/>
              <w:right w:val="nil"/>
            </w:tcBorders>
            <w:shd w:val="clear" w:color="auto" w:fill="auto"/>
            <w:noWrap/>
            <w:vAlign w:val="center"/>
          </w:tcPr>
          <w:p w14:paraId="2C7946DF">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0.865-1.731</w:t>
            </w:r>
          </w:p>
        </w:tc>
        <w:tc>
          <w:tcPr>
            <w:tcW w:w="1023" w:type="dxa"/>
            <w:tcBorders>
              <w:top w:val="nil"/>
              <w:left w:val="nil"/>
              <w:bottom w:val="nil"/>
              <w:right w:val="nil"/>
            </w:tcBorders>
            <w:shd w:val="clear" w:color="auto" w:fill="auto"/>
            <w:noWrap/>
            <w:vAlign w:val="center"/>
          </w:tcPr>
          <w:p w14:paraId="71DD2C7A">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0.253</w:t>
            </w:r>
          </w:p>
        </w:tc>
        <w:tc>
          <w:tcPr>
            <w:tcW w:w="760" w:type="dxa"/>
            <w:tcBorders>
              <w:top w:val="nil"/>
              <w:left w:val="nil"/>
              <w:bottom w:val="nil"/>
              <w:right w:val="nil"/>
            </w:tcBorders>
            <w:shd w:val="clear" w:color="auto" w:fill="auto"/>
            <w:noWrap/>
            <w:vAlign w:val="center"/>
          </w:tcPr>
          <w:p w14:paraId="37930AED">
            <w:pPr>
              <w:widowControl/>
              <w:jc w:val="center"/>
              <w:rPr>
                <w:rFonts w:hint="default" w:ascii="Times New Roman" w:hAnsi="Times New Roman" w:eastAsia="宋体" w:cs="Times New Roman"/>
                <w:color w:val="auto"/>
                <w:sz w:val="24"/>
                <w:szCs w:val="24"/>
                <w:lang w:val="en-US" w:eastAsia="zh-CN"/>
              </w:rPr>
            </w:pPr>
          </w:p>
        </w:tc>
        <w:tc>
          <w:tcPr>
            <w:tcW w:w="1408" w:type="dxa"/>
            <w:tcBorders>
              <w:top w:val="nil"/>
              <w:left w:val="nil"/>
              <w:bottom w:val="nil"/>
              <w:right w:val="nil"/>
            </w:tcBorders>
            <w:shd w:val="clear" w:color="auto" w:fill="auto"/>
            <w:noWrap/>
            <w:vAlign w:val="center"/>
          </w:tcPr>
          <w:p w14:paraId="22A68786">
            <w:pPr>
              <w:widowControl/>
              <w:jc w:val="center"/>
              <w:rPr>
                <w:rFonts w:hint="eastAsia" w:ascii="Times New Roman" w:hAnsi="Times New Roman" w:eastAsia="宋体" w:cs="Times New Roman"/>
                <w:color w:val="auto"/>
                <w:sz w:val="24"/>
                <w:szCs w:val="24"/>
                <w:lang w:val="en-US" w:eastAsia="zh-CN"/>
              </w:rPr>
            </w:pPr>
          </w:p>
        </w:tc>
        <w:tc>
          <w:tcPr>
            <w:tcW w:w="1030" w:type="dxa"/>
            <w:tcBorders>
              <w:top w:val="nil"/>
              <w:left w:val="nil"/>
              <w:bottom w:val="nil"/>
              <w:right w:val="nil"/>
            </w:tcBorders>
            <w:shd w:val="clear" w:color="auto" w:fill="auto"/>
            <w:noWrap/>
            <w:vAlign w:val="center"/>
          </w:tcPr>
          <w:p w14:paraId="7491B3C2">
            <w:pPr>
              <w:widowControl/>
              <w:jc w:val="center"/>
              <w:rPr>
                <w:rFonts w:hint="eastAsia" w:ascii="Times New Roman" w:hAnsi="Times New Roman" w:eastAsia="宋体" w:cs="Times New Roman"/>
                <w:color w:val="auto"/>
                <w:sz w:val="24"/>
                <w:szCs w:val="24"/>
                <w:lang w:val="en-US" w:eastAsia="zh-CN"/>
              </w:rPr>
            </w:pPr>
          </w:p>
        </w:tc>
        <w:tc>
          <w:tcPr>
            <w:tcW w:w="760" w:type="dxa"/>
            <w:tcBorders>
              <w:top w:val="nil"/>
              <w:left w:val="nil"/>
              <w:bottom w:val="nil"/>
              <w:right w:val="nil"/>
            </w:tcBorders>
            <w:shd w:val="clear" w:color="auto" w:fill="auto"/>
            <w:noWrap/>
            <w:vAlign w:val="center"/>
          </w:tcPr>
          <w:p w14:paraId="6DA7BBD6">
            <w:pPr>
              <w:widowControl/>
              <w:jc w:val="center"/>
              <w:rPr>
                <w:rFonts w:hint="eastAsia" w:ascii="Times New Roman" w:hAnsi="Times New Roman" w:eastAsia="宋体" w:cs="Times New Roman"/>
                <w:color w:val="auto"/>
                <w:sz w:val="24"/>
                <w:szCs w:val="24"/>
                <w:lang w:val="en-US" w:eastAsia="zh-CN"/>
              </w:rPr>
            </w:pPr>
          </w:p>
        </w:tc>
        <w:tc>
          <w:tcPr>
            <w:tcW w:w="1408" w:type="dxa"/>
            <w:tcBorders>
              <w:top w:val="nil"/>
              <w:left w:val="nil"/>
              <w:bottom w:val="nil"/>
              <w:right w:val="nil"/>
            </w:tcBorders>
            <w:shd w:val="clear" w:color="auto" w:fill="auto"/>
            <w:noWrap/>
            <w:vAlign w:val="center"/>
          </w:tcPr>
          <w:p w14:paraId="1F18CDF7">
            <w:pPr>
              <w:widowControl/>
              <w:jc w:val="center"/>
              <w:rPr>
                <w:rFonts w:hint="eastAsia" w:ascii="Times New Roman" w:hAnsi="Times New Roman" w:eastAsia="宋体" w:cs="Times New Roman"/>
                <w:color w:val="auto"/>
                <w:sz w:val="24"/>
                <w:szCs w:val="24"/>
                <w:lang w:val="en-US" w:eastAsia="zh-CN"/>
              </w:rPr>
            </w:pPr>
          </w:p>
        </w:tc>
        <w:tc>
          <w:tcPr>
            <w:tcW w:w="1030" w:type="dxa"/>
            <w:tcBorders>
              <w:top w:val="nil"/>
              <w:left w:val="nil"/>
              <w:bottom w:val="nil"/>
              <w:right w:val="nil"/>
            </w:tcBorders>
            <w:shd w:val="clear" w:color="auto" w:fill="auto"/>
            <w:noWrap/>
            <w:vAlign w:val="center"/>
          </w:tcPr>
          <w:p w14:paraId="0DACB212">
            <w:pPr>
              <w:widowControl/>
              <w:jc w:val="center"/>
              <w:rPr>
                <w:rFonts w:hint="eastAsia" w:ascii="Times New Roman" w:hAnsi="Times New Roman" w:eastAsia="宋体" w:cs="Times New Roman"/>
                <w:color w:val="auto"/>
                <w:kern w:val="2"/>
                <w:sz w:val="24"/>
                <w:szCs w:val="24"/>
                <w:lang w:val="en-US" w:eastAsia="zh-CN" w:bidi="ar-SA"/>
              </w:rPr>
            </w:pPr>
          </w:p>
        </w:tc>
      </w:tr>
      <w:tr w14:paraId="48D6F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216" w:type="dxa"/>
            <w:tcBorders>
              <w:top w:val="nil"/>
              <w:left w:val="nil"/>
              <w:bottom w:val="nil"/>
              <w:right w:val="nil"/>
            </w:tcBorders>
            <w:shd w:val="clear" w:color="auto" w:fill="auto"/>
            <w:noWrap/>
            <w:vAlign w:val="center"/>
          </w:tcPr>
          <w:p w14:paraId="2BB13D36">
            <w:pPr>
              <w:widowControl/>
              <w:jc w:val="both"/>
              <w:rPr>
                <w:rFonts w:hint="eastAsia"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BCLC</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 xml:space="preserve">stage B </w:t>
            </w:r>
            <w:r>
              <w:rPr>
                <w:rFonts w:hint="eastAsia" w:ascii="Times New Roman" w:hAnsi="Times New Roman" w:eastAsia="宋体" w:cs="Times New Roman"/>
                <w:color w:val="auto"/>
                <w:sz w:val="24"/>
                <w:szCs w:val="24"/>
                <w:lang w:val="en-US" w:eastAsia="zh-CN"/>
              </w:rPr>
              <w:t xml:space="preserve">or </w:t>
            </w:r>
            <w:r>
              <w:rPr>
                <w:rFonts w:hint="default" w:ascii="Times New Roman" w:hAnsi="Times New Roman" w:eastAsia="宋体" w:cs="Times New Roman"/>
                <w:color w:val="auto"/>
                <w:sz w:val="24"/>
                <w:szCs w:val="24"/>
              </w:rPr>
              <w:t>C</w:t>
            </w:r>
          </w:p>
        </w:tc>
        <w:tc>
          <w:tcPr>
            <w:tcW w:w="921" w:type="dxa"/>
            <w:tcBorders>
              <w:top w:val="nil"/>
              <w:left w:val="nil"/>
              <w:bottom w:val="nil"/>
              <w:right w:val="nil"/>
            </w:tcBorders>
            <w:shd w:val="clear" w:color="auto" w:fill="auto"/>
            <w:noWrap/>
            <w:vAlign w:val="center"/>
          </w:tcPr>
          <w:p w14:paraId="577F0077">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1.884</w:t>
            </w:r>
          </w:p>
        </w:tc>
        <w:tc>
          <w:tcPr>
            <w:tcW w:w="1388" w:type="dxa"/>
            <w:tcBorders>
              <w:top w:val="nil"/>
              <w:left w:val="nil"/>
              <w:bottom w:val="nil"/>
              <w:right w:val="nil"/>
            </w:tcBorders>
            <w:shd w:val="clear" w:color="auto" w:fill="auto"/>
            <w:noWrap/>
            <w:vAlign w:val="center"/>
          </w:tcPr>
          <w:p w14:paraId="7F757C8D">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1.68-2.113</w:t>
            </w:r>
          </w:p>
        </w:tc>
        <w:tc>
          <w:tcPr>
            <w:tcW w:w="1023" w:type="dxa"/>
            <w:tcBorders>
              <w:top w:val="nil"/>
              <w:left w:val="nil"/>
              <w:bottom w:val="nil"/>
              <w:right w:val="nil"/>
            </w:tcBorders>
            <w:shd w:val="clear" w:color="auto" w:fill="auto"/>
            <w:noWrap/>
            <w:vAlign w:val="center"/>
          </w:tcPr>
          <w:p w14:paraId="7B214FF9">
            <w:pPr>
              <w:widowControl/>
              <w:jc w:val="center"/>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rPr>
              <w:t>&lt;0.001</w:t>
            </w:r>
          </w:p>
        </w:tc>
        <w:tc>
          <w:tcPr>
            <w:tcW w:w="760" w:type="dxa"/>
            <w:tcBorders>
              <w:top w:val="nil"/>
              <w:left w:val="nil"/>
              <w:bottom w:val="nil"/>
              <w:right w:val="nil"/>
            </w:tcBorders>
            <w:shd w:val="clear" w:color="auto" w:fill="auto"/>
            <w:noWrap/>
            <w:vAlign w:val="center"/>
          </w:tcPr>
          <w:p w14:paraId="18C7D70C">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1.374</w:t>
            </w:r>
          </w:p>
        </w:tc>
        <w:tc>
          <w:tcPr>
            <w:tcW w:w="1408" w:type="dxa"/>
            <w:tcBorders>
              <w:top w:val="nil"/>
              <w:left w:val="nil"/>
              <w:bottom w:val="nil"/>
              <w:right w:val="nil"/>
            </w:tcBorders>
            <w:shd w:val="clear" w:color="auto" w:fill="auto"/>
            <w:noWrap/>
            <w:vAlign w:val="center"/>
          </w:tcPr>
          <w:p w14:paraId="262DA0AB">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1.196-1.58</w:t>
            </w:r>
          </w:p>
        </w:tc>
        <w:tc>
          <w:tcPr>
            <w:tcW w:w="1030" w:type="dxa"/>
            <w:tcBorders>
              <w:top w:val="nil"/>
              <w:left w:val="nil"/>
              <w:bottom w:val="nil"/>
              <w:right w:val="nil"/>
            </w:tcBorders>
            <w:shd w:val="clear" w:color="auto" w:fill="auto"/>
            <w:noWrap/>
            <w:vAlign w:val="center"/>
          </w:tcPr>
          <w:p w14:paraId="4FB83776">
            <w:pPr>
              <w:widowControl/>
              <w:jc w:val="center"/>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rPr>
              <w:t>&lt;0.001</w:t>
            </w:r>
          </w:p>
        </w:tc>
        <w:tc>
          <w:tcPr>
            <w:tcW w:w="760" w:type="dxa"/>
            <w:tcBorders>
              <w:top w:val="nil"/>
              <w:left w:val="nil"/>
              <w:bottom w:val="nil"/>
              <w:right w:val="nil"/>
            </w:tcBorders>
            <w:shd w:val="clear" w:color="auto" w:fill="auto"/>
            <w:noWrap/>
            <w:vAlign w:val="center"/>
          </w:tcPr>
          <w:p w14:paraId="2405D095">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1.368</w:t>
            </w:r>
          </w:p>
        </w:tc>
        <w:tc>
          <w:tcPr>
            <w:tcW w:w="1408" w:type="dxa"/>
            <w:tcBorders>
              <w:top w:val="nil"/>
              <w:left w:val="nil"/>
              <w:bottom w:val="nil"/>
              <w:right w:val="nil"/>
            </w:tcBorders>
            <w:shd w:val="clear" w:color="auto" w:fill="auto"/>
            <w:noWrap/>
            <w:vAlign w:val="center"/>
          </w:tcPr>
          <w:p w14:paraId="348B6251">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1.191-1.573</w:t>
            </w:r>
          </w:p>
        </w:tc>
        <w:tc>
          <w:tcPr>
            <w:tcW w:w="1030" w:type="dxa"/>
            <w:tcBorders>
              <w:top w:val="nil"/>
              <w:left w:val="nil"/>
              <w:bottom w:val="nil"/>
              <w:right w:val="nil"/>
            </w:tcBorders>
            <w:shd w:val="clear" w:color="auto" w:fill="auto"/>
            <w:noWrap/>
            <w:vAlign w:val="center"/>
          </w:tcPr>
          <w:p w14:paraId="4EC75E4A">
            <w:pPr>
              <w:widowControl/>
              <w:jc w:val="center"/>
              <w:rPr>
                <w:rFonts w:hint="default" w:ascii="Times New Roman" w:hAnsi="Times New Roman" w:eastAsia="宋体" w:cs="Times New Roman"/>
                <w:b/>
                <w:bCs/>
                <w:color w:val="auto"/>
                <w:kern w:val="2"/>
                <w:sz w:val="24"/>
                <w:szCs w:val="24"/>
                <w:lang w:val="en-US" w:eastAsia="zh-CN" w:bidi="ar-SA"/>
              </w:rPr>
            </w:pPr>
            <w:r>
              <w:rPr>
                <w:rFonts w:hint="default" w:ascii="Times New Roman" w:hAnsi="Times New Roman" w:eastAsia="宋体" w:cs="Times New Roman"/>
                <w:b/>
                <w:bCs/>
                <w:color w:val="auto"/>
                <w:sz w:val="24"/>
                <w:szCs w:val="24"/>
              </w:rPr>
              <w:t>&lt;0.001</w:t>
            </w:r>
          </w:p>
        </w:tc>
      </w:tr>
      <w:tr w14:paraId="1FE19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216" w:type="dxa"/>
            <w:tcBorders>
              <w:top w:val="nil"/>
              <w:left w:val="nil"/>
              <w:bottom w:val="nil"/>
              <w:right w:val="nil"/>
            </w:tcBorders>
            <w:shd w:val="clear" w:color="auto" w:fill="auto"/>
            <w:noWrap/>
            <w:vAlign w:val="center"/>
          </w:tcPr>
          <w:p w14:paraId="0627596F">
            <w:pPr>
              <w:widowControl/>
              <w:jc w:val="both"/>
              <w:rPr>
                <w:rFonts w:hint="eastAsia"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Tumor size</w:t>
            </w:r>
            <w:r>
              <w:rPr>
                <w:rFonts w:hint="default" w:ascii="Times New Roman" w:hAnsi="Times New Roman" w:eastAsia="AdvPTimes" w:cs="Times New Roman"/>
                <w:color w:val="auto"/>
                <w:sz w:val="24"/>
                <w:szCs w:val="24"/>
              </w:rPr>
              <w:t>≥</w:t>
            </w:r>
            <w:r>
              <w:rPr>
                <w:rFonts w:hint="default" w:ascii="Times New Roman" w:hAnsi="Times New Roman" w:eastAsia="宋体" w:cs="Times New Roman"/>
                <w:color w:val="auto"/>
                <w:sz w:val="24"/>
                <w:szCs w:val="24"/>
              </w:rPr>
              <w:t>5cm</w:t>
            </w:r>
          </w:p>
        </w:tc>
        <w:tc>
          <w:tcPr>
            <w:tcW w:w="921" w:type="dxa"/>
            <w:tcBorders>
              <w:top w:val="nil"/>
              <w:left w:val="nil"/>
              <w:bottom w:val="nil"/>
              <w:right w:val="nil"/>
            </w:tcBorders>
            <w:shd w:val="clear" w:color="auto" w:fill="auto"/>
            <w:noWrap/>
            <w:vAlign w:val="center"/>
          </w:tcPr>
          <w:p w14:paraId="2079FBEB">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2.308</w:t>
            </w:r>
          </w:p>
        </w:tc>
        <w:tc>
          <w:tcPr>
            <w:tcW w:w="1388" w:type="dxa"/>
            <w:tcBorders>
              <w:top w:val="nil"/>
              <w:left w:val="nil"/>
              <w:bottom w:val="nil"/>
              <w:right w:val="nil"/>
            </w:tcBorders>
            <w:shd w:val="clear" w:color="auto" w:fill="auto"/>
            <w:noWrap/>
            <w:vAlign w:val="center"/>
          </w:tcPr>
          <w:p w14:paraId="349A3448">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1.917-2.779</w:t>
            </w:r>
          </w:p>
        </w:tc>
        <w:tc>
          <w:tcPr>
            <w:tcW w:w="1023" w:type="dxa"/>
            <w:tcBorders>
              <w:top w:val="nil"/>
              <w:left w:val="nil"/>
              <w:bottom w:val="nil"/>
              <w:right w:val="nil"/>
            </w:tcBorders>
            <w:shd w:val="clear" w:color="auto" w:fill="auto"/>
            <w:noWrap/>
            <w:vAlign w:val="center"/>
          </w:tcPr>
          <w:p w14:paraId="4D5B6BF7">
            <w:pPr>
              <w:widowControl/>
              <w:jc w:val="center"/>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rPr>
              <w:t>&lt;0.001</w:t>
            </w:r>
          </w:p>
        </w:tc>
        <w:tc>
          <w:tcPr>
            <w:tcW w:w="760" w:type="dxa"/>
            <w:tcBorders>
              <w:top w:val="nil"/>
              <w:left w:val="nil"/>
              <w:bottom w:val="nil"/>
              <w:right w:val="nil"/>
            </w:tcBorders>
            <w:shd w:val="clear" w:color="auto" w:fill="auto"/>
            <w:noWrap/>
            <w:vAlign w:val="center"/>
          </w:tcPr>
          <w:p w14:paraId="698EF43E">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1.645</w:t>
            </w:r>
          </w:p>
        </w:tc>
        <w:tc>
          <w:tcPr>
            <w:tcW w:w="1408" w:type="dxa"/>
            <w:tcBorders>
              <w:top w:val="nil"/>
              <w:left w:val="nil"/>
              <w:bottom w:val="nil"/>
              <w:right w:val="nil"/>
            </w:tcBorders>
            <w:shd w:val="clear" w:color="auto" w:fill="auto"/>
            <w:noWrap/>
            <w:vAlign w:val="center"/>
          </w:tcPr>
          <w:p w14:paraId="4331049C">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1.343-2.015</w:t>
            </w:r>
          </w:p>
        </w:tc>
        <w:tc>
          <w:tcPr>
            <w:tcW w:w="1030" w:type="dxa"/>
            <w:tcBorders>
              <w:top w:val="nil"/>
              <w:left w:val="nil"/>
              <w:bottom w:val="nil"/>
              <w:right w:val="nil"/>
            </w:tcBorders>
            <w:shd w:val="clear" w:color="auto" w:fill="auto"/>
            <w:noWrap/>
            <w:vAlign w:val="center"/>
          </w:tcPr>
          <w:p w14:paraId="543F4D32">
            <w:pPr>
              <w:widowControl/>
              <w:jc w:val="center"/>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rPr>
              <w:t>&lt;0.001</w:t>
            </w:r>
          </w:p>
        </w:tc>
        <w:tc>
          <w:tcPr>
            <w:tcW w:w="760" w:type="dxa"/>
            <w:tcBorders>
              <w:top w:val="nil"/>
              <w:left w:val="nil"/>
              <w:bottom w:val="nil"/>
              <w:right w:val="nil"/>
            </w:tcBorders>
            <w:shd w:val="clear" w:color="auto" w:fill="auto"/>
            <w:noWrap/>
            <w:vAlign w:val="center"/>
          </w:tcPr>
          <w:p w14:paraId="6E44ED24">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1.61</w:t>
            </w:r>
          </w:p>
        </w:tc>
        <w:tc>
          <w:tcPr>
            <w:tcW w:w="1408" w:type="dxa"/>
            <w:tcBorders>
              <w:top w:val="nil"/>
              <w:left w:val="nil"/>
              <w:bottom w:val="nil"/>
              <w:right w:val="nil"/>
            </w:tcBorders>
            <w:shd w:val="clear" w:color="auto" w:fill="auto"/>
            <w:noWrap/>
            <w:vAlign w:val="center"/>
          </w:tcPr>
          <w:p w14:paraId="211B8A32">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1.314-1.973</w:t>
            </w:r>
          </w:p>
        </w:tc>
        <w:tc>
          <w:tcPr>
            <w:tcW w:w="1030" w:type="dxa"/>
            <w:tcBorders>
              <w:top w:val="nil"/>
              <w:left w:val="nil"/>
              <w:bottom w:val="nil"/>
              <w:right w:val="nil"/>
            </w:tcBorders>
            <w:shd w:val="clear" w:color="auto" w:fill="auto"/>
            <w:noWrap/>
            <w:vAlign w:val="center"/>
          </w:tcPr>
          <w:p w14:paraId="21AD8296">
            <w:pPr>
              <w:widowControl/>
              <w:jc w:val="center"/>
              <w:rPr>
                <w:rFonts w:hint="default" w:ascii="Times New Roman" w:hAnsi="Times New Roman" w:eastAsia="宋体" w:cs="Times New Roman"/>
                <w:b/>
                <w:bCs/>
                <w:color w:val="auto"/>
                <w:kern w:val="2"/>
                <w:sz w:val="24"/>
                <w:szCs w:val="24"/>
                <w:lang w:val="en-US" w:eastAsia="zh-CN" w:bidi="ar-SA"/>
              </w:rPr>
            </w:pPr>
            <w:r>
              <w:rPr>
                <w:rFonts w:hint="default" w:ascii="Times New Roman" w:hAnsi="Times New Roman" w:eastAsia="宋体" w:cs="Times New Roman"/>
                <w:b/>
                <w:bCs/>
                <w:color w:val="auto"/>
                <w:sz w:val="24"/>
                <w:szCs w:val="24"/>
              </w:rPr>
              <w:t>&lt;0.001</w:t>
            </w:r>
          </w:p>
        </w:tc>
      </w:tr>
      <w:tr w14:paraId="24062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216" w:type="dxa"/>
            <w:tcBorders>
              <w:top w:val="nil"/>
              <w:left w:val="nil"/>
              <w:bottom w:val="nil"/>
              <w:right w:val="nil"/>
            </w:tcBorders>
            <w:shd w:val="clear" w:color="auto" w:fill="auto"/>
            <w:noWrap/>
            <w:vAlign w:val="center"/>
          </w:tcPr>
          <w:p w14:paraId="47F8F12C">
            <w:pPr>
              <w:widowControl/>
              <w:jc w:val="both"/>
              <w:rPr>
                <w:rFonts w:hint="eastAsia"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Tumor number</w:t>
            </w:r>
          </w:p>
        </w:tc>
        <w:tc>
          <w:tcPr>
            <w:tcW w:w="921" w:type="dxa"/>
            <w:tcBorders>
              <w:top w:val="nil"/>
              <w:left w:val="nil"/>
              <w:bottom w:val="nil"/>
              <w:right w:val="nil"/>
            </w:tcBorders>
            <w:shd w:val="clear" w:color="auto" w:fill="auto"/>
            <w:noWrap/>
            <w:vAlign w:val="center"/>
          </w:tcPr>
          <w:p w14:paraId="314A8937">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2.081</w:t>
            </w:r>
          </w:p>
        </w:tc>
        <w:tc>
          <w:tcPr>
            <w:tcW w:w="1388" w:type="dxa"/>
            <w:tcBorders>
              <w:top w:val="nil"/>
              <w:left w:val="nil"/>
              <w:bottom w:val="nil"/>
              <w:right w:val="nil"/>
            </w:tcBorders>
            <w:shd w:val="clear" w:color="auto" w:fill="auto"/>
            <w:noWrap/>
            <w:vAlign w:val="center"/>
          </w:tcPr>
          <w:p w14:paraId="55F613D4">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1.769-2.447</w:t>
            </w:r>
          </w:p>
        </w:tc>
        <w:tc>
          <w:tcPr>
            <w:tcW w:w="1023" w:type="dxa"/>
            <w:tcBorders>
              <w:top w:val="nil"/>
              <w:left w:val="nil"/>
              <w:bottom w:val="nil"/>
              <w:right w:val="nil"/>
            </w:tcBorders>
            <w:shd w:val="clear" w:color="auto" w:fill="auto"/>
            <w:noWrap/>
            <w:vAlign w:val="center"/>
          </w:tcPr>
          <w:p w14:paraId="3C5B89FA">
            <w:pPr>
              <w:widowControl/>
              <w:jc w:val="center"/>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rPr>
              <w:t>&lt;0.001</w:t>
            </w:r>
          </w:p>
        </w:tc>
        <w:tc>
          <w:tcPr>
            <w:tcW w:w="760" w:type="dxa"/>
            <w:tcBorders>
              <w:top w:val="nil"/>
              <w:left w:val="nil"/>
              <w:bottom w:val="nil"/>
              <w:right w:val="nil"/>
            </w:tcBorders>
            <w:shd w:val="clear" w:color="auto" w:fill="auto"/>
            <w:noWrap/>
            <w:vAlign w:val="center"/>
          </w:tcPr>
          <w:p w14:paraId="5A3168A9">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1.553</w:t>
            </w:r>
          </w:p>
        </w:tc>
        <w:tc>
          <w:tcPr>
            <w:tcW w:w="1408" w:type="dxa"/>
            <w:tcBorders>
              <w:top w:val="nil"/>
              <w:left w:val="nil"/>
              <w:bottom w:val="nil"/>
              <w:right w:val="nil"/>
            </w:tcBorders>
            <w:shd w:val="clear" w:color="auto" w:fill="auto"/>
            <w:noWrap/>
            <w:vAlign w:val="center"/>
          </w:tcPr>
          <w:p w14:paraId="186C9908">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1.308-1.844</w:t>
            </w:r>
          </w:p>
        </w:tc>
        <w:tc>
          <w:tcPr>
            <w:tcW w:w="1030" w:type="dxa"/>
            <w:tcBorders>
              <w:top w:val="nil"/>
              <w:left w:val="nil"/>
              <w:bottom w:val="nil"/>
              <w:right w:val="nil"/>
            </w:tcBorders>
            <w:shd w:val="clear" w:color="auto" w:fill="auto"/>
            <w:noWrap/>
            <w:vAlign w:val="center"/>
          </w:tcPr>
          <w:p w14:paraId="57702B54">
            <w:pPr>
              <w:widowControl/>
              <w:jc w:val="center"/>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rPr>
              <w:t>&lt;0.001</w:t>
            </w:r>
          </w:p>
        </w:tc>
        <w:tc>
          <w:tcPr>
            <w:tcW w:w="760" w:type="dxa"/>
            <w:tcBorders>
              <w:top w:val="nil"/>
              <w:left w:val="nil"/>
              <w:bottom w:val="nil"/>
              <w:right w:val="nil"/>
            </w:tcBorders>
            <w:shd w:val="clear" w:color="auto" w:fill="auto"/>
            <w:noWrap/>
            <w:vAlign w:val="center"/>
          </w:tcPr>
          <w:p w14:paraId="2B233933">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1.514</w:t>
            </w:r>
          </w:p>
        </w:tc>
        <w:tc>
          <w:tcPr>
            <w:tcW w:w="1408" w:type="dxa"/>
            <w:tcBorders>
              <w:top w:val="nil"/>
              <w:left w:val="nil"/>
              <w:bottom w:val="nil"/>
              <w:right w:val="nil"/>
            </w:tcBorders>
            <w:shd w:val="clear" w:color="auto" w:fill="auto"/>
            <w:noWrap/>
            <w:vAlign w:val="center"/>
          </w:tcPr>
          <w:p w14:paraId="48FC4D30">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1.274-1.799</w:t>
            </w:r>
          </w:p>
        </w:tc>
        <w:tc>
          <w:tcPr>
            <w:tcW w:w="1030" w:type="dxa"/>
            <w:tcBorders>
              <w:top w:val="nil"/>
              <w:left w:val="nil"/>
              <w:bottom w:val="nil"/>
              <w:right w:val="nil"/>
            </w:tcBorders>
            <w:shd w:val="clear" w:color="auto" w:fill="auto"/>
            <w:noWrap/>
            <w:vAlign w:val="center"/>
          </w:tcPr>
          <w:p w14:paraId="3D9F0F02">
            <w:pPr>
              <w:widowControl/>
              <w:jc w:val="center"/>
              <w:rPr>
                <w:rFonts w:hint="default" w:ascii="Times New Roman" w:hAnsi="Times New Roman" w:eastAsia="宋体" w:cs="Times New Roman"/>
                <w:b/>
                <w:bCs/>
                <w:color w:val="auto"/>
                <w:kern w:val="2"/>
                <w:sz w:val="24"/>
                <w:szCs w:val="24"/>
                <w:lang w:val="en-US" w:eastAsia="zh-CN" w:bidi="ar-SA"/>
              </w:rPr>
            </w:pPr>
            <w:r>
              <w:rPr>
                <w:rFonts w:hint="default" w:ascii="Times New Roman" w:hAnsi="Times New Roman" w:eastAsia="宋体" w:cs="Times New Roman"/>
                <w:b/>
                <w:bCs/>
                <w:color w:val="auto"/>
                <w:sz w:val="24"/>
                <w:szCs w:val="24"/>
              </w:rPr>
              <w:t>&lt;0.001</w:t>
            </w:r>
          </w:p>
        </w:tc>
      </w:tr>
      <w:tr w14:paraId="66B4A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216" w:type="dxa"/>
            <w:tcBorders>
              <w:top w:val="nil"/>
              <w:left w:val="nil"/>
              <w:bottom w:val="nil"/>
              <w:right w:val="nil"/>
            </w:tcBorders>
            <w:shd w:val="clear" w:color="auto" w:fill="auto"/>
            <w:noWrap/>
            <w:vAlign w:val="center"/>
          </w:tcPr>
          <w:p w14:paraId="7F3CF931">
            <w:pPr>
              <w:widowControl/>
              <w:jc w:val="both"/>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Liver cirrhosi</w:t>
            </w:r>
            <w:r>
              <w:rPr>
                <w:rFonts w:hint="eastAsia" w:ascii="Times New Roman" w:hAnsi="Times New Roman" w:eastAsia="宋体" w:cs="Times New Roman"/>
                <w:color w:val="auto"/>
                <w:sz w:val="24"/>
                <w:szCs w:val="24"/>
                <w:lang w:val="en-US" w:eastAsia="zh-CN"/>
              </w:rPr>
              <w:t>s</w:t>
            </w:r>
          </w:p>
        </w:tc>
        <w:tc>
          <w:tcPr>
            <w:tcW w:w="921" w:type="dxa"/>
            <w:tcBorders>
              <w:top w:val="nil"/>
              <w:left w:val="nil"/>
              <w:bottom w:val="nil"/>
              <w:right w:val="nil"/>
            </w:tcBorders>
            <w:shd w:val="clear" w:color="auto" w:fill="auto"/>
            <w:noWrap/>
            <w:vAlign w:val="center"/>
          </w:tcPr>
          <w:p w14:paraId="4F40AE11">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1.214</w:t>
            </w:r>
          </w:p>
        </w:tc>
        <w:tc>
          <w:tcPr>
            <w:tcW w:w="1388" w:type="dxa"/>
            <w:tcBorders>
              <w:top w:val="nil"/>
              <w:left w:val="nil"/>
              <w:bottom w:val="nil"/>
              <w:right w:val="nil"/>
            </w:tcBorders>
            <w:shd w:val="clear" w:color="auto" w:fill="auto"/>
            <w:noWrap/>
            <w:vAlign w:val="center"/>
          </w:tcPr>
          <w:p w14:paraId="626689B7">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0.978-1.507</w:t>
            </w:r>
          </w:p>
        </w:tc>
        <w:tc>
          <w:tcPr>
            <w:tcW w:w="1023" w:type="dxa"/>
            <w:tcBorders>
              <w:top w:val="nil"/>
              <w:left w:val="nil"/>
              <w:bottom w:val="nil"/>
              <w:right w:val="nil"/>
            </w:tcBorders>
            <w:shd w:val="clear" w:color="auto" w:fill="auto"/>
            <w:noWrap/>
            <w:vAlign w:val="center"/>
          </w:tcPr>
          <w:p w14:paraId="07B98413">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0.079</w:t>
            </w:r>
          </w:p>
        </w:tc>
        <w:tc>
          <w:tcPr>
            <w:tcW w:w="760" w:type="dxa"/>
            <w:tcBorders>
              <w:top w:val="nil"/>
              <w:left w:val="nil"/>
              <w:bottom w:val="nil"/>
              <w:right w:val="nil"/>
            </w:tcBorders>
            <w:shd w:val="clear" w:color="auto" w:fill="auto"/>
            <w:noWrap/>
            <w:vAlign w:val="center"/>
          </w:tcPr>
          <w:p w14:paraId="7D63BDC8">
            <w:pPr>
              <w:widowControl/>
              <w:jc w:val="center"/>
              <w:rPr>
                <w:rFonts w:hint="default" w:ascii="Times New Roman" w:hAnsi="Times New Roman" w:eastAsia="宋体" w:cs="Times New Roman"/>
                <w:color w:val="auto"/>
                <w:sz w:val="24"/>
                <w:szCs w:val="24"/>
                <w:lang w:val="en-US" w:eastAsia="zh-CN"/>
              </w:rPr>
            </w:pPr>
          </w:p>
        </w:tc>
        <w:tc>
          <w:tcPr>
            <w:tcW w:w="1408" w:type="dxa"/>
            <w:tcBorders>
              <w:top w:val="nil"/>
              <w:left w:val="nil"/>
              <w:bottom w:val="nil"/>
              <w:right w:val="nil"/>
            </w:tcBorders>
            <w:shd w:val="clear" w:color="auto" w:fill="auto"/>
            <w:noWrap/>
            <w:vAlign w:val="center"/>
          </w:tcPr>
          <w:p w14:paraId="04D3D7E2">
            <w:pPr>
              <w:widowControl/>
              <w:jc w:val="center"/>
              <w:rPr>
                <w:rFonts w:hint="eastAsia" w:ascii="Times New Roman" w:hAnsi="Times New Roman" w:eastAsia="宋体" w:cs="Times New Roman"/>
                <w:color w:val="auto"/>
                <w:sz w:val="24"/>
                <w:szCs w:val="24"/>
                <w:lang w:val="en-US" w:eastAsia="zh-CN"/>
              </w:rPr>
            </w:pPr>
          </w:p>
        </w:tc>
        <w:tc>
          <w:tcPr>
            <w:tcW w:w="1030" w:type="dxa"/>
            <w:tcBorders>
              <w:top w:val="nil"/>
              <w:left w:val="nil"/>
              <w:bottom w:val="nil"/>
              <w:right w:val="nil"/>
            </w:tcBorders>
            <w:shd w:val="clear" w:color="auto" w:fill="auto"/>
            <w:noWrap/>
            <w:vAlign w:val="center"/>
          </w:tcPr>
          <w:p w14:paraId="6AF1F071">
            <w:pPr>
              <w:widowControl/>
              <w:jc w:val="center"/>
              <w:rPr>
                <w:rFonts w:hint="eastAsia" w:ascii="Times New Roman" w:hAnsi="Times New Roman" w:eastAsia="宋体" w:cs="Times New Roman"/>
                <w:color w:val="auto"/>
                <w:sz w:val="24"/>
                <w:szCs w:val="24"/>
                <w:lang w:val="en-US" w:eastAsia="zh-CN"/>
              </w:rPr>
            </w:pPr>
          </w:p>
        </w:tc>
        <w:tc>
          <w:tcPr>
            <w:tcW w:w="760" w:type="dxa"/>
            <w:tcBorders>
              <w:top w:val="nil"/>
              <w:left w:val="nil"/>
              <w:bottom w:val="nil"/>
              <w:right w:val="nil"/>
            </w:tcBorders>
            <w:shd w:val="clear" w:color="auto" w:fill="auto"/>
            <w:noWrap/>
            <w:vAlign w:val="center"/>
          </w:tcPr>
          <w:p w14:paraId="0A0D4507">
            <w:pPr>
              <w:widowControl/>
              <w:jc w:val="center"/>
              <w:rPr>
                <w:rFonts w:hint="eastAsia" w:ascii="Times New Roman" w:hAnsi="Times New Roman" w:eastAsia="宋体" w:cs="Times New Roman"/>
                <w:color w:val="auto"/>
                <w:kern w:val="2"/>
                <w:sz w:val="24"/>
                <w:szCs w:val="24"/>
                <w:lang w:val="en-US" w:eastAsia="zh-CN" w:bidi="ar-SA"/>
              </w:rPr>
            </w:pPr>
          </w:p>
        </w:tc>
        <w:tc>
          <w:tcPr>
            <w:tcW w:w="1408" w:type="dxa"/>
            <w:tcBorders>
              <w:top w:val="nil"/>
              <w:left w:val="nil"/>
              <w:bottom w:val="nil"/>
              <w:right w:val="nil"/>
            </w:tcBorders>
            <w:shd w:val="clear" w:color="auto" w:fill="auto"/>
            <w:noWrap/>
            <w:vAlign w:val="center"/>
          </w:tcPr>
          <w:p w14:paraId="79318ADB">
            <w:pPr>
              <w:widowControl/>
              <w:jc w:val="center"/>
              <w:rPr>
                <w:rFonts w:hint="eastAsia" w:ascii="Times New Roman" w:hAnsi="Times New Roman" w:eastAsia="宋体" w:cs="Times New Roman"/>
                <w:color w:val="auto"/>
                <w:kern w:val="2"/>
                <w:sz w:val="24"/>
                <w:szCs w:val="24"/>
                <w:lang w:val="en-US" w:eastAsia="zh-CN" w:bidi="ar-SA"/>
              </w:rPr>
            </w:pPr>
          </w:p>
        </w:tc>
        <w:tc>
          <w:tcPr>
            <w:tcW w:w="1030" w:type="dxa"/>
            <w:tcBorders>
              <w:top w:val="nil"/>
              <w:left w:val="nil"/>
              <w:bottom w:val="nil"/>
              <w:right w:val="nil"/>
            </w:tcBorders>
            <w:shd w:val="clear" w:color="auto" w:fill="auto"/>
            <w:noWrap/>
            <w:vAlign w:val="center"/>
          </w:tcPr>
          <w:p w14:paraId="68C3AF9E">
            <w:pPr>
              <w:widowControl/>
              <w:jc w:val="center"/>
              <w:rPr>
                <w:rFonts w:hint="eastAsia" w:ascii="Times New Roman" w:hAnsi="Times New Roman" w:eastAsia="宋体" w:cs="Times New Roman"/>
                <w:color w:val="auto"/>
                <w:kern w:val="2"/>
                <w:sz w:val="24"/>
                <w:szCs w:val="24"/>
                <w:lang w:val="en-US" w:eastAsia="zh-CN" w:bidi="ar-SA"/>
              </w:rPr>
            </w:pPr>
          </w:p>
        </w:tc>
      </w:tr>
      <w:tr w14:paraId="487EB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216" w:type="dxa"/>
            <w:tcBorders>
              <w:top w:val="nil"/>
              <w:left w:val="nil"/>
              <w:bottom w:val="single" w:color="auto" w:sz="4" w:space="0"/>
              <w:right w:val="nil"/>
            </w:tcBorders>
            <w:shd w:val="clear" w:color="auto" w:fill="auto"/>
            <w:noWrap/>
            <w:vAlign w:val="center"/>
          </w:tcPr>
          <w:p w14:paraId="065812AC">
            <w:pPr>
              <w:widowControl/>
              <w:jc w:val="both"/>
              <w:rPr>
                <w:rFonts w:hint="eastAsia"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Positive HBsAg</w:t>
            </w:r>
          </w:p>
        </w:tc>
        <w:tc>
          <w:tcPr>
            <w:tcW w:w="921" w:type="dxa"/>
            <w:tcBorders>
              <w:top w:val="nil"/>
              <w:left w:val="nil"/>
              <w:bottom w:val="single" w:color="auto" w:sz="4" w:space="0"/>
              <w:right w:val="nil"/>
            </w:tcBorders>
            <w:shd w:val="clear" w:color="auto" w:fill="auto"/>
            <w:noWrap/>
            <w:vAlign w:val="center"/>
          </w:tcPr>
          <w:p w14:paraId="29003BC6">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1.194</w:t>
            </w:r>
          </w:p>
        </w:tc>
        <w:tc>
          <w:tcPr>
            <w:tcW w:w="1388" w:type="dxa"/>
            <w:tcBorders>
              <w:top w:val="nil"/>
              <w:left w:val="nil"/>
              <w:bottom w:val="single" w:color="auto" w:sz="4" w:space="0"/>
              <w:right w:val="nil"/>
            </w:tcBorders>
            <w:shd w:val="clear" w:color="auto" w:fill="auto"/>
            <w:noWrap/>
            <w:vAlign w:val="center"/>
          </w:tcPr>
          <w:p w14:paraId="22DD9554">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0.943-1.512</w:t>
            </w:r>
          </w:p>
        </w:tc>
        <w:tc>
          <w:tcPr>
            <w:tcW w:w="1023" w:type="dxa"/>
            <w:tcBorders>
              <w:top w:val="nil"/>
              <w:left w:val="nil"/>
              <w:bottom w:val="single" w:color="auto" w:sz="4" w:space="0"/>
              <w:right w:val="nil"/>
            </w:tcBorders>
            <w:shd w:val="clear" w:color="auto" w:fill="auto"/>
            <w:noWrap/>
            <w:vAlign w:val="center"/>
          </w:tcPr>
          <w:p w14:paraId="0D2685D0">
            <w:pPr>
              <w:widowControl/>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0.141</w:t>
            </w:r>
          </w:p>
        </w:tc>
        <w:tc>
          <w:tcPr>
            <w:tcW w:w="760" w:type="dxa"/>
            <w:tcBorders>
              <w:top w:val="nil"/>
              <w:left w:val="nil"/>
              <w:bottom w:val="single" w:color="auto" w:sz="4" w:space="0"/>
              <w:right w:val="nil"/>
            </w:tcBorders>
            <w:shd w:val="clear" w:color="auto" w:fill="auto"/>
            <w:noWrap/>
            <w:vAlign w:val="center"/>
          </w:tcPr>
          <w:p w14:paraId="1AF17C76">
            <w:pPr>
              <w:widowControl/>
              <w:jc w:val="center"/>
              <w:rPr>
                <w:rFonts w:hint="eastAsia" w:ascii="Times New Roman" w:hAnsi="Times New Roman" w:eastAsia="宋体" w:cs="Times New Roman"/>
                <w:color w:val="auto"/>
                <w:sz w:val="24"/>
                <w:szCs w:val="24"/>
                <w:lang w:val="en-US" w:eastAsia="zh-CN"/>
              </w:rPr>
            </w:pPr>
          </w:p>
        </w:tc>
        <w:tc>
          <w:tcPr>
            <w:tcW w:w="1408" w:type="dxa"/>
            <w:tcBorders>
              <w:top w:val="nil"/>
              <w:left w:val="nil"/>
              <w:bottom w:val="single" w:color="auto" w:sz="4" w:space="0"/>
              <w:right w:val="nil"/>
            </w:tcBorders>
            <w:shd w:val="clear" w:color="auto" w:fill="auto"/>
            <w:noWrap/>
            <w:vAlign w:val="center"/>
          </w:tcPr>
          <w:p w14:paraId="38CADC8C">
            <w:pPr>
              <w:widowControl/>
              <w:jc w:val="center"/>
              <w:rPr>
                <w:rFonts w:hint="eastAsia" w:ascii="Times New Roman" w:hAnsi="Times New Roman" w:eastAsia="宋体" w:cs="Times New Roman"/>
                <w:color w:val="auto"/>
                <w:sz w:val="24"/>
                <w:szCs w:val="24"/>
                <w:lang w:val="en-US" w:eastAsia="zh-CN"/>
              </w:rPr>
            </w:pPr>
          </w:p>
        </w:tc>
        <w:tc>
          <w:tcPr>
            <w:tcW w:w="1030" w:type="dxa"/>
            <w:tcBorders>
              <w:top w:val="nil"/>
              <w:left w:val="nil"/>
              <w:bottom w:val="single" w:color="auto" w:sz="4" w:space="0"/>
              <w:right w:val="nil"/>
            </w:tcBorders>
            <w:shd w:val="clear" w:color="auto" w:fill="auto"/>
            <w:noWrap/>
            <w:vAlign w:val="center"/>
          </w:tcPr>
          <w:p w14:paraId="5DA4A9D1">
            <w:pPr>
              <w:widowControl/>
              <w:jc w:val="center"/>
              <w:rPr>
                <w:rFonts w:hint="eastAsia" w:ascii="Times New Roman" w:hAnsi="Times New Roman" w:eastAsia="宋体" w:cs="Times New Roman"/>
                <w:color w:val="auto"/>
                <w:sz w:val="24"/>
                <w:szCs w:val="24"/>
                <w:lang w:val="en-US" w:eastAsia="zh-CN"/>
              </w:rPr>
            </w:pPr>
          </w:p>
        </w:tc>
        <w:tc>
          <w:tcPr>
            <w:tcW w:w="760" w:type="dxa"/>
            <w:tcBorders>
              <w:top w:val="nil"/>
              <w:left w:val="nil"/>
              <w:bottom w:val="single" w:color="auto" w:sz="4" w:space="0"/>
              <w:right w:val="nil"/>
            </w:tcBorders>
            <w:shd w:val="clear" w:color="auto" w:fill="auto"/>
            <w:noWrap/>
            <w:vAlign w:val="center"/>
          </w:tcPr>
          <w:p w14:paraId="008E46F6">
            <w:pPr>
              <w:widowControl/>
              <w:jc w:val="center"/>
              <w:rPr>
                <w:rFonts w:hint="eastAsia" w:ascii="Times New Roman" w:hAnsi="Times New Roman" w:eastAsia="宋体" w:cs="Times New Roman"/>
                <w:color w:val="auto"/>
                <w:kern w:val="2"/>
                <w:sz w:val="24"/>
                <w:szCs w:val="24"/>
                <w:lang w:val="en-US" w:eastAsia="zh-CN" w:bidi="ar-SA"/>
              </w:rPr>
            </w:pPr>
          </w:p>
        </w:tc>
        <w:tc>
          <w:tcPr>
            <w:tcW w:w="1408" w:type="dxa"/>
            <w:tcBorders>
              <w:top w:val="nil"/>
              <w:left w:val="nil"/>
              <w:bottom w:val="single" w:color="auto" w:sz="4" w:space="0"/>
              <w:right w:val="nil"/>
            </w:tcBorders>
            <w:shd w:val="clear" w:color="auto" w:fill="auto"/>
            <w:noWrap/>
            <w:vAlign w:val="center"/>
          </w:tcPr>
          <w:p w14:paraId="554826B2">
            <w:pPr>
              <w:widowControl/>
              <w:jc w:val="center"/>
              <w:rPr>
                <w:rFonts w:hint="eastAsia" w:ascii="Times New Roman" w:hAnsi="Times New Roman" w:eastAsia="宋体" w:cs="Times New Roman"/>
                <w:color w:val="auto"/>
                <w:kern w:val="2"/>
                <w:sz w:val="24"/>
                <w:szCs w:val="24"/>
                <w:lang w:val="en-US" w:eastAsia="zh-CN" w:bidi="ar-SA"/>
              </w:rPr>
            </w:pPr>
          </w:p>
        </w:tc>
        <w:tc>
          <w:tcPr>
            <w:tcW w:w="1030" w:type="dxa"/>
            <w:tcBorders>
              <w:top w:val="nil"/>
              <w:left w:val="nil"/>
              <w:bottom w:val="single" w:color="auto" w:sz="4" w:space="0"/>
              <w:right w:val="nil"/>
            </w:tcBorders>
            <w:shd w:val="clear" w:color="auto" w:fill="auto"/>
            <w:noWrap/>
            <w:vAlign w:val="center"/>
          </w:tcPr>
          <w:p w14:paraId="280B23D5">
            <w:pPr>
              <w:widowControl/>
              <w:jc w:val="center"/>
              <w:rPr>
                <w:rFonts w:hint="eastAsia" w:ascii="Times New Roman" w:hAnsi="Times New Roman" w:eastAsia="宋体" w:cs="Times New Roman"/>
                <w:color w:val="auto"/>
                <w:kern w:val="2"/>
                <w:sz w:val="24"/>
                <w:szCs w:val="24"/>
                <w:lang w:val="en-US" w:eastAsia="zh-CN" w:bidi="ar-SA"/>
              </w:rPr>
            </w:pPr>
          </w:p>
        </w:tc>
      </w:tr>
    </w:tbl>
    <w:p w14:paraId="56AE6311">
      <w:pPr>
        <w:keepNext w:val="0"/>
        <w:keepLines w:val="0"/>
        <w:pageBreakBefore w:val="0"/>
        <w:widowControl w:val="0"/>
        <w:kinsoku w:val="0"/>
        <w:wordWrap/>
        <w:overflowPunct/>
        <w:topLinePunct w:val="0"/>
        <w:autoSpaceDE/>
        <w:autoSpaceDN/>
        <w:bidi w:val="0"/>
        <w:adjustRightInd/>
        <w:snapToGrid/>
        <w:jc w:val="left"/>
        <w:textAlignment w:val="auto"/>
        <w:rPr>
          <w:color w:val="auto"/>
        </w:rPr>
      </w:pPr>
      <w:r>
        <w:rPr>
          <w:rFonts w:hint="default" w:ascii="Times New Roman" w:hAnsi="Times New Roman" w:eastAsia="宋体" w:cs="Times New Roman"/>
          <w:color w:val="auto"/>
          <w:sz w:val="24"/>
          <w:szCs w:val="24"/>
        </w:rPr>
        <w:t>Abbreviations:HBsAg,</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hepatitis B surface</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antigen;</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AFP,</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 xml:space="preserve">alpha-fetoprotein; BCLC, </w:t>
      </w:r>
      <w:r>
        <w:rPr>
          <w:rFonts w:hint="eastAsia" w:ascii="Times New Roman" w:hAnsi="Times New Roman" w:eastAsia="宋体" w:cs="Times New Roman"/>
          <w:color w:val="auto"/>
          <w:sz w:val="24"/>
          <w:szCs w:val="24"/>
          <w:lang w:val="en-US" w:eastAsia="zh-CN"/>
        </w:rPr>
        <w:t>b</w:t>
      </w:r>
      <w:r>
        <w:rPr>
          <w:rFonts w:hint="default" w:ascii="Times New Roman" w:hAnsi="Times New Roman" w:eastAsia="宋体" w:cs="Times New Roman"/>
          <w:color w:val="auto"/>
          <w:sz w:val="24"/>
          <w:szCs w:val="24"/>
        </w:rPr>
        <w:t xml:space="preserve">arcelona </w:t>
      </w:r>
      <w:r>
        <w:rPr>
          <w:rFonts w:hint="eastAsia" w:ascii="Times New Roman" w:hAnsi="Times New Roman" w:eastAsia="宋体" w:cs="Times New Roman"/>
          <w:color w:val="auto"/>
          <w:sz w:val="24"/>
          <w:szCs w:val="24"/>
          <w:lang w:val="en-US" w:eastAsia="zh-CN"/>
        </w:rPr>
        <w:t>c</w:t>
      </w:r>
      <w:r>
        <w:rPr>
          <w:rFonts w:hint="default" w:ascii="Times New Roman" w:hAnsi="Times New Roman" w:eastAsia="宋体" w:cs="Times New Roman"/>
          <w:color w:val="auto"/>
          <w:sz w:val="24"/>
          <w:szCs w:val="24"/>
        </w:rPr>
        <w:t xml:space="preserve">linic </w:t>
      </w:r>
      <w:r>
        <w:rPr>
          <w:rFonts w:hint="eastAsia" w:ascii="Times New Roman" w:hAnsi="Times New Roman" w:eastAsia="宋体" w:cs="Times New Roman"/>
          <w:color w:val="auto"/>
          <w:sz w:val="24"/>
          <w:szCs w:val="24"/>
          <w:lang w:val="en-US" w:eastAsia="zh-CN"/>
        </w:rPr>
        <w:t>l</w:t>
      </w:r>
      <w:r>
        <w:rPr>
          <w:rFonts w:hint="default" w:ascii="Times New Roman" w:hAnsi="Times New Roman" w:eastAsia="宋体" w:cs="Times New Roman"/>
          <w:color w:val="auto"/>
          <w:sz w:val="24"/>
          <w:szCs w:val="24"/>
        </w:rPr>
        <w:t xml:space="preserve">iver </w:t>
      </w:r>
      <w:r>
        <w:rPr>
          <w:rFonts w:hint="eastAsia" w:ascii="Times New Roman" w:hAnsi="Times New Roman" w:eastAsia="宋体" w:cs="Times New Roman"/>
          <w:color w:val="auto"/>
          <w:sz w:val="24"/>
          <w:szCs w:val="24"/>
          <w:lang w:val="en-US" w:eastAsia="zh-CN"/>
        </w:rPr>
        <w:t>c</w:t>
      </w:r>
      <w:r>
        <w:rPr>
          <w:rFonts w:hint="default" w:ascii="Times New Roman" w:hAnsi="Times New Roman" w:eastAsia="宋体" w:cs="Times New Roman"/>
          <w:color w:val="auto"/>
          <w:sz w:val="24"/>
          <w:szCs w:val="24"/>
        </w:rPr>
        <w:t>ancer</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AST,</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aspartate aminotransferase; ALT,</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alanine aminotransferase;</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HCC,</w:t>
      </w:r>
      <w:r>
        <w:rPr>
          <w:rFonts w:hint="eastAsia" w:ascii="Times New Roman" w:hAnsi="Times New Roman" w:eastAsia="宋体" w:cs="Times New Roman"/>
          <w:color w:val="auto"/>
          <w:sz w:val="24"/>
          <w:szCs w:val="24"/>
          <w:lang w:val="en-US" w:eastAsia="zh-CN"/>
        </w:rPr>
        <w:t xml:space="preserve"> h</w:t>
      </w:r>
      <w:r>
        <w:rPr>
          <w:rFonts w:hint="default" w:ascii="Times New Roman" w:hAnsi="Times New Roman" w:eastAsia="宋体" w:cs="Times New Roman"/>
          <w:color w:val="auto"/>
          <w:sz w:val="24"/>
          <w:szCs w:val="24"/>
        </w:rPr>
        <w:t xml:space="preserve">epatocellular </w:t>
      </w:r>
      <w:r>
        <w:rPr>
          <w:rFonts w:hint="eastAsia" w:ascii="Times New Roman" w:hAnsi="Times New Roman" w:eastAsia="宋体" w:cs="Times New Roman"/>
          <w:color w:val="auto"/>
          <w:sz w:val="24"/>
          <w:szCs w:val="24"/>
          <w:lang w:val="en-US" w:eastAsia="zh-CN"/>
        </w:rPr>
        <w:t>c</w:t>
      </w:r>
      <w:r>
        <w:rPr>
          <w:rFonts w:hint="default" w:ascii="Times New Roman" w:hAnsi="Times New Roman" w:eastAsia="宋体" w:cs="Times New Roman"/>
          <w:color w:val="auto"/>
          <w:sz w:val="24"/>
          <w:szCs w:val="24"/>
        </w:rPr>
        <w:t>arcinoma</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FIB-4</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fibrosis-4</w:t>
      </w:r>
      <w:r>
        <w:rPr>
          <w:rFonts w:hint="eastAsia" w:ascii="Times New Roman" w:hAnsi="Times New Roman" w:eastAsia="宋体" w:cs="Times New Roman"/>
          <w:color w:val="auto"/>
          <w:sz w:val="24"/>
          <w:szCs w:val="24"/>
          <w:lang w:val="en-US" w:eastAsia="zh-CN"/>
        </w:rPr>
        <w:t>; APRI, aspartate aminotransferase to platelet ratio index; HR = hazard ratio; CI = confidence interval; (a), adjusting for AFP-FIB-4; (b), adjusting for AFP.</w:t>
      </w:r>
    </w:p>
    <w:p w14:paraId="6A1F52FD">
      <w:pPr>
        <w:rPr>
          <w:color w:val="auto"/>
        </w:rPr>
      </w:pPr>
    </w:p>
    <w:p w14:paraId="78135E15">
      <w:pPr>
        <w:rPr>
          <w:color w:val="auto"/>
        </w:rPr>
        <w:sectPr>
          <w:pgSz w:w="16838" w:h="11906" w:orient="landscape"/>
          <w:pgMar w:top="1803" w:right="1440" w:bottom="1803" w:left="1440" w:header="851" w:footer="992" w:gutter="0"/>
          <w:pgBorders>
            <w:top w:val="none" w:sz="0" w:space="0"/>
            <w:left w:val="none" w:sz="0" w:space="0"/>
            <w:bottom w:val="none" w:sz="0" w:space="0"/>
            <w:right w:val="none" w:sz="0" w:space="0"/>
          </w:pgBorders>
          <w:cols w:space="0" w:num="1"/>
          <w:rtlGutter w:val="0"/>
          <w:docGrid w:type="lines" w:linePitch="319" w:charSpace="0"/>
        </w:sectPr>
      </w:pPr>
    </w:p>
    <w:p w14:paraId="1D140570">
      <w:pPr>
        <w:rPr>
          <w:rFonts w:ascii="Calibri" w:hAnsi="Calibri" w:eastAsia="宋体" w:cs="Times New Roman"/>
          <w:color w:val="auto"/>
        </w:rPr>
      </w:pPr>
      <w:r>
        <w:rPr>
          <w:rFonts w:hint="default" w:ascii="Times New Roman" w:hAnsi="Times New Roman" w:eastAsia="宋体" w:cs="Times New Roman"/>
          <w:color w:val="auto"/>
          <w:sz w:val="20"/>
          <w:szCs w:val="20"/>
          <w:lang w:val="en-US" w:eastAsia="zh-CN"/>
        </w:rPr>
        <w:t xml:space="preserve">Table </w:t>
      </w:r>
      <w:r>
        <w:rPr>
          <w:rFonts w:hint="eastAsia" w:ascii="Times New Roman" w:hAnsi="Times New Roman" w:eastAsia="宋体" w:cs="Times New Roman"/>
          <w:color w:val="auto"/>
          <w:sz w:val="20"/>
          <w:szCs w:val="20"/>
          <w:lang w:val="en-US" w:eastAsia="zh-CN"/>
        </w:rPr>
        <w:t>4</w:t>
      </w:r>
      <w:r>
        <w:rPr>
          <w:rFonts w:hint="default" w:ascii="Times New Roman" w:hAnsi="Times New Roman" w:eastAsia="宋体" w:cs="Times New Roman"/>
          <w:color w:val="auto"/>
          <w:sz w:val="20"/>
          <w:szCs w:val="20"/>
          <w:lang w:val="en-US" w:eastAsia="zh-CN"/>
        </w:rPr>
        <w:t xml:space="preserve">. </w:t>
      </w:r>
      <w:r>
        <w:rPr>
          <w:rFonts w:hint="default" w:ascii="Times New Roman" w:hAnsi="Times New Roman" w:eastAsia="宋体" w:cs="Times New Roman"/>
          <w:color w:val="auto"/>
          <w:sz w:val="20"/>
          <w:szCs w:val="20"/>
        </w:rPr>
        <w:t>Disease-free survival of AFP-FIB-4 score 1 and AFP-FIB-4 score 2 groups stratified by different potential confounders</w:t>
      </w:r>
      <w:r>
        <w:rPr>
          <w:rFonts w:hint="default" w:ascii="Times New Roman" w:hAnsi="Times New Roman" w:eastAsia="宋体" w:cs="Times New Roman"/>
          <w:color w:val="auto"/>
          <w:sz w:val="20"/>
          <w:szCs w:val="20"/>
        </w:rPr>
        <w:t>.</w:t>
      </w:r>
    </w:p>
    <w:tbl>
      <w:tblPr>
        <w:tblStyle w:val="6"/>
        <w:tblW w:w="591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78"/>
        <w:gridCol w:w="705"/>
        <w:gridCol w:w="816"/>
        <w:gridCol w:w="1128"/>
        <w:gridCol w:w="1128"/>
        <w:gridCol w:w="1387"/>
        <w:gridCol w:w="738"/>
        <w:gridCol w:w="716"/>
        <w:gridCol w:w="811"/>
        <w:gridCol w:w="1073"/>
      </w:tblGrid>
      <w:tr w14:paraId="1DC22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single" w:color="auto" w:sz="4" w:space="0"/>
              <w:left w:val="nil"/>
              <w:bottom w:val="single" w:color="auto" w:sz="4" w:space="0"/>
              <w:right w:val="nil"/>
            </w:tcBorders>
            <w:shd w:val="clear" w:color="auto" w:fill="auto"/>
            <w:noWrap/>
            <w:vAlign w:val="center"/>
          </w:tcPr>
          <w:p w14:paraId="528D2117">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Variable</w:t>
            </w:r>
          </w:p>
        </w:tc>
        <w:tc>
          <w:tcPr>
            <w:tcW w:w="349" w:type="pct"/>
            <w:tcBorders>
              <w:top w:val="single" w:color="auto" w:sz="4" w:space="0"/>
              <w:left w:val="nil"/>
              <w:bottom w:val="single" w:color="auto" w:sz="4" w:space="0"/>
              <w:right w:val="nil"/>
            </w:tcBorders>
            <w:shd w:val="clear" w:color="auto" w:fill="auto"/>
            <w:noWrap/>
            <w:vAlign w:val="center"/>
          </w:tcPr>
          <w:p w14:paraId="0845DE1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Count</w:t>
            </w:r>
          </w:p>
        </w:tc>
        <w:tc>
          <w:tcPr>
            <w:tcW w:w="404" w:type="pct"/>
            <w:tcBorders>
              <w:top w:val="single" w:color="auto" w:sz="4" w:space="0"/>
              <w:left w:val="nil"/>
              <w:bottom w:val="single" w:color="auto" w:sz="4" w:space="0"/>
              <w:right w:val="nil"/>
            </w:tcBorders>
            <w:shd w:val="clear" w:color="auto" w:fill="auto"/>
            <w:noWrap/>
            <w:vAlign w:val="center"/>
          </w:tcPr>
          <w:p w14:paraId="160B6E8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Percent</w:t>
            </w:r>
          </w:p>
        </w:tc>
        <w:tc>
          <w:tcPr>
            <w:tcW w:w="559" w:type="pct"/>
            <w:tcBorders>
              <w:top w:val="single" w:color="auto" w:sz="4" w:space="0"/>
              <w:left w:val="nil"/>
              <w:bottom w:val="single" w:color="auto" w:sz="4" w:space="0"/>
              <w:right w:val="nil"/>
            </w:tcBorders>
            <w:shd w:val="clear" w:color="auto" w:fill="auto"/>
            <w:noWrap/>
            <w:vAlign w:val="center"/>
          </w:tcPr>
          <w:p w14:paraId="106D495A">
            <w:pPr>
              <w:keepNext w:val="0"/>
              <w:keepLines w:val="0"/>
              <w:widowControl/>
              <w:suppressLineNumbers w:val="0"/>
              <w:jc w:val="left"/>
              <w:textAlignment w:val="center"/>
              <w:rPr>
                <w:rFonts w:hint="eastAsia"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 xml:space="preserve">AFP-FIB-4 </w:t>
            </w:r>
          </w:p>
          <w:p w14:paraId="50597073">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score 1</w:t>
            </w:r>
          </w:p>
        </w:tc>
        <w:tc>
          <w:tcPr>
            <w:tcW w:w="559" w:type="pct"/>
            <w:tcBorders>
              <w:top w:val="single" w:color="auto" w:sz="4" w:space="0"/>
              <w:left w:val="nil"/>
              <w:bottom w:val="single" w:color="auto" w:sz="4" w:space="0"/>
              <w:right w:val="nil"/>
            </w:tcBorders>
            <w:shd w:val="clear" w:color="auto" w:fill="auto"/>
            <w:noWrap/>
            <w:vAlign w:val="center"/>
          </w:tcPr>
          <w:p w14:paraId="4CB840F4">
            <w:pPr>
              <w:keepNext w:val="0"/>
              <w:keepLines w:val="0"/>
              <w:widowControl/>
              <w:suppressLineNumbers w:val="0"/>
              <w:jc w:val="left"/>
              <w:textAlignment w:val="center"/>
              <w:rPr>
                <w:rFonts w:hint="eastAsia"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 xml:space="preserve">AFP-FIB-4 </w:t>
            </w:r>
          </w:p>
          <w:p w14:paraId="3992E73C">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score 2</w:t>
            </w:r>
          </w:p>
        </w:tc>
        <w:tc>
          <w:tcPr>
            <w:tcW w:w="688" w:type="pct"/>
            <w:tcBorders>
              <w:top w:val="single" w:color="auto" w:sz="4" w:space="0"/>
              <w:left w:val="nil"/>
              <w:bottom w:val="single" w:color="auto" w:sz="4" w:space="0"/>
              <w:right w:val="nil"/>
            </w:tcBorders>
            <w:shd w:val="clear" w:color="auto" w:fill="auto"/>
            <w:noWrap/>
            <w:vAlign w:val="center"/>
          </w:tcPr>
          <w:p w14:paraId="787F758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eastAsia" w:ascii="Times New Roman" w:hAnsi="Times New Roman" w:eastAsia="宋体" w:cs="Times New Roman"/>
                <w:i w:val="0"/>
                <w:iCs w:val="0"/>
                <w:color w:val="auto"/>
                <w:kern w:val="0"/>
                <w:sz w:val="20"/>
                <w:szCs w:val="20"/>
                <w:u w:val="none"/>
                <w:lang w:val="en-US" w:eastAsia="zh-CN" w:bidi="ar"/>
              </w:rPr>
              <w:t>HR</w:t>
            </w:r>
          </w:p>
        </w:tc>
        <w:tc>
          <w:tcPr>
            <w:tcW w:w="366" w:type="pct"/>
            <w:tcBorders>
              <w:top w:val="single" w:color="auto" w:sz="4" w:space="0"/>
              <w:left w:val="nil"/>
              <w:bottom w:val="single" w:color="auto" w:sz="4" w:space="0"/>
              <w:right w:val="nil"/>
            </w:tcBorders>
            <w:shd w:val="clear" w:color="auto" w:fill="auto"/>
            <w:noWrap/>
            <w:vAlign w:val="center"/>
          </w:tcPr>
          <w:p w14:paraId="3B11FFE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Lower</w:t>
            </w:r>
          </w:p>
        </w:tc>
        <w:tc>
          <w:tcPr>
            <w:tcW w:w="355" w:type="pct"/>
            <w:tcBorders>
              <w:top w:val="single" w:color="auto" w:sz="4" w:space="0"/>
              <w:left w:val="nil"/>
              <w:bottom w:val="single" w:color="auto" w:sz="4" w:space="0"/>
              <w:right w:val="nil"/>
            </w:tcBorders>
            <w:shd w:val="clear" w:color="auto" w:fill="auto"/>
            <w:noWrap/>
            <w:vAlign w:val="center"/>
          </w:tcPr>
          <w:p w14:paraId="023822F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Upper</w:t>
            </w:r>
          </w:p>
        </w:tc>
        <w:tc>
          <w:tcPr>
            <w:tcW w:w="402" w:type="pct"/>
            <w:tcBorders>
              <w:top w:val="single" w:color="auto" w:sz="4" w:space="0"/>
              <w:left w:val="nil"/>
              <w:bottom w:val="single" w:color="auto" w:sz="4" w:space="0"/>
              <w:right w:val="nil"/>
            </w:tcBorders>
            <w:shd w:val="clear" w:color="auto" w:fill="auto"/>
            <w:noWrap/>
            <w:vAlign w:val="center"/>
          </w:tcPr>
          <w:p w14:paraId="4EB191D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P value</w:t>
            </w:r>
          </w:p>
        </w:tc>
        <w:tc>
          <w:tcPr>
            <w:tcW w:w="531" w:type="pct"/>
            <w:tcBorders>
              <w:top w:val="single" w:color="auto" w:sz="4" w:space="0"/>
              <w:left w:val="nil"/>
              <w:bottom w:val="single" w:color="auto" w:sz="4" w:space="0"/>
              <w:right w:val="nil"/>
            </w:tcBorders>
            <w:shd w:val="clear" w:color="auto" w:fill="auto"/>
            <w:noWrap/>
            <w:vAlign w:val="center"/>
          </w:tcPr>
          <w:p w14:paraId="26E494C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 xml:space="preserve">P for </w:t>
            </w:r>
          </w:p>
          <w:p w14:paraId="02AF904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interaction</w:t>
            </w:r>
          </w:p>
        </w:tc>
      </w:tr>
      <w:tr w14:paraId="4248A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pct"/>
            <w:tcBorders>
              <w:top w:val="single" w:color="auto" w:sz="4" w:space="0"/>
              <w:left w:val="nil"/>
              <w:bottom w:val="nil"/>
              <w:right w:val="nil"/>
            </w:tcBorders>
            <w:shd w:val="clear" w:color="auto" w:fill="auto"/>
            <w:noWrap/>
            <w:vAlign w:val="center"/>
          </w:tcPr>
          <w:p w14:paraId="4AA01A92">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Overall</w:t>
            </w:r>
          </w:p>
        </w:tc>
        <w:tc>
          <w:tcPr>
            <w:tcW w:w="349" w:type="pct"/>
            <w:tcBorders>
              <w:top w:val="single" w:color="auto" w:sz="4" w:space="0"/>
              <w:left w:val="nil"/>
              <w:bottom w:val="nil"/>
              <w:right w:val="nil"/>
            </w:tcBorders>
            <w:shd w:val="clear" w:color="auto" w:fill="auto"/>
            <w:noWrap/>
            <w:vAlign w:val="center"/>
          </w:tcPr>
          <w:p w14:paraId="4F59641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1174</w:t>
            </w:r>
          </w:p>
        </w:tc>
        <w:tc>
          <w:tcPr>
            <w:tcW w:w="404" w:type="pct"/>
            <w:tcBorders>
              <w:top w:val="single" w:color="auto" w:sz="4" w:space="0"/>
              <w:left w:val="nil"/>
              <w:bottom w:val="nil"/>
              <w:right w:val="nil"/>
            </w:tcBorders>
            <w:shd w:val="clear" w:color="auto" w:fill="auto"/>
            <w:noWrap/>
            <w:vAlign w:val="center"/>
          </w:tcPr>
          <w:p w14:paraId="7CDA10C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100</w:t>
            </w:r>
          </w:p>
        </w:tc>
        <w:tc>
          <w:tcPr>
            <w:tcW w:w="559" w:type="pct"/>
            <w:tcBorders>
              <w:top w:val="single" w:color="auto" w:sz="4" w:space="0"/>
              <w:left w:val="nil"/>
              <w:bottom w:val="nil"/>
              <w:right w:val="nil"/>
            </w:tcBorders>
            <w:shd w:val="clear" w:color="auto" w:fill="auto"/>
            <w:noWrap/>
            <w:vAlign w:val="center"/>
          </w:tcPr>
          <w:p w14:paraId="6B92D43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446</w:t>
            </w:r>
          </w:p>
        </w:tc>
        <w:tc>
          <w:tcPr>
            <w:tcW w:w="559" w:type="pct"/>
            <w:tcBorders>
              <w:top w:val="single" w:color="auto" w:sz="4" w:space="0"/>
              <w:left w:val="nil"/>
              <w:bottom w:val="nil"/>
              <w:right w:val="nil"/>
            </w:tcBorders>
            <w:shd w:val="clear" w:color="auto" w:fill="auto"/>
            <w:noWrap/>
            <w:vAlign w:val="center"/>
          </w:tcPr>
          <w:p w14:paraId="5A4DAE5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728</w:t>
            </w:r>
          </w:p>
        </w:tc>
        <w:tc>
          <w:tcPr>
            <w:tcW w:w="688" w:type="pct"/>
            <w:tcBorders>
              <w:top w:val="single" w:color="auto" w:sz="4" w:space="0"/>
              <w:left w:val="nil"/>
              <w:bottom w:val="nil"/>
              <w:right w:val="nil"/>
            </w:tcBorders>
            <w:shd w:val="clear" w:color="auto" w:fill="auto"/>
            <w:noWrap/>
            <w:vAlign w:val="center"/>
          </w:tcPr>
          <w:p w14:paraId="43686C5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1.62</w:t>
            </w:r>
          </w:p>
        </w:tc>
        <w:tc>
          <w:tcPr>
            <w:tcW w:w="366" w:type="pct"/>
            <w:tcBorders>
              <w:top w:val="single" w:color="auto" w:sz="4" w:space="0"/>
              <w:left w:val="nil"/>
              <w:bottom w:val="nil"/>
              <w:right w:val="nil"/>
            </w:tcBorders>
            <w:shd w:val="clear" w:color="auto" w:fill="auto"/>
            <w:noWrap/>
            <w:vAlign w:val="center"/>
          </w:tcPr>
          <w:p w14:paraId="5E99192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1.38</w:t>
            </w:r>
          </w:p>
        </w:tc>
        <w:tc>
          <w:tcPr>
            <w:tcW w:w="355" w:type="pct"/>
            <w:tcBorders>
              <w:top w:val="single" w:color="auto" w:sz="4" w:space="0"/>
              <w:left w:val="nil"/>
              <w:bottom w:val="nil"/>
              <w:right w:val="nil"/>
            </w:tcBorders>
            <w:shd w:val="clear" w:color="auto" w:fill="auto"/>
            <w:noWrap/>
            <w:vAlign w:val="center"/>
          </w:tcPr>
          <w:p w14:paraId="5A0176E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1.91</w:t>
            </w:r>
          </w:p>
        </w:tc>
        <w:tc>
          <w:tcPr>
            <w:tcW w:w="402" w:type="pct"/>
            <w:tcBorders>
              <w:top w:val="single" w:color="auto" w:sz="4" w:space="0"/>
              <w:left w:val="nil"/>
              <w:bottom w:val="nil"/>
              <w:right w:val="nil"/>
            </w:tcBorders>
            <w:shd w:val="clear" w:color="auto" w:fill="auto"/>
            <w:noWrap/>
            <w:vAlign w:val="center"/>
          </w:tcPr>
          <w:p w14:paraId="41CBA05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531" w:type="pct"/>
            <w:tcBorders>
              <w:top w:val="single" w:color="auto" w:sz="4" w:space="0"/>
              <w:left w:val="nil"/>
              <w:bottom w:val="nil"/>
              <w:right w:val="nil"/>
            </w:tcBorders>
            <w:shd w:val="clear" w:color="auto" w:fill="auto"/>
            <w:noWrap/>
            <w:vAlign w:val="center"/>
          </w:tcPr>
          <w:p w14:paraId="2C7C18B8">
            <w:pPr>
              <w:jc w:val="center"/>
              <w:rPr>
                <w:rFonts w:hint="default" w:ascii="Times New Roman" w:hAnsi="Times New Roman" w:eastAsia="宋体" w:cs="Times New Roman"/>
                <w:i w:val="0"/>
                <w:iCs w:val="0"/>
                <w:color w:val="auto"/>
                <w:sz w:val="20"/>
                <w:szCs w:val="20"/>
                <w:u w:val="none"/>
              </w:rPr>
            </w:pPr>
          </w:p>
        </w:tc>
      </w:tr>
      <w:tr w14:paraId="0C985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51B8B263">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Gender</w:t>
            </w:r>
          </w:p>
        </w:tc>
        <w:tc>
          <w:tcPr>
            <w:tcW w:w="349" w:type="pct"/>
            <w:tcBorders>
              <w:top w:val="nil"/>
              <w:left w:val="nil"/>
              <w:bottom w:val="nil"/>
              <w:right w:val="nil"/>
            </w:tcBorders>
            <w:shd w:val="clear" w:color="auto" w:fill="auto"/>
            <w:noWrap/>
            <w:vAlign w:val="center"/>
          </w:tcPr>
          <w:p w14:paraId="738D6A64">
            <w:pPr>
              <w:jc w:val="center"/>
              <w:rPr>
                <w:rFonts w:hint="default" w:ascii="Times New Roman" w:hAnsi="Times New Roman" w:eastAsia="宋体" w:cs="Times New Roman"/>
                <w:i w:val="0"/>
                <w:iCs w:val="0"/>
                <w:color w:val="auto"/>
                <w:sz w:val="20"/>
                <w:szCs w:val="20"/>
                <w:u w:val="none"/>
              </w:rPr>
            </w:pPr>
          </w:p>
        </w:tc>
        <w:tc>
          <w:tcPr>
            <w:tcW w:w="404" w:type="pct"/>
            <w:tcBorders>
              <w:top w:val="nil"/>
              <w:left w:val="nil"/>
              <w:bottom w:val="nil"/>
              <w:right w:val="nil"/>
            </w:tcBorders>
            <w:shd w:val="clear" w:color="auto" w:fill="auto"/>
            <w:noWrap/>
            <w:vAlign w:val="center"/>
          </w:tcPr>
          <w:p w14:paraId="116D37AD">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381DBB0B">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0E9C107E">
            <w:pPr>
              <w:jc w:val="center"/>
              <w:rPr>
                <w:rFonts w:hint="default" w:ascii="Times New Roman" w:hAnsi="Times New Roman" w:eastAsia="宋体" w:cs="Times New Roman"/>
                <w:i w:val="0"/>
                <w:iCs w:val="0"/>
                <w:color w:val="auto"/>
                <w:sz w:val="20"/>
                <w:szCs w:val="20"/>
                <w:u w:val="none"/>
              </w:rPr>
            </w:pPr>
          </w:p>
        </w:tc>
        <w:tc>
          <w:tcPr>
            <w:tcW w:w="688" w:type="pct"/>
            <w:tcBorders>
              <w:top w:val="nil"/>
              <w:left w:val="nil"/>
              <w:bottom w:val="nil"/>
              <w:right w:val="nil"/>
            </w:tcBorders>
            <w:shd w:val="clear" w:color="auto" w:fill="auto"/>
            <w:noWrap/>
            <w:vAlign w:val="center"/>
          </w:tcPr>
          <w:p w14:paraId="566D1719">
            <w:pPr>
              <w:jc w:val="center"/>
              <w:rPr>
                <w:rFonts w:hint="default" w:ascii="Times New Roman" w:hAnsi="Times New Roman" w:eastAsia="宋体" w:cs="Times New Roman"/>
                <w:i w:val="0"/>
                <w:iCs w:val="0"/>
                <w:color w:val="auto"/>
                <w:sz w:val="20"/>
                <w:szCs w:val="20"/>
                <w:u w:val="none"/>
              </w:rPr>
            </w:pPr>
          </w:p>
        </w:tc>
        <w:tc>
          <w:tcPr>
            <w:tcW w:w="366" w:type="pct"/>
            <w:tcBorders>
              <w:top w:val="nil"/>
              <w:left w:val="nil"/>
              <w:bottom w:val="nil"/>
              <w:right w:val="nil"/>
            </w:tcBorders>
            <w:shd w:val="clear" w:color="auto" w:fill="auto"/>
            <w:noWrap/>
            <w:vAlign w:val="center"/>
          </w:tcPr>
          <w:p w14:paraId="513F1C92">
            <w:pPr>
              <w:jc w:val="center"/>
              <w:rPr>
                <w:rFonts w:hint="default" w:ascii="Times New Roman" w:hAnsi="Times New Roman" w:eastAsia="宋体" w:cs="Times New Roman"/>
                <w:i w:val="0"/>
                <w:iCs w:val="0"/>
                <w:color w:val="auto"/>
                <w:sz w:val="20"/>
                <w:szCs w:val="20"/>
                <w:u w:val="none"/>
              </w:rPr>
            </w:pPr>
          </w:p>
        </w:tc>
        <w:tc>
          <w:tcPr>
            <w:tcW w:w="355" w:type="pct"/>
            <w:tcBorders>
              <w:top w:val="nil"/>
              <w:left w:val="nil"/>
              <w:bottom w:val="nil"/>
              <w:right w:val="nil"/>
            </w:tcBorders>
            <w:shd w:val="clear" w:color="auto" w:fill="auto"/>
            <w:noWrap/>
            <w:vAlign w:val="center"/>
          </w:tcPr>
          <w:p w14:paraId="6562F75A">
            <w:pPr>
              <w:jc w:val="center"/>
              <w:rPr>
                <w:rFonts w:hint="default" w:ascii="Times New Roman" w:hAnsi="Times New Roman" w:eastAsia="宋体" w:cs="Times New Roman"/>
                <w:i w:val="0"/>
                <w:iCs w:val="0"/>
                <w:color w:val="auto"/>
                <w:sz w:val="20"/>
                <w:szCs w:val="20"/>
                <w:u w:val="none"/>
              </w:rPr>
            </w:pPr>
          </w:p>
        </w:tc>
        <w:tc>
          <w:tcPr>
            <w:tcW w:w="402" w:type="pct"/>
            <w:tcBorders>
              <w:top w:val="nil"/>
              <w:left w:val="nil"/>
              <w:bottom w:val="nil"/>
              <w:right w:val="nil"/>
            </w:tcBorders>
            <w:shd w:val="clear" w:color="auto" w:fill="auto"/>
            <w:noWrap/>
            <w:vAlign w:val="center"/>
          </w:tcPr>
          <w:p w14:paraId="322BD5C9">
            <w:pPr>
              <w:jc w:val="center"/>
              <w:rPr>
                <w:rFonts w:hint="default" w:ascii="Times New Roman" w:hAnsi="Times New Roman" w:eastAsia="宋体" w:cs="Times New Roman"/>
                <w:i w:val="0"/>
                <w:iCs w:val="0"/>
                <w:color w:val="auto"/>
                <w:sz w:val="20"/>
                <w:szCs w:val="20"/>
                <w:u w:val="none"/>
              </w:rPr>
            </w:pPr>
          </w:p>
        </w:tc>
        <w:tc>
          <w:tcPr>
            <w:tcW w:w="531" w:type="pct"/>
            <w:tcBorders>
              <w:top w:val="nil"/>
              <w:left w:val="nil"/>
              <w:bottom w:val="nil"/>
              <w:right w:val="nil"/>
            </w:tcBorders>
            <w:shd w:val="clear" w:color="auto" w:fill="auto"/>
            <w:noWrap/>
            <w:vAlign w:val="center"/>
          </w:tcPr>
          <w:p w14:paraId="21DAB72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0.102</w:t>
            </w:r>
          </w:p>
        </w:tc>
      </w:tr>
      <w:tr w14:paraId="2A991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09A45E91">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Female</w:t>
            </w:r>
          </w:p>
        </w:tc>
        <w:tc>
          <w:tcPr>
            <w:tcW w:w="705" w:type="dxa"/>
            <w:tcBorders>
              <w:top w:val="nil"/>
              <w:left w:val="nil"/>
              <w:bottom w:val="nil"/>
              <w:right w:val="nil"/>
            </w:tcBorders>
            <w:shd w:val="clear" w:color="auto" w:fill="auto"/>
            <w:noWrap/>
            <w:vAlign w:val="center"/>
          </w:tcPr>
          <w:p w14:paraId="5C324E9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w:t>
            </w:r>
            <w:r>
              <w:rPr>
                <w:rFonts w:hint="eastAsia" w:ascii="Times New Roman" w:hAnsi="Times New Roman" w:eastAsia="宋体" w:cs="Times New Roman"/>
                <w:i w:val="0"/>
                <w:iCs w:val="0"/>
                <w:color w:val="auto"/>
                <w:kern w:val="0"/>
                <w:sz w:val="20"/>
                <w:szCs w:val="20"/>
                <w:u w:val="none"/>
                <w:lang w:val="en-US" w:eastAsia="zh-CN" w:bidi="ar"/>
              </w:rPr>
              <w:t>8</w:t>
            </w:r>
          </w:p>
        </w:tc>
        <w:tc>
          <w:tcPr>
            <w:tcW w:w="816" w:type="dxa"/>
            <w:tcBorders>
              <w:top w:val="nil"/>
              <w:left w:val="nil"/>
              <w:bottom w:val="nil"/>
              <w:right w:val="nil"/>
            </w:tcBorders>
            <w:shd w:val="clear" w:color="auto" w:fill="auto"/>
            <w:noWrap/>
            <w:vAlign w:val="center"/>
          </w:tcPr>
          <w:p w14:paraId="10CB508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12.</w:t>
            </w:r>
            <w:r>
              <w:rPr>
                <w:rFonts w:hint="eastAsia" w:ascii="Times New Roman" w:hAnsi="Times New Roman" w:eastAsia="宋体" w:cs="Times New Roman"/>
                <w:i w:val="0"/>
                <w:iCs w:val="0"/>
                <w:color w:val="auto"/>
                <w:kern w:val="0"/>
                <w:sz w:val="20"/>
                <w:szCs w:val="20"/>
                <w:u w:val="none"/>
                <w:lang w:val="en-US" w:eastAsia="zh-CN" w:bidi="ar"/>
              </w:rPr>
              <w:t>6</w:t>
            </w:r>
          </w:p>
        </w:tc>
        <w:tc>
          <w:tcPr>
            <w:tcW w:w="1128" w:type="dxa"/>
            <w:tcBorders>
              <w:top w:val="nil"/>
              <w:left w:val="nil"/>
              <w:bottom w:val="nil"/>
              <w:right w:val="nil"/>
            </w:tcBorders>
            <w:shd w:val="clear" w:color="auto" w:fill="auto"/>
            <w:noWrap/>
            <w:vAlign w:val="center"/>
          </w:tcPr>
          <w:p w14:paraId="7E189AA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50</w:t>
            </w:r>
          </w:p>
        </w:tc>
        <w:tc>
          <w:tcPr>
            <w:tcW w:w="1128" w:type="dxa"/>
            <w:tcBorders>
              <w:top w:val="nil"/>
              <w:left w:val="nil"/>
              <w:bottom w:val="nil"/>
              <w:right w:val="nil"/>
            </w:tcBorders>
            <w:shd w:val="clear" w:color="auto" w:fill="auto"/>
            <w:noWrap/>
            <w:vAlign w:val="center"/>
          </w:tcPr>
          <w:p w14:paraId="28A6B27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98</w:t>
            </w:r>
          </w:p>
        </w:tc>
        <w:tc>
          <w:tcPr>
            <w:tcW w:w="688" w:type="pct"/>
            <w:tcBorders>
              <w:top w:val="nil"/>
              <w:left w:val="nil"/>
              <w:bottom w:val="nil"/>
              <w:right w:val="nil"/>
            </w:tcBorders>
            <w:shd w:val="clear" w:color="auto" w:fill="auto"/>
            <w:noWrap/>
            <w:vAlign w:val="center"/>
          </w:tcPr>
          <w:p w14:paraId="3832410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2.73</w:t>
            </w:r>
          </w:p>
        </w:tc>
        <w:tc>
          <w:tcPr>
            <w:tcW w:w="366" w:type="pct"/>
            <w:tcBorders>
              <w:top w:val="nil"/>
              <w:left w:val="nil"/>
              <w:bottom w:val="nil"/>
              <w:right w:val="nil"/>
            </w:tcBorders>
            <w:shd w:val="clear" w:color="auto" w:fill="auto"/>
            <w:noWrap/>
            <w:vAlign w:val="center"/>
          </w:tcPr>
          <w:p w14:paraId="2079AF6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1.57</w:t>
            </w:r>
          </w:p>
        </w:tc>
        <w:tc>
          <w:tcPr>
            <w:tcW w:w="355" w:type="pct"/>
            <w:tcBorders>
              <w:top w:val="nil"/>
              <w:left w:val="nil"/>
              <w:bottom w:val="nil"/>
              <w:right w:val="nil"/>
            </w:tcBorders>
            <w:shd w:val="clear" w:color="auto" w:fill="auto"/>
            <w:noWrap/>
            <w:vAlign w:val="center"/>
          </w:tcPr>
          <w:p w14:paraId="54C260C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4.75</w:t>
            </w:r>
          </w:p>
        </w:tc>
        <w:tc>
          <w:tcPr>
            <w:tcW w:w="402" w:type="pct"/>
            <w:tcBorders>
              <w:top w:val="nil"/>
              <w:left w:val="nil"/>
              <w:bottom w:val="nil"/>
              <w:right w:val="nil"/>
            </w:tcBorders>
            <w:shd w:val="clear" w:color="auto" w:fill="auto"/>
            <w:noWrap/>
            <w:vAlign w:val="center"/>
          </w:tcPr>
          <w:p w14:paraId="68209E8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531" w:type="pct"/>
            <w:tcBorders>
              <w:top w:val="nil"/>
              <w:left w:val="nil"/>
              <w:bottom w:val="nil"/>
              <w:right w:val="nil"/>
            </w:tcBorders>
            <w:shd w:val="clear" w:color="auto" w:fill="auto"/>
            <w:noWrap/>
            <w:vAlign w:val="center"/>
          </w:tcPr>
          <w:p w14:paraId="71BEF55E">
            <w:pPr>
              <w:jc w:val="center"/>
              <w:rPr>
                <w:rFonts w:hint="default" w:ascii="Times New Roman" w:hAnsi="Times New Roman" w:eastAsia="宋体" w:cs="Times New Roman"/>
                <w:i w:val="0"/>
                <w:iCs w:val="0"/>
                <w:color w:val="auto"/>
                <w:sz w:val="20"/>
                <w:szCs w:val="20"/>
                <w:u w:val="none"/>
              </w:rPr>
            </w:pPr>
          </w:p>
        </w:tc>
      </w:tr>
      <w:tr w14:paraId="2F06F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6BBF377D">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Male</w:t>
            </w:r>
          </w:p>
        </w:tc>
        <w:tc>
          <w:tcPr>
            <w:tcW w:w="705" w:type="dxa"/>
            <w:tcBorders>
              <w:top w:val="nil"/>
              <w:left w:val="nil"/>
              <w:bottom w:val="nil"/>
              <w:right w:val="nil"/>
            </w:tcBorders>
            <w:shd w:val="clear" w:color="auto" w:fill="auto"/>
            <w:noWrap/>
            <w:vAlign w:val="center"/>
          </w:tcPr>
          <w:p w14:paraId="5ED7FB4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102</w:t>
            </w:r>
            <w:r>
              <w:rPr>
                <w:rFonts w:hint="eastAsia" w:ascii="Times New Roman" w:hAnsi="Times New Roman" w:eastAsia="宋体" w:cs="Times New Roman"/>
                <w:i w:val="0"/>
                <w:iCs w:val="0"/>
                <w:color w:val="auto"/>
                <w:kern w:val="0"/>
                <w:sz w:val="20"/>
                <w:szCs w:val="20"/>
                <w:u w:val="none"/>
                <w:lang w:val="en-US" w:eastAsia="zh-CN" w:bidi="ar"/>
              </w:rPr>
              <w:t>6</w:t>
            </w:r>
          </w:p>
        </w:tc>
        <w:tc>
          <w:tcPr>
            <w:tcW w:w="816" w:type="dxa"/>
            <w:tcBorders>
              <w:top w:val="nil"/>
              <w:left w:val="nil"/>
              <w:bottom w:val="nil"/>
              <w:right w:val="nil"/>
            </w:tcBorders>
            <w:shd w:val="clear" w:color="auto" w:fill="auto"/>
            <w:noWrap/>
            <w:vAlign w:val="center"/>
          </w:tcPr>
          <w:p w14:paraId="5D4C162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87.</w:t>
            </w:r>
            <w:r>
              <w:rPr>
                <w:rFonts w:hint="eastAsia" w:ascii="Times New Roman" w:hAnsi="Times New Roman" w:eastAsia="宋体" w:cs="Times New Roman"/>
                <w:i w:val="0"/>
                <w:iCs w:val="0"/>
                <w:color w:val="auto"/>
                <w:kern w:val="0"/>
                <w:sz w:val="20"/>
                <w:szCs w:val="20"/>
                <w:u w:val="none"/>
                <w:lang w:val="en-US" w:eastAsia="zh-CN" w:bidi="ar"/>
              </w:rPr>
              <w:t>4</w:t>
            </w:r>
          </w:p>
        </w:tc>
        <w:tc>
          <w:tcPr>
            <w:tcW w:w="1128" w:type="dxa"/>
            <w:tcBorders>
              <w:top w:val="nil"/>
              <w:left w:val="nil"/>
              <w:bottom w:val="nil"/>
              <w:right w:val="nil"/>
            </w:tcBorders>
            <w:shd w:val="clear" w:color="auto" w:fill="auto"/>
            <w:noWrap/>
            <w:vAlign w:val="center"/>
          </w:tcPr>
          <w:p w14:paraId="08985C7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396</w:t>
            </w:r>
          </w:p>
        </w:tc>
        <w:tc>
          <w:tcPr>
            <w:tcW w:w="1128" w:type="dxa"/>
            <w:tcBorders>
              <w:top w:val="nil"/>
              <w:left w:val="nil"/>
              <w:bottom w:val="nil"/>
              <w:right w:val="nil"/>
            </w:tcBorders>
            <w:shd w:val="clear" w:color="auto" w:fill="auto"/>
            <w:noWrap/>
            <w:vAlign w:val="center"/>
          </w:tcPr>
          <w:p w14:paraId="3341C2E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630</w:t>
            </w:r>
          </w:p>
        </w:tc>
        <w:tc>
          <w:tcPr>
            <w:tcW w:w="688" w:type="pct"/>
            <w:tcBorders>
              <w:top w:val="nil"/>
              <w:left w:val="nil"/>
              <w:bottom w:val="nil"/>
              <w:right w:val="nil"/>
            </w:tcBorders>
            <w:shd w:val="clear" w:color="auto" w:fill="auto"/>
            <w:noWrap/>
            <w:vAlign w:val="center"/>
          </w:tcPr>
          <w:p w14:paraId="3DECD16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1.54</w:t>
            </w:r>
          </w:p>
        </w:tc>
        <w:tc>
          <w:tcPr>
            <w:tcW w:w="366" w:type="pct"/>
            <w:tcBorders>
              <w:top w:val="nil"/>
              <w:left w:val="nil"/>
              <w:bottom w:val="nil"/>
              <w:right w:val="nil"/>
            </w:tcBorders>
            <w:shd w:val="clear" w:color="auto" w:fill="auto"/>
            <w:noWrap/>
            <w:vAlign w:val="center"/>
          </w:tcPr>
          <w:p w14:paraId="2C5E9A0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w:t>
            </w:r>
          </w:p>
        </w:tc>
        <w:tc>
          <w:tcPr>
            <w:tcW w:w="355" w:type="pct"/>
            <w:tcBorders>
              <w:top w:val="nil"/>
              <w:left w:val="nil"/>
              <w:bottom w:val="nil"/>
              <w:right w:val="nil"/>
            </w:tcBorders>
            <w:shd w:val="clear" w:color="auto" w:fill="auto"/>
            <w:noWrap/>
            <w:vAlign w:val="center"/>
          </w:tcPr>
          <w:p w14:paraId="7001F44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1.83</w:t>
            </w:r>
          </w:p>
        </w:tc>
        <w:tc>
          <w:tcPr>
            <w:tcW w:w="402" w:type="pct"/>
            <w:tcBorders>
              <w:top w:val="nil"/>
              <w:left w:val="nil"/>
              <w:bottom w:val="nil"/>
              <w:right w:val="nil"/>
            </w:tcBorders>
            <w:shd w:val="clear" w:color="auto" w:fill="auto"/>
            <w:noWrap/>
            <w:vAlign w:val="center"/>
          </w:tcPr>
          <w:p w14:paraId="0A8F3EF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531" w:type="pct"/>
            <w:tcBorders>
              <w:top w:val="nil"/>
              <w:left w:val="nil"/>
              <w:bottom w:val="nil"/>
              <w:right w:val="nil"/>
            </w:tcBorders>
            <w:shd w:val="clear" w:color="auto" w:fill="auto"/>
            <w:noWrap/>
            <w:vAlign w:val="center"/>
          </w:tcPr>
          <w:p w14:paraId="6528C710">
            <w:pPr>
              <w:jc w:val="center"/>
              <w:rPr>
                <w:rFonts w:hint="default" w:ascii="Times New Roman" w:hAnsi="Times New Roman" w:eastAsia="宋体" w:cs="Times New Roman"/>
                <w:i w:val="0"/>
                <w:iCs w:val="0"/>
                <w:color w:val="auto"/>
                <w:sz w:val="20"/>
                <w:szCs w:val="20"/>
                <w:u w:val="none"/>
              </w:rPr>
            </w:pPr>
          </w:p>
        </w:tc>
      </w:tr>
      <w:tr w14:paraId="68F5C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5DC796D1">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Age</w:t>
            </w:r>
          </w:p>
        </w:tc>
        <w:tc>
          <w:tcPr>
            <w:tcW w:w="349" w:type="pct"/>
            <w:tcBorders>
              <w:top w:val="nil"/>
              <w:left w:val="nil"/>
              <w:bottom w:val="nil"/>
              <w:right w:val="nil"/>
            </w:tcBorders>
            <w:shd w:val="clear" w:color="auto" w:fill="auto"/>
            <w:noWrap/>
            <w:vAlign w:val="center"/>
          </w:tcPr>
          <w:p w14:paraId="7268AA50">
            <w:pPr>
              <w:jc w:val="center"/>
              <w:rPr>
                <w:rFonts w:hint="default" w:ascii="Times New Roman" w:hAnsi="Times New Roman" w:eastAsia="宋体" w:cs="Times New Roman"/>
                <w:i w:val="0"/>
                <w:iCs w:val="0"/>
                <w:color w:val="auto"/>
                <w:sz w:val="20"/>
                <w:szCs w:val="20"/>
                <w:u w:val="none"/>
              </w:rPr>
            </w:pPr>
          </w:p>
        </w:tc>
        <w:tc>
          <w:tcPr>
            <w:tcW w:w="404" w:type="pct"/>
            <w:tcBorders>
              <w:top w:val="nil"/>
              <w:left w:val="nil"/>
              <w:bottom w:val="nil"/>
              <w:right w:val="nil"/>
            </w:tcBorders>
            <w:shd w:val="clear" w:color="auto" w:fill="auto"/>
            <w:noWrap/>
            <w:vAlign w:val="center"/>
          </w:tcPr>
          <w:p w14:paraId="15F19A84">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1F24F7A5">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118D7C12">
            <w:pPr>
              <w:jc w:val="center"/>
              <w:rPr>
                <w:rFonts w:hint="default" w:ascii="Times New Roman" w:hAnsi="Times New Roman" w:eastAsia="宋体" w:cs="Times New Roman"/>
                <w:i w:val="0"/>
                <w:iCs w:val="0"/>
                <w:color w:val="auto"/>
                <w:sz w:val="20"/>
                <w:szCs w:val="20"/>
                <w:u w:val="none"/>
              </w:rPr>
            </w:pPr>
          </w:p>
        </w:tc>
        <w:tc>
          <w:tcPr>
            <w:tcW w:w="688" w:type="pct"/>
            <w:tcBorders>
              <w:top w:val="nil"/>
              <w:left w:val="nil"/>
              <w:bottom w:val="nil"/>
              <w:right w:val="nil"/>
            </w:tcBorders>
            <w:shd w:val="clear" w:color="auto" w:fill="auto"/>
            <w:noWrap/>
            <w:vAlign w:val="center"/>
          </w:tcPr>
          <w:p w14:paraId="1B7CA495">
            <w:pPr>
              <w:jc w:val="center"/>
              <w:rPr>
                <w:rFonts w:hint="default" w:ascii="Times New Roman" w:hAnsi="Times New Roman" w:eastAsia="宋体" w:cs="Times New Roman"/>
                <w:i w:val="0"/>
                <w:iCs w:val="0"/>
                <w:color w:val="auto"/>
                <w:sz w:val="20"/>
                <w:szCs w:val="20"/>
                <w:u w:val="none"/>
              </w:rPr>
            </w:pPr>
          </w:p>
        </w:tc>
        <w:tc>
          <w:tcPr>
            <w:tcW w:w="366" w:type="pct"/>
            <w:tcBorders>
              <w:top w:val="nil"/>
              <w:left w:val="nil"/>
              <w:bottom w:val="nil"/>
              <w:right w:val="nil"/>
            </w:tcBorders>
            <w:shd w:val="clear" w:color="auto" w:fill="auto"/>
            <w:noWrap/>
            <w:vAlign w:val="center"/>
          </w:tcPr>
          <w:p w14:paraId="45AF6EFD">
            <w:pPr>
              <w:jc w:val="center"/>
              <w:rPr>
                <w:rFonts w:hint="default" w:ascii="Times New Roman" w:hAnsi="Times New Roman" w:eastAsia="宋体" w:cs="Times New Roman"/>
                <w:i w:val="0"/>
                <w:iCs w:val="0"/>
                <w:color w:val="auto"/>
                <w:sz w:val="20"/>
                <w:szCs w:val="20"/>
                <w:u w:val="none"/>
              </w:rPr>
            </w:pPr>
          </w:p>
        </w:tc>
        <w:tc>
          <w:tcPr>
            <w:tcW w:w="355" w:type="pct"/>
            <w:tcBorders>
              <w:top w:val="nil"/>
              <w:left w:val="nil"/>
              <w:bottom w:val="nil"/>
              <w:right w:val="nil"/>
            </w:tcBorders>
            <w:shd w:val="clear" w:color="auto" w:fill="auto"/>
            <w:noWrap/>
            <w:vAlign w:val="center"/>
          </w:tcPr>
          <w:p w14:paraId="346AB915">
            <w:pPr>
              <w:jc w:val="center"/>
              <w:rPr>
                <w:rFonts w:hint="default" w:ascii="Times New Roman" w:hAnsi="Times New Roman" w:eastAsia="宋体" w:cs="Times New Roman"/>
                <w:i w:val="0"/>
                <w:iCs w:val="0"/>
                <w:color w:val="auto"/>
                <w:sz w:val="20"/>
                <w:szCs w:val="20"/>
                <w:u w:val="none"/>
              </w:rPr>
            </w:pPr>
          </w:p>
        </w:tc>
        <w:tc>
          <w:tcPr>
            <w:tcW w:w="402" w:type="pct"/>
            <w:tcBorders>
              <w:top w:val="nil"/>
              <w:left w:val="nil"/>
              <w:bottom w:val="nil"/>
              <w:right w:val="nil"/>
            </w:tcBorders>
            <w:shd w:val="clear" w:color="auto" w:fill="auto"/>
            <w:noWrap/>
            <w:vAlign w:val="center"/>
          </w:tcPr>
          <w:p w14:paraId="154A4F80">
            <w:pPr>
              <w:jc w:val="center"/>
              <w:rPr>
                <w:rFonts w:hint="default" w:ascii="Times New Roman" w:hAnsi="Times New Roman" w:eastAsia="宋体" w:cs="Times New Roman"/>
                <w:i w:val="0"/>
                <w:iCs w:val="0"/>
                <w:color w:val="auto"/>
                <w:sz w:val="20"/>
                <w:szCs w:val="20"/>
                <w:u w:val="none"/>
              </w:rPr>
            </w:pPr>
          </w:p>
        </w:tc>
        <w:tc>
          <w:tcPr>
            <w:tcW w:w="531" w:type="pct"/>
            <w:tcBorders>
              <w:top w:val="nil"/>
              <w:left w:val="nil"/>
              <w:bottom w:val="nil"/>
              <w:right w:val="nil"/>
            </w:tcBorders>
            <w:shd w:val="clear" w:color="auto" w:fill="auto"/>
            <w:noWrap/>
            <w:vAlign w:val="center"/>
          </w:tcPr>
          <w:p w14:paraId="223F7A1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0.519</w:t>
            </w:r>
          </w:p>
        </w:tc>
      </w:tr>
      <w:tr w14:paraId="53B12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54AFBF95">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&lt;60 years</w:t>
            </w:r>
          </w:p>
        </w:tc>
        <w:tc>
          <w:tcPr>
            <w:tcW w:w="705" w:type="dxa"/>
            <w:tcBorders>
              <w:top w:val="nil"/>
              <w:left w:val="nil"/>
              <w:bottom w:val="nil"/>
              <w:right w:val="nil"/>
            </w:tcBorders>
            <w:shd w:val="clear" w:color="auto" w:fill="auto"/>
            <w:noWrap/>
            <w:vAlign w:val="center"/>
          </w:tcPr>
          <w:p w14:paraId="71C0C6D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1009</w:t>
            </w:r>
          </w:p>
        </w:tc>
        <w:tc>
          <w:tcPr>
            <w:tcW w:w="816" w:type="dxa"/>
            <w:tcBorders>
              <w:top w:val="nil"/>
              <w:left w:val="nil"/>
              <w:bottom w:val="nil"/>
              <w:right w:val="nil"/>
            </w:tcBorders>
            <w:shd w:val="clear" w:color="auto" w:fill="auto"/>
            <w:noWrap/>
            <w:vAlign w:val="center"/>
          </w:tcPr>
          <w:p w14:paraId="186DFD1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85.9</w:t>
            </w:r>
          </w:p>
        </w:tc>
        <w:tc>
          <w:tcPr>
            <w:tcW w:w="1128" w:type="dxa"/>
            <w:tcBorders>
              <w:top w:val="nil"/>
              <w:left w:val="nil"/>
              <w:bottom w:val="nil"/>
              <w:right w:val="nil"/>
            </w:tcBorders>
            <w:shd w:val="clear" w:color="auto" w:fill="auto"/>
            <w:noWrap/>
            <w:vAlign w:val="center"/>
          </w:tcPr>
          <w:p w14:paraId="07F4551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402</w:t>
            </w:r>
          </w:p>
        </w:tc>
        <w:tc>
          <w:tcPr>
            <w:tcW w:w="1128" w:type="dxa"/>
            <w:tcBorders>
              <w:top w:val="nil"/>
              <w:left w:val="nil"/>
              <w:bottom w:val="nil"/>
              <w:right w:val="nil"/>
            </w:tcBorders>
            <w:shd w:val="clear" w:color="auto" w:fill="auto"/>
            <w:noWrap/>
            <w:vAlign w:val="center"/>
          </w:tcPr>
          <w:p w14:paraId="63C0DDC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607</w:t>
            </w:r>
          </w:p>
        </w:tc>
        <w:tc>
          <w:tcPr>
            <w:tcW w:w="1387" w:type="dxa"/>
            <w:tcBorders>
              <w:top w:val="nil"/>
              <w:left w:val="nil"/>
              <w:bottom w:val="nil"/>
              <w:right w:val="nil"/>
            </w:tcBorders>
            <w:shd w:val="clear" w:color="auto" w:fill="auto"/>
            <w:noWrap/>
            <w:vAlign w:val="center"/>
          </w:tcPr>
          <w:p w14:paraId="4551F0A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1.67</w:t>
            </w:r>
          </w:p>
        </w:tc>
        <w:tc>
          <w:tcPr>
            <w:tcW w:w="738" w:type="dxa"/>
            <w:tcBorders>
              <w:top w:val="nil"/>
              <w:left w:val="nil"/>
              <w:bottom w:val="nil"/>
              <w:right w:val="nil"/>
            </w:tcBorders>
            <w:shd w:val="clear" w:color="auto" w:fill="auto"/>
            <w:noWrap/>
            <w:vAlign w:val="center"/>
          </w:tcPr>
          <w:p w14:paraId="4B603AA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w:t>
            </w:r>
          </w:p>
        </w:tc>
        <w:tc>
          <w:tcPr>
            <w:tcW w:w="716" w:type="dxa"/>
            <w:tcBorders>
              <w:top w:val="nil"/>
              <w:left w:val="nil"/>
              <w:bottom w:val="nil"/>
              <w:right w:val="nil"/>
            </w:tcBorders>
            <w:shd w:val="clear" w:color="auto" w:fill="auto"/>
            <w:noWrap/>
            <w:vAlign w:val="center"/>
          </w:tcPr>
          <w:p w14:paraId="72CF9F5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1.98</w:t>
            </w:r>
          </w:p>
        </w:tc>
        <w:tc>
          <w:tcPr>
            <w:tcW w:w="811" w:type="dxa"/>
            <w:tcBorders>
              <w:top w:val="nil"/>
              <w:left w:val="nil"/>
              <w:bottom w:val="nil"/>
              <w:right w:val="nil"/>
            </w:tcBorders>
            <w:shd w:val="clear" w:color="auto" w:fill="auto"/>
            <w:noWrap/>
            <w:vAlign w:val="center"/>
          </w:tcPr>
          <w:p w14:paraId="2107917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531" w:type="pct"/>
            <w:tcBorders>
              <w:top w:val="nil"/>
              <w:left w:val="nil"/>
              <w:bottom w:val="nil"/>
              <w:right w:val="nil"/>
            </w:tcBorders>
            <w:shd w:val="clear" w:color="auto" w:fill="auto"/>
            <w:noWrap/>
            <w:vAlign w:val="center"/>
          </w:tcPr>
          <w:p w14:paraId="0F2E1F37">
            <w:pPr>
              <w:jc w:val="center"/>
              <w:rPr>
                <w:rFonts w:hint="default" w:ascii="Times New Roman" w:hAnsi="Times New Roman" w:eastAsia="宋体" w:cs="Times New Roman"/>
                <w:i w:val="0"/>
                <w:iCs w:val="0"/>
                <w:color w:val="auto"/>
                <w:sz w:val="20"/>
                <w:szCs w:val="20"/>
                <w:u w:val="none"/>
              </w:rPr>
            </w:pPr>
          </w:p>
        </w:tc>
      </w:tr>
      <w:tr w14:paraId="56AE9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397078C6">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≥60 years</w:t>
            </w:r>
          </w:p>
        </w:tc>
        <w:tc>
          <w:tcPr>
            <w:tcW w:w="705" w:type="dxa"/>
            <w:tcBorders>
              <w:top w:val="nil"/>
              <w:left w:val="nil"/>
              <w:bottom w:val="nil"/>
              <w:right w:val="nil"/>
            </w:tcBorders>
            <w:shd w:val="clear" w:color="auto" w:fill="auto"/>
            <w:noWrap/>
            <w:vAlign w:val="center"/>
          </w:tcPr>
          <w:p w14:paraId="6BA42D4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165</w:t>
            </w:r>
          </w:p>
        </w:tc>
        <w:tc>
          <w:tcPr>
            <w:tcW w:w="816" w:type="dxa"/>
            <w:tcBorders>
              <w:top w:val="nil"/>
              <w:left w:val="nil"/>
              <w:bottom w:val="nil"/>
              <w:right w:val="nil"/>
            </w:tcBorders>
            <w:shd w:val="clear" w:color="auto" w:fill="auto"/>
            <w:noWrap/>
            <w:vAlign w:val="center"/>
          </w:tcPr>
          <w:p w14:paraId="7740F9C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14.1</w:t>
            </w:r>
          </w:p>
        </w:tc>
        <w:tc>
          <w:tcPr>
            <w:tcW w:w="1128" w:type="dxa"/>
            <w:tcBorders>
              <w:top w:val="nil"/>
              <w:left w:val="nil"/>
              <w:bottom w:val="nil"/>
              <w:right w:val="nil"/>
            </w:tcBorders>
            <w:shd w:val="clear" w:color="auto" w:fill="auto"/>
            <w:noWrap/>
            <w:vAlign w:val="center"/>
          </w:tcPr>
          <w:p w14:paraId="43DDF93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44</w:t>
            </w:r>
          </w:p>
        </w:tc>
        <w:tc>
          <w:tcPr>
            <w:tcW w:w="1128" w:type="dxa"/>
            <w:tcBorders>
              <w:top w:val="nil"/>
              <w:left w:val="nil"/>
              <w:bottom w:val="nil"/>
              <w:right w:val="nil"/>
            </w:tcBorders>
            <w:shd w:val="clear" w:color="auto" w:fill="auto"/>
            <w:noWrap/>
            <w:vAlign w:val="center"/>
          </w:tcPr>
          <w:p w14:paraId="54F305E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121</w:t>
            </w:r>
          </w:p>
        </w:tc>
        <w:tc>
          <w:tcPr>
            <w:tcW w:w="1387" w:type="dxa"/>
            <w:tcBorders>
              <w:top w:val="nil"/>
              <w:left w:val="nil"/>
              <w:bottom w:val="nil"/>
              <w:right w:val="nil"/>
            </w:tcBorders>
            <w:shd w:val="clear" w:color="auto" w:fill="auto"/>
            <w:noWrap/>
            <w:vAlign w:val="center"/>
          </w:tcPr>
          <w:p w14:paraId="52741CA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1.48</w:t>
            </w:r>
          </w:p>
        </w:tc>
        <w:tc>
          <w:tcPr>
            <w:tcW w:w="738" w:type="dxa"/>
            <w:tcBorders>
              <w:top w:val="nil"/>
              <w:left w:val="nil"/>
              <w:bottom w:val="nil"/>
              <w:right w:val="nil"/>
            </w:tcBorders>
            <w:shd w:val="clear" w:color="auto" w:fill="auto"/>
            <w:noWrap/>
            <w:vAlign w:val="center"/>
          </w:tcPr>
          <w:p w14:paraId="4B98207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0.92</w:t>
            </w:r>
          </w:p>
        </w:tc>
        <w:tc>
          <w:tcPr>
            <w:tcW w:w="716" w:type="dxa"/>
            <w:tcBorders>
              <w:top w:val="nil"/>
              <w:left w:val="nil"/>
              <w:bottom w:val="nil"/>
              <w:right w:val="nil"/>
            </w:tcBorders>
            <w:shd w:val="clear" w:color="auto" w:fill="auto"/>
            <w:noWrap/>
            <w:vAlign w:val="center"/>
          </w:tcPr>
          <w:p w14:paraId="0C55DBF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2.39</w:t>
            </w:r>
          </w:p>
        </w:tc>
        <w:tc>
          <w:tcPr>
            <w:tcW w:w="811" w:type="dxa"/>
            <w:tcBorders>
              <w:top w:val="nil"/>
              <w:left w:val="nil"/>
              <w:bottom w:val="nil"/>
              <w:right w:val="nil"/>
            </w:tcBorders>
            <w:shd w:val="clear" w:color="auto" w:fill="auto"/>
            <w:noWrap/>
            <w:vAlign w:val="center"/>
          </w:tcPr>
          <w:p w14:paraId="3625646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0.107</w:t>
            </w:r>
          </w:p>
        </w:tc>
        <w:tc>
          <w:tcPr>
            <w:tcW w:w="531" w:type="pct"/>
            <w:tcBorders>
              <w:top w:val="nil"/>
              <w:left w:val="nil"/>
              <w:bottom w:val="nil"/>
              <w:right w:val="nil"/>
            </w:tcBorders>
            <w:shd w:val="clear" w:color="auto" w:fill="auto"/>
            <w:noWrap/>
            <w:vAlign w:val="center"/>
          </w:tcPr>
          <w:p w14:paraId="340383A7">
            <w:pPr>
              <w:jc w:val="center"/>
              <w:rPr>
                <w:rFonts w:hint="default" w:ascii="Times New Roman" w:hAnsi="Times New Roman" w:eastAsia="宋体" w:cs="Times New Roman"/>
                <w:i w:val="0"/>
                <w:iCs w:val="0"/>
                <w:color w:val="auto"/>
                <w:sz w:val="20"/>
                <w:szCs w:val="20"/>
                <w:u w:val="none"/>
              </w:rPr>
            </w:pPr>
          </w:p>
        </w:tc>
      </w:tr>
      <w:tr w14:paraId="11404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40404D99">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HbsAg</w:t>
            </w:r>
          </w:p>
        </w:tc>
        <w:tc>
          <w:tcPr>
            <w:tcW w:w="349" w:type="pct"/>
            <w:tcBorders>
              <w:top w:val="nil"/>
              <w:left w:val="nil"/>
              <w:bottom w:val="nil"/>
              <w:right w:val="nil"/>
            </w:tcBorders>
            <w:shd w:val="clear" w:color="auto" w:fill="auto"/>
            <w:noWrap/>
            <w:vAlign w:val="center"/>
          </w:tcPr>
          <w:p w14:paraId="6C3715E1">
            <w:pPr>
              <w:jc w:val="center"/>
              <w:rPr>
                <w:rFonts w:hint="default" w:ascii="Times New Roman" w:hAnsi="Times New Roman" w:eastAsia="宋体" w:cs="Times New Roman"/>
                <w:i w:val="0"/>
                <w:iCs w:val="0"/>
                <w:color w:val="auto"/>
                <w:sz w:val="20"/>
                <w:szCs w:val="20"/>
                <w:u w:val="none"/>
              </w:rPr>
            </w:pPr>
          </w:p>
        </w:tc>
        <w:tc>
          <w:tcPr>
            <w:tcW w:w="404" w:type="pct"/>
            <w:tcBorders>
              <w:top w:val="nil"/>
              <w:left w:val="nil"/>
              <w:bottom w:val="nil"/>
              <w:right w:val="nil"/>
            </w:tcBorders>
            <w:shd w:val="clear" w:color="auto" w:fill="auto"/>
            <w:noWrap/>
            <w:vAlign w:val="center"/>
          </w:tcPr>
          <w:p w14:paraId="2013A282">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47A1AA3E">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36A27EA7">
            <w:pPr>
              <w:jc w:val="center"/>
              <w:rPr>
                <w:rFonts w:hint="default" w:ascii="Times New Roman" w:hAnsi="Times New Roman" w:eastAsia="宋体" w:cs="Times New Roman"/>
                <w:i w:val="0"/>
                <w:iCs w:val="0"/>
                <w:color w:val="auto"/>
                <w:sz w:val="20"/>
                <w:szCs w:val="20"/>
                <w:u w:val="none"/>
              </w:rPr>
            </w:pPr>
          </w:p>
        </w:tc>
        <w:tc>
          <w:tcPr>
            <w:tcW w:w="688" w:type="pct"/>
            <w:tcBorders>
              <w:top w:val="nil"/>
              <w:left w:val="nil"/>
              <w:bottom w:val="nil"/>
              <w:right w:val="nil"/>
            </w:tcBorders>
            <w:shd w:val="clear" w:color="auto" w:fill="auto"/>
            <w:noWrap/>
            <w:vAlign w:val="center"/>
          </w:tcPr>
          <w:p w14:paraId="5634F3F2">
            <w:pPr>
              <w:jc w:val="center"/>
              <w:rPr>
                <w:rFonts w:hint="default" w:ascii="Times New Roman" w:hAnsi="Times New Roman" w:eastAsia="宋体" w:cs="Times New Roman"/>
                <w:i w:val="0"/>
                <w:iCs w:val="0"/>
                <w:color w:val="auto"/>
                <w:sz w:val="20"/>
                <w:szCs w:val="20"/>
                <w:u w:val="none"/>
              </w:rPr>
            </w:pPr>
          </w:p>
        </w:tc>
        <w:tc>
          <w:tcPr>
            <w:tcW w:w="366" w:type="pct"/>
            <w:tcBorders>
              <w:top w:val="nil"/>
              <w:left w:val="nil"/>
              <w:bottom w:val="nil"/>
              <w:right w:val="nil"/>
            </w:tcBorders>
            <w:shd w:val="clear" w:color="auto" w:fill="auto"/>
            <w:noWrap/>
            <w:vAlign w:val="center"/>
          </w:tcPr>
          <w:p w14:paraId="4E8D251C">
            <w:pPr>
              <w:jc w:val="center"/>
              <w:rPr>
                <w:rFonts w:hint="default" w:ascii="Times New Roman" w:hAnsi="Times New Roman" w:eastAsia="宋体" w:cs="Times New Roman"/>
                <w:i w:val="0"/>
                <w:iCs w:val="0"/>
                <w:color w:val="auto"/>
                <w:sz w:val="20"/>
                <w:szCs w:val="20"/>
                <w:u w:val="none"/>
              </w:rPr>
            </w:pPr>
          </w:p>
        </w:tc>
        <w:tc>
          <w:tcPr>
            <w:tcW w:w="355" w:type="pct"/>
            <w:tcBorders>
              <w:top w:val="nil"/>
              <w:left w:val="nil"/>
              <w:bottom w:val="nil"/>
              <w:right w:val="nil"/>
            </w:tcBorders>
            <w:shd w:val="clear" w:color="auto" w:fill="auto"/>
            <w:noWrap/>
            <w:vAlign w:val="center"/>
          </w:tcPr>
          <w:p w14:paraId="7B850CE6">
            <w:pPr>
              <w:jc w:val="center"/>
              <w:rPr>
                <w:rFonts w:hint="default" w:ascii="Times New Roman" w:hAnsi="Times New Roman" w:eastAsia="宋体" w:cs="Times New Roman"/>
                <w:i w:val="0"/>
                <w:iCs w:val="0"/>
                <w:color w:val="auto"/>
                <w:sz w:val="20"/>
                <w:szCs w:val="20"/>
                <w:u w:val="none"/>
              </w:rPr>
            </w:pPr>
          </w:p>
        </w:tc>
        <w:tc>
          <w:tcPr>
            <w:tcW w:w="402" w:type="pct"/>
            <w:tcBorders>
              <w:top w:val="nil"/>
              <w:left w:val="nil"/>
              <w:bottom w:val="nil"/>
              <w:right w:val="nil"/>
            </w:tcBorders>
            <w:shd w:val="clear" w:color="auto" w:fill="auto"/>
            <w:noWrap/>
            <w:vAlign w:val="center"/>
          </w:tcPr>
          <w:p w14:paraId="48B6B857">
            <w:pPr>
              <w:jc w:val="center"/>
              <w:rPr>
                <w:rFonts w:hint="default" w:ascii="Times New Roman" w:hAnsi="Times New Roman" w:eastAsia="宋体" w:cs="Times New Roman"/>
                <w:i w:val="0"/>
                <w:iCs w:val="0"/>
                <w:color w:val="auto"/>
                <w:sz w:val="20"/>
                <w:szCs w:val="20"/>
                <w:u w:val="none"/>
              </w:rPr>
            </w:pPr>
          </w:p>
        </w:tc>
        <w:tc>
          <w:tcPr>
            <w:tcW w:w="531" w:type="pct"/>
            <w:tcBorders>
              <w:top w:val="nil"/>
              <w:left w:val="nil"/>
              <w:bottom w:val="nil"/>
              <w:right w:val="nil"/>
            </w:tcBorders>
            <w:shd w:val="clear" w:color="auto" w:fill="auto"/>
            <w:noWrap/>
            <w:vAlign w:val="center"/>
          </w:tcPr>
          <w:p w14:paraId="0C4EEC1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0.155</w:t>
            </w:r>
          </w:p>
        </w:tc>
      </w:tr>
      <w:tr w14:paraId="3F04A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6A06CEF1">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Negative</w:t>
            </w:r>
          </w:p>
        </w:tc>
        <w:tc>
          <w:tcPr>
            <w:tcW w:w="349" w:type="pct"/>
            <w:tcBorders>
              <w:top w:val="nil"/>
              <w:left w:val="nil"/>
              <w:bottom w:val="nil"/>
              <w:right w:val="nil"/>
            </w:tcBorders>
            <w:shd w:val="clear" w:color="auto" w:fill="auto"/>
            <w:noWrap/>
            <w:vAlign w:val="center"/>
          </w:tcPr>
          <w:p w14:paraId="1C9F57E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169</w:t>
            </w:r>
          </w:p>
        </w:tc>
        <w:tc>
          <w:tcPr>
            <w:tcW w:w="404" w:type="pct"/>
            <w:tcBorders>
              <w:top w:val="nil"/>
              <w:left w:val="nil"/>
              <w:bottom w:val="nil"/>
              <w:right w:val="nil"/>
            </w:tcBorders>
            <w:shd w:val="clear" w:color="auto" w:fill="auto"/>
            <w:noWrap/>
            <w:vAlign w:val="center"/>
          </w:tcPr>
          <w:p w14:paraId="198D17A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14.4</w:t>
            </w:r>
          </w:p>
        </w:tc>
        <w:tc>
          <w:tcPr>
            <w:tcW w:w="559" w:type="pct"/>
            <w:tcBorders>
              <w:top w:val="nil"/>
              <w:left w:val="nil"/>
              <w:bottom w:val="nil"/>
              <w:right w:val="nil"/>
            </w:tcBorders>
            <w:shd w:val="clear" w:color="auto" w:fill="auto"/>
            <w:noWrap/>
            <w:vAlign w:val="center"/>
          </w:tcPr>
          <w:p w14:paraId="7829E58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67</w:t>
            </w:r>
          </w:p>
        </w:tc>
        <w:tc>
          <w:tcPr>
            <w:tcW w:w="559" w:type="pct"/>
            <w:tcBorders>
              <w:top w:val="nil"/>
              <w:left w:val="nil"/>
              <w:bottom w:val="nil"/>
              <w:right w:val="nil"/>
            </w:tcBorders>
            <w:shd w:val="clear" w:color="auto" w:fill="auto"/>
            <w:noWrap/>
            <w:vAlign w:val="center"/>
          </w:tcPr>
          <w:p w14:paraId="7725409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102</w:t>
            </w:r>
          </w:p>
        </w:tc>
        <w:tc>
          <w:tcPr>
            <w:tcW w:w="688" w:type="pct"/>
            <w:tcBorders>
              <w:top w:val="nil"/>
              <w:left w:val="nil"/>
              <w:bottom w:val="nil"/>
              <w:right w:val="nil"/>
            </w:tcBorders>
            <w:shd w:val="clear" w:color="auto" w:fill="auto"/>
            <w:noWrap/>
            <w:vAlign w:val="center"/>
          </w:tcPr>
          <w:p w14:paraId="4CA38ED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2.22</w:t>
            </w:r>
          </w:p>
        </w:tc>
        <w:tc>
          <w:tcPr>
            <w:tcW w:w="366" w:type="pct"/>
            <w:tcBorders>
              <w:top w:val="nil"/>
              <w:left w:val="nil"/>
              <w:bottom w:val="nil"/>
              <w:right w:val="nil"/>
            </w:tcBorders>
            <w:shd w:val="clear" w:color="auto" w:fill="auto"/>
            <w:noWrap/>
            <w:vAlign w:val="center"/>
          </w:tcPr>
          <w:p w14:paraId="6AA4A4A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1.35</w:t>
            </w:r>
          </w:p>
        </w:tc>
        <w:tc>
          <w:tcPr>
            <w:tcW w:w="355" w:type="pct"/>
            <w:tcBorders>
              <w:top w:val="nil"/>
              <w:left w:val="nil"/>
              <w:bottom w:val="nil"/>
              <w:right w:val="nil"/>
            </w:tcBorders>
            <w:shd w:val="clear" w:color="auto" w:fill="auto"/>
            <w:noWrap/>
            <w:vAlign w:val="center"/>
          </w:tcPr>
          <w:p w14:paraId="3D5DA98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3.64</w:t>
            </w:r>
          </w:p>
        </w:tc>
        <w:tc>
          <w:tcPr>
            <w:tcW w:w="402" w:type="pct"/>
            <w:tcBorders>
              <w:top w:val="nil"/>
              <w:left w:val="nil"/>
              <w:bottom w:val="nil"/>
              <w:right w:val="nil"/>
            </w:tcBorders>
            <w:shd w:val="clear" w:color="auto" w:fill="auto"/>
            <w:noWrap/>
            <w:vAlign w:val="center"/>
          </w:tcPr>
          <w:p w14:paraId="2B0E7EA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0.002</w:t>
            </w:r>
          </w:p>
        </w:tc>
        <w:tc>
          <w:tcPr>
            <w:tcW w:w="531" w:type="pct"/>
            <w:tcBorders>
              <w:top w:val="nil"/>
              <w:left w:val="nil"/>
              <w:bottom w:val="nil"/>
              <w:right w:val="nil"/>
            </w:tcBorders>
            <w:shd w:val="clear" w:color="auto" w:fill="auto"/>
            <w:noWrap/>
            <w:vAlign w:val="center"/>
          </w:tcPr>
          <w:p w14:paraId="6CE93069">
            <w:pPr>
              <w:jc w:val="center"/>
              <w:rPr>
                <w:rFonts w:hint="default" w:ascii="Times New Roman" w:hAnsi="Times New Roman" w:eastAsia="宋体" w:cs="Times New Roman"/>
                <w:i w:val="0"/>
                <w:iCs w:val="0"/>
                <w:color w:val="auto"/>
                <w:sz w:val="20"/>
                <w:szCs w:val="20"/>
                <w:u w:val="none"/>
              </w:rPr>
            </w:pPr>
          </w:p>
        </w:tc>
      </w:tr>
      <w:tr w14:paraId="09C82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1EDCBF8D">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Positive</w:t>
            </w:r>
          </w:p>
        </w:tc>
        <w:tc>
          <w:tcPr>
            <w:tcW w:w="349" w:type="pct"/>
            <w:tcBorders>
              <w:top w:val="nil"/>
              <w:left w:val="nil"/>
              <w:bottom w:val="nil"/>
              <w:right w:val="nil"/>
            </w:tcBorders>
            <w:shd w:val="clear" w:color="auto" w:fill="auto"/>
            <w:noWrap/>
            <w:vAlign w:val="center"/>
          </w:tcPr>
          <w:p w14:paraId="1858586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1005</w:t>
            </w:r>
          </w:p>
        </w:tc>
        <w:tc>
          <w:tcPr>
            <w:tcW w:w="404" w:type="pct"/>
            <w:tcBorders>
              <w:top w:val="nil"/>
              <w:left w:val="nil"/>
              <w:bottom w:val="nil"/>
              <w:right w:val="nil"/>
            </w:tcBorders>
            <w:shd w:val="clear" w:color="auto" w:fill="auto"/>
            <w:noWrap/>
            <w:vAlign w:val="center"/>
          </w:tcPr>
          <w:p w14:paraId="2F73F40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85.6</w:t>
            </w:r>
          </w:p>
        </w:tc>
        <w:tc>
          <w:tcPr>
            <w:tcW w:w="559" w:type="pct"/>
            <w:tcBorders>
              <w:top w:val="nil"/>
              <w:left w:val="nil"/>
              <w:bottom w:val="nil"/>
              <w:right w:val="nil"/>
            </w:tcBorders>
            <w:shd w:val="clear" w:color="auto" w:fill="auto"/>
            <w:noWrap/>
            <w:vAlign w:val="center"/>
          </w:tcPr>
          <w:p w14:paraId="6983DD8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379</w:t>
            </w:r>
          </w:p>
        </w:tc>
        <w:tc>
          <w:tcPr>
            <w:tcW w:w="559" w:type="pct"/>
            <w:tcBorders>
              <w:top w:val="nil"/>
              <w:left w:val="nil"/>
              <w:bottom w:val="nil"/>
              <w:right w:val="nil"/>
            </w:tcBorders>
            <w:shd w:val="clear" w:color="auto" w:fill="auto"/>
            <w:noWrap/>
            <w:vAlign w:val="center"/>
          </w:tcPr>
          <w:p w14:paraId="06CAA8A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626</w:t>
            </w:r>
          </w:p>
        </w:tc>
        <w:tc>
          <w:tcPr>
            <w:tcW w:w="688" w:type="pct"/>
            <w:tcBorders>
              <w:top w:val="nil"/>
              <w:left w:val="nil"/>
              <w:bottom w:val="nil"/>
              <w:right w:val="nil"/>
            </w:tcBorders>
            <w:shd w:val="clear" w:color="auto" w:fill="auto"/>
            <w:noWrap/>
            <w:vAlign w:val="center"/>
          </w:tcPr>
          <w:p w14:paraId="78244AF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1.55</w:t>
            </w:r>
          </w:p>
        </w:tc>
        <w:tc>
          <w:tcPr>
            <w:tcW w:w="366" w:type="pct"/>
            <w:tcBorders>
              <w:top w:val="nil"/>
              <w:left w:val="nil"/>
              <w:bottom w:val="nil"/>
              <w:right w:val="nil"/>
            </w:tcBorders>
            <w:shd w:val="clear" w:color="auto" w:fill="auto"/>
            <w:noWrap/>
            <w:vAlign w:val="center"/>
          </w:tcPr>
          <w:p w14:paraId="2E37780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w:t>
            </w:r>
          </w:p>
        </w:tc>
        <w:tc>
          <w:tcPr>
            <w:tcW w:w="355" w:type="pct"/>
            <w:tcBorders>
              <w:top w:val="nil"/>
              <w:left w:val="nil"/>
              <w:bottom w:val="nil"/>
              <w:right w:val="nil"/>
            </w:tcBorders>
            <w:shd w:val="clear" w:color="auto" w:fill="auto"/>
            <w:noWrap/>
            <w:vAlign w:val="center"/>
          </w:tcPr>
          <w:p w14:paraId="05ADE49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1.84</w:t>
            </w:r>
          </w:p>
        </w:tc>
        <w:tc>
          <w:tcPr>
            <w:tcW w:w="402" w:type="pct"/>
            <w:tcBorders>
              <w:top w:val="nil"/>
              <w:left w:val="nil"/>
              <w:bottom w:val="nil"/>
              <w:right w:val="nil"/>
            </w:tcBorders>
            <w:shd w:val="clear" w:color="auto" w:fill="auto"/>
            <w:noWrap/>
            <w:vAlign w:val="center"/>
          </w:tcPr>
          <w:p w14:paraId="3469ABD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531" w:type="pct"/>
            <w:tcBorders>
              <w:top w:val="nil"/>
              <w:left w:val="nil"/>
              <w:bottom w:val="nil"/>
              <w:right w:val="nil"/>
            </w:tcBorders>
            <w:shd w:val="clear" w:color="auto" w:fill="auto"/>
            <w:noWrap/>
            <w:vAlign w:val="center"/>
          </w:tcPr>
          <w:p w14:paraId="2219A640">
            <w:pPr>
              <w:jc w:val="center"/>
              <w:rPr>
                <w:rFonts w:hint="default" w:ascii="Times New Roman" w:hAnsi="Times New Roman" w:eastAsia="宋体" w:cs="Times New Roman"/>
                <w:i w:val="0"/>
                <w:iCs w:val="0"/>
                <w:color w:val="auto"/>
                <w:sz w:val="20"/>
                <w:szCs w:val="20"/>
                <w:u w:val="none"/>
              </w:rPr>
            </w:pPr>
          </w:p>
        </w:tc>
      </w:tr>
      <w:tr w14:paraId="605AB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02909B9D">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Liver cirrhosis</w:t>
            </w:r>
          </w:p>
        </w:tc>
        <w:tc>
          <w:tcPr>
            <w:tcW w:w="349" w:type="pct"/>
            <w:tcBorders>
              <w:top w:val="nil"/>
              <w:left w:val="nil"/>
              <w:bottom w:val="nil"/>
              <w:right w:val="nil"/>
            </w:tcBorders>
            <w:shd w:val="clear" w:color="auto" w:fill="auto"/>
            <w:noWrap/>
            <w:vAlign w:val="center"/>
          </w:tcPr>
          <w:p w14:paraId="7ABAB779">
            <w:pPr>
              <w:jc w:val="center"/>
              <w:rPr>
                <w:rFonts w:hint="default" w:ascii="Times New Roman" w:hAnsi="Times New Roman" w:eastAsia="宋体" w:cs="Times New Roman"/>
                <w:i w:val="0"/>
                <w:iCs w:val="0"/>
                <w:color w:val="auto"/>
                <w:sz w:val="20"/>
                <w:szCs w:val="20"/>
                <w:u w:val="none"/>
              </w:rPr>
            </w:pPr>
          </w:p>
        </w:tc>
        <w:tc>
          <w:tcPr>
            <w:tcW w:w="404" w:type="pct"/>
            <w:tcBorders>
              <w:top w:val="nil"/>
              <w:left w:val="nil"/>
              <w:bottom w:val="nil"/>
              <w:right w:val="nil"/>
            </w:tcBorders>
            <w:shd w:val="clear" w:color="auto" w:fill="auto"/>
            <w:noWrap/>
            <w:vAlign w:val="center"/>
          </w:tcPr>
          <w:p w14:paraId="518C3D22">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581D2358">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4FA0A0C8">
            <w:pPr>
              <w:jc w:val="center"/>
              <w:rPr>
                <w:rFonts w:hint="default" w:ascii="Times New Roman" w:hAnsi="Times New Roman" w:eastAsia="宋体" w:cs="Times New Roman"/>
                <w:i w:val="0"/>
                <w:iCs w:val="0"/>
                <w:color w:val="auto"/>
                <w:sz w:val="20"/>
                <w:szCs w:val="20"/>
                <w:u w:val="none"/>
              </w:rPr>
            </w:pPr>
          </w:p>
        </w:tc>
        <w:tc>
          <w:tcPr>
            <w:tcW w:w="688" w:type="pct"/>
            <w:tcBorders>
              <w:top w:val="nil"/>
              <w:left w:val="nil"/>
              <w:bottom w:val="nil"/>
              <w:right w:val="nil"/>
            </w:tcBorders>
            <w:shd w:val="clear" w:color="auto" w:fill="auto"/>
            <w:noWrap/>
            <w:vAlign w:val="center"/>
          </w:tcPr>
          <w:p w14:paraId="2B3CCAF5">
            <w:pPr>
              <w:jc w:val="center"/>
              <w:rPr>
                <w:rFonts w:hint="default" w:ascii="Times New Roman" w:hAnsi="Times New Roman" w:eastAsia="宋体" w:cs="Times New Roman"/>
                <w:i w:val="0"/>
                <w:iCs w:val="0"/>
                <w:color w:val="auto"/>
                <w:sz w:val="20"/>
                <w:szCs w:val="20"/>
                <w:u w:val="none"/>
              </w:rPr>
            </w:pPr>
          </w:p>
        </w:tc>
        <w:tc>
          <w:tcPr>
            <w:tcW w:w="366" w:type="pct"/>
            <w:tcBorders>
              <w:top w:val="nil"/>
              <w:left w:val="nil"/>
              <w:bottom w:val="nil"/>
              <w:right w:val="nil"/>
            </w:tcBorders>
            <w:shd w:val="clear" w:color="auto" w:fill="auto"/>
            <w:noWrap/>
            <w:vAlign w:val="center"/>
          </w:tcPr>
          <w:p w14:paraId="28E862A9">
            <w:pPr>
              <w:jc w:val="center"/>
              <w:rPr>
                <w:rFonts w:hint="default" w:ascii="Times New Roman" w:hAnsi="Times New Roman" w:eastAsia="宋体" w:cs="Times New Roman"/>
                <w:i w:val="0"/>
                <w:iCs w:val="0"/>
                <w:color w:val="auto"/>
                <w:sz w:val="20"/>
                <w:szCs w:val="20"/>
                <w:u w:val="none"/>
              </w:rPr>
            </w:pPr>
          </w:p>
        </w:tc>
        <w:tc>
          <w:tcPr>
            <w:tcW w:w="355" w:type="pct"/>
            <w:tcBorders>
              <w:top w:val="nil"/>
              <w:left w:val="nil"/>
              <w:bottom w:val="nil"/>
              <w:right w:val="nil"/>
            </w:tcBorders>
            <w:shd w:val="clear" w:color="auto" w:fill="auto"/>
            <w:noWrap/>
            <w:vAlign w:val="center"/>
          </w:tcPr>
          <w:p w14:paraId="328BCC55">
            <w:pPr>
              <w:jc w:val="center"/>
              <w:rPr>
                <w:rFonts w:hint="default" w:ascii="Times New Roman" w:hAnsi="Times New Roman" w:eastAsia="宋体" w:cs="Times New Roman"/>
                <w:i w:val="0"/>
                <w:iCs w:val="0"/>
                <w:color w:val="auto"/>
                <w:sz w:val="20"/>
                <w:szCs w:val="20"/>
                <w:u w:val="none"/>
              </w:rPr>
            </w:pPr>
          </w:p>
        </w:tc>
        <w:tc>
          <w:tcPr>
            <w:tcW w:w="402" w:type="pct"/>
            <w:tcBorders>
              <w:top w:val="nil"/>
              <w:left w:val="nil"/>
              <w:bottom w:val="nil"/>
              <w:right w:val="nil"/>
            </w:tcBorders>
            <w:shd w:val="clear" w:color="auto" w:fill="auto"/>
            <w:noWrap/>
            <w:vAlign w:val="center"/>
          </w:tcPr>
          <w:p w14:paraId="19A60C57">
            <w:pPr>
              <w:jc w:val="center"/>
              <w:rPr>
                <w:rFonts w:hint="default" w:ascii="Times New Roman" w:hAnsi="Times New Roman" w:eastAsia="宋体" w:cs="Times New Roman"/>
                <w:i w:val="0"/>
                <w:iCs w:val="0"/>
                <w:color w:val="auto"/>
                <w:sz w:val="20"/>
                <w:szCs w:val="20"/>
                <w:u w:val="none"/>
              </w:rPr>
            </w:pPr>
          </w:p>
        </w:tc>
        <w:tc>
          <w:tcPr>
            <w:tcW w:w="531" w:type="pct"/>
            <w:tcBorders>
              <w:top w:val="nil"/>
              <w:left w:val="nil"/>
              <w:bottom w:val="nil"/>
              <w:right w:val="nil"/>
            </w:tcBorders>
            <w:shd w:val="clear" w:color="auto" w:fill="auto"/>
            <w:noWrap/>
            <w:vAlign w:val="center"/>
          </w:tcPr>
          <w:p w14:paraId="215008A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0.199</w:t>
            </w:r>
          </w:p>
        </w:tc>
      </w:tr>
      <w:tr w14:paraId="37246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5083FE2B">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No</w:t>
            </w:r>
          </w:p>
        </w:tc>
        <w:tc>
          <w:tcPr>
            <w:tcW w:w="349" w:type="pct"/>
            <w:tcBorders>
              <w:top w:val="nil"/>
              <w:left w:val="nil"/>
              <w:bottom w:val="nil"/>
              <w:right w:val="nil"/>
            </w:tcBorders>
            <w:shd w:val="clear" w:color="auto" w:fill="auto"/>
            <w:noWrap/>
            <w:vAlign w:val="center"/>
          </w:tcPr>
          <w:p w14:paraId="2F3973C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198</w:t>
            </w:r>
          </w:p>
        </w:tc>
        <w:tc>
          <w:tcPr>
            <w:tcW w:w="404" w:type="pct"/>
            <w:tcBorders>
              <w:top w:val="nil"/>
              <w:left w:val="nil"/>
              <w:bottom w:val="nil"/>
              <w:right w:val="nil"/>
            </w:tcBorders>
            <w:shd w:val="clear" w:color="auto" w:fill="auto"/>
            <w:noWrap/>
            <w:vAlign w:val="center"/>
          </w:tcPr>
          <w:p w14:paraId="495FF07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16.9</w:t>
            </w:r>
          </w:p>
        </w:tc>
        <w:tc>
          <w:tcPr>
            <w:tcW w:w="559" w:type="pct"/>
            <w:tcBorders>
              <w:top w:val="nil"/>
              <w:left w:val="nil"/>
              <w:bottom w:val="nil"/>
              <w:right w:val="nil"/>
            </w:tcBorders>
            <w:shd w:val="clear" w:color="auto" w:fill="auto"/>
            <w:noWrap/>
            <w:vAlign w:val="center"/>
          </w:tcPr>
          <w:p w14:paraId="345E6C4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96</w:t>
            </w:r>
          </w:p>
        </w:tc>
        <w:tc>
          <w:tcPr>
            <w:tcW w:w="559" w:type="pct"/>
            <w:tcBorders>
              <w:top w:val="nil"/>
              <w:left w:val="nil"/>
              <w:bottom w:val="nil"/>
              <w:right w:val="nil"/>
            </w:tcBorders>
            <w:shd w:val="clear" w:color="auto" w:fill="auto"/>
            <w:noWrap/>
            <w:vAlign w:val="center"/>
          </w:tcPr>
          <w:p w14:paraId="546BF09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102</w:t>
            </w:r>
          </w:p>
        </w:tc>
        <w:tc>
          <w:tcPr>
            <w:tcW w:w="688" w:type="pct"/>
            <w:tcBorders>
              <w:top w:val="nil"/>
              <w:left w:val="nil"/>
              <w:bottom w:val="nil"/>
              <w:right w:val="nil"/>
            </w:tcBorders>
            <w:shd w:val="clear" w:color="auto" w:fill="auto"/>
            <w:noWrap/>
            <w:vAlign w:val="center"/>
          </w:tcPr>
          <w:p w14:paraId="6FC566E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2.03</w:t>
            </w:r>
          </w:p>
        </w:tc>
        <w:tc>
          <w:tcPr>
            <w:tcW w:w="366" w:type="pct"/>
            <w:tcBorders>
              <w:top w:val="nil"/>
              <w:left w:val="nil"/>
              <w:bottom w:val="nil"/>
              <w:right w:val="nil"/>
            </w:tcBorders>
            <w:shd w:val="clear" w:color="auto" w:fill="auto"/>
            <w:noWrap/>
            <w:vAlign w:val="center"/>
          </w:tcPr>
          <w:p w14:paraId="23BDECD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1.39</w:t>
            </w:r>
          </w:p>
        </w:tc>
        <w:tc>
          <w:tcPr>
            <w:tcW w:w="355" w:type="pct"/>
            <w:tcBorders>
              <w:top w:val="nil"/>
              <w:left w:val="nil"/>
              <w:bottom w:val="nil"/>
              <w:right w:val="nil"/>
            </w:tcBorders>
            <w:shd w:val="clear" w:color="auto" w:fill="auto"/>
            <w:noWrap/>
            <w:vAlign w:val="center"/>
          </w:tcPr>
          <w:p w14:paraId="2D59F49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2.97</w:t>
            </w:r>
          </w:p>
        </w:tc>
        <w:tc>
          <w:tcPr>
            <w:tcW w:w="402" w:type="pct"/>
            <w:tcBorders>
              <w:top w:val="nil"/>
              <w:left w:val="nil"/>
              <w:bottom w:val="nil"/>
              <w:right w:val="nil"/>
            </w:tcBorders>
            <w:shd w:val="clear" w:color="auto" w:fill="auto"/>
            <w:noWrap/>
            <w:vAlign w:val="center"/>
          </w:tcPr>
          <w:p w14:paraId="2768D82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531" w:type="pct"/>
            <w:tcBorders>
              <w:top w:val="nil"/>
              <w:left w:val="nil"/>
              <w:bottom w:val="nil"/>
              <w:right w:val="nil"/>
            </w:tcBorders>
            <w:shd w:val="clear" w:color="auto" w:fill="auto"/>
            <w:noWrap/>
            <w:vAlign w:val="center"/>
          </w:tcPr>
          <w:p w14:paraId="7A88FA48">
            <w:pPr>
              <w:jc w:val="center"/>
              <w:rPr>
                <w:rFonts w:hint="default" w:ascii="Times New Roman" w:hAnsi="Times New Roman" w:eastAsia="宋体" w:cs="Times New Roman"/>
                <w:i w:val="0"/>
                <w:iCs w:val="0"/>
                <w:color w:val="auto"/>
                <w:sz w:val="20"/>
                <w:szCs w:val="20"/>
                <w:u w:val="none"/>
              </w:rPr>
            </w:pPr>
          </w:p>
        </w:tc>
      </w:tr>
      <w:tr w14:paraId="47B8E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009D8B72">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Yes</w:t>
            </w:r>
          </w:p>
        </w:tc>
        <w:tc>
          <w:tcPr>
            <w:tcW w:w="349" w:type="pct"/>
            <w:tcBorders>
              <w:top w:val="nil"/>
              <w:left w:val="nil"/>
              <w:bottom w:val="nil"/>
              <w:right w:val="nil"/>
            </w:tcBorders>
            <w:shd w:val="clear" w:color="auto" w:fill="auto"/>
            <w:noWrap/>
            <w:vAlign w:val="center"/>
          </w:tcPr>
          <w:p w14:paraId="201F23E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976</w:t>
            </w:r>
          </w:p>
        </w:tc>
        <w:tc>
          <w:tcPr>
            <w:tcW w:w="404" w:type="pct"/>
            <w:tcBorders>
              <w:top w:val="nil"/>
              <w:left w:val="nil"/>
              <w:bottom w:val="nil"/>
              <w:right w:val="nil"/>
            </w:tcBorders>
            <w:shd w:val="clear" w:color="auto" w:fill="auto"/>
            <w:noWrap/>
            <w:vAlign w:val="center"/>
          </w:tcPr>
          <w:p w14:paraId="799FCCF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83.1</w:t>
            </w:r>
          </w:p>
        </w:tc>
        <w:tc>
          <w:tcPr>
            <w:tcW w:w="559" w:type="pct"/>
            <w:tcBorders>
              <w:top w:val="nil"/>
              <w:left w:val="nil"/>
              <w:bottom w:val="nil"/>
              <w:right w:val="nil"/>
            </w:tcBorders>
            <w:shd w:val="clear" w:color="auto" w:fill="auto"/>
            <w:noWrap/>
            <w:vAlign w:val="center"/>
          </w:tcPr>
          <w:p w14:paraId="3B01FA1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350</w:t>
            </w:r>
          </w:p>
        </w:tc>
        <w:tc>
          <w:tcPr>
            <w:tcW w:w="559" w:type="pct"/>
            <w:tcBorders>
              <w:top w:val="nil"/>
              <w:left w:val="nil"/>
              <w:bottom w:val="nil"/>
              <w:right w:val="nil"/>
            </w:tcBorders>
            <w:shd w:val="clear" w:color="auto" w:fill="auto"/>
            <w:noWrap/>
            <w:vAlign w:val="center"/>
          </w:tcPr>
          <w:p w14:paraId="54A3DAB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626</w:t>
            </w:r>
          </w:p>
        </w:tc>
        <w:tc>
          <w:tcPr>
            <w:tcW w:w="688" w:type="pct"/>
            <w:tcBorders>
              <w:top w:val="nil"/>
              <w:left w:val="nil"/>
              <w:bottom w:val="nil"/>
              <w:right w:val="nil"/>
            </w:tcBorders>
            <w:shd w:val="clear" w:color="auto" w:fill="auto"/>
            <w:noWrap/>
            <w:vAlign w:val="center"/>
          </w:tcPr>
          <w:p w14:paraId="0475B10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1.55</w:t>
            </w:r>
          </w:p>
        </w:tc>
        <w:tc>
          <w:tcPr>
            <w:tcW w:w="366" w:type="pct"/>
            <w:tcBorders>
              <w:top w:val="nil"/>
              <w:left w:val="nil"/>
              <w:bottom w:val="nil"/>
              <w:right w:val="nil"/>
            </w:tcBorders>
            <w:shd w:val="clear" w:color="auto" w:fill="auto"/>
            <w:noWrap/>
            <w:vAlign w:val="center"/>
          </w:tcPr>
          <w:p w14:paraId="510E68A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1.29</w:t>
            </w:r>
          </w:p>
        </w:tc>
        <w:tc>
          <w:tcPr>
            <w:tcW w:w="355" w:type="pct"/>
            <w:tcBorders>
              <w:top w:val="nil"/>
              <w:left w:val="nil"/>
              <w:bottom w:val="nil"/>
              <w:right w:val="nil"/>
            </w:tcBorders>
            <w:shd w:val="clear" w:color="auto" w:fill="auto"/>
            <w:noWrap/>
            <w:vAlign w:val="center"/>
          </w:tcPr>
          <w:p w14:paraId="6DBC5A2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1.85</w:t>
            </w:r>
          </w:p>
        </w:tc>
        <w:tc>
          <w:tcPr>
            <w:tcW w:w="402" w:type="pct"/>
            <w:tcBorders>
              <w:top w:val="nil"/>
              <w:left w:val="nil"/>
              <w:bottom w:val="nil"/>
              <w:right w:val="nil"/>
            </w:tcBorders>
            <w:shd w:val="clear" w:color="auto" w:fill="auto"/>
            <w:noWrap/>
            <w:vAlign w:val="center"/>
          </w:tcPr>
          <w:p w14:paraId="4F22D6A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531" w:type="pct"/>
            <w:tcBorders>
              <w:top w:val="nil"/>
              <w:left w:val="nil"/>
              <w:bottom w:val="nil"/>
              <w:right w:val="nil"/>
            </w:tcBorders>
            <w:shd w:val="clear" w:color="auto" w:fill="auto"/>
            <w:noWrap/>
            <w:vAlign w:val="center"/>
          </w:tcPr>
          <w:p w14:paraId="27A83FB2">
            <w:pPr>
              <w:jc w:val="center"/>
              <w:rPr>
                <w:rFonts w:hint="default" w:ascii="Times New Roman" w:hAnsi="Times New Roman" w:eastAsia="宋体" w:cs="Times New Roman"/>
                <w:i w:val="0"/>
                <w:iCs w:val="0"/>
                <w:color w:val="auto"/>
                <w:sz w:val="20"/>
                <w:szCs w:val="20"/>
                <w:u w:val="none"/>
              </w:rPr>
            </w:pPr>
          </w:p>
        </w:tc>
      </w:tr>
      <w:tr w14:paraId="3EEA0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74F7FC0E">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Tumour number</w:t>
            </w:r>
          </w:p>
        </w:tc>
        <w:tc>
          <w:tcPr>
            <w:tcW w:w="349" w:type="pct"/>
            <w:tcBorders>
              <w:top w:val="nil"/>
              <w:left w:val="nil"/>
              <w:bottom w:val="nil"/>
              <w:right w:val="nil"/>
            </w:tcBorders>
            <w:shd w:val="clear" w:color="auto" w:fill="auto"/>
            <w:noWrap/>
            <w:vAlign w:val="center"/>
          </w:tcPr>
          <w:p w14:paraId="03875720">
            <w:pPr>
              <w:jc w:val="center"/>
              <w:rPr>
                <w:rFonts w:hint="default" w:ascii="Times New Roman" w:hAnsi="Times New Roman" w:eastAsia="宋体" w:cs="Times New Roman"/>
                <w:i w:val="0"/>
                <w:iCs w:val="0"/>
                <w:color w:val="auto"/>
                <w:sz w:val="20"/>
                <w:szCs w:val="20"/>
                <w:u w:val="none"/>
              </w:rPr>
            </w:pPr>
          </w:p>
        </w:tc>
        <w:tc>
          <w:tcPr>
            <w:tcW w:w="404" w:type="pct"/>
            <w:tcBorders>
              <w:top w:val="nil"/>
              <w:left w:val="nil"/>
              <w:bottom w:val="nil"/>
              <w:right w:val="nil"/>
            </w:tcBorders>
            <w:shd w:val="clear" w:color="auto" w:fill="auto"/>
            <w:noWrap/>
            <w:vAlign w:val="center"/>
          </w:tcPr>
          <w:p w14:paraId="2E50209E">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507CF9B7">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14131C41">
            <w:pPr>
              <w:jc w:val="center"/>
              <w:rPr>
                <w:rFonts w:hint="default" w:ascii="Times New Roman" w:hAnsi="Times New Roman" w:eastAsia="宋体" w:cs="Times New Roman"/>
                <w:i w:val="0"/>
                <w:iCs w:val="0"/>
                <w:color w:val="auto"/>
                <w:sz w:val="20"/>
                <w:szCs w:val="20"/>
                <w:u w:val="none"/>
              </w:rPr>
            </w:pPr>
          </w:p>
        </w:tc>
        <w:tc>
          <w:tcPr>
            <w:tcW w:w="688" w:type="pct"/>
            <w:tcBorders>
              <w:top w:val="nil"/>
              <w:left w:val="nil"/>
              <w:bottom w:val="nil"/>
              <w:right w:val="nil"/>
            </w:tcBorders>
            <w:shd w:val="clear" w:color="auto" w:fill="auto"/>
            <w:noWrap/>
            <w:vAlign w:val="center"/>
          </w:tcPr>
          <w:p w14:paraId="0077F2F0">
            <w:pPr>
              <w:jc w:val="center"/>
              <w:rPr>
                <w:rFonts w:hint="default" w:ascii="Times New Roman" w:hAnsi="Times New Roman" w:eastAsia="宋体" w:cs="Times New Roman"/>
                <w:i w:val="0"/>
                <w:iCs w:val="0"/>
                <w:color w:val="auto"/>
                <w:sz w:val="20"/>
                <w:szCs w:val="20"/>
                <w:u w:val="none"/>
              </w:rPr>
            </w:pPr>
          </w:p>
        </w:tc>
        <w:tc>
          <w:tcPr>
            <w:tcW w:w="366" w:type="pct"/>
            <w:tcBorders>
              <w:top w:val="nil"/>
              <w:left w:val="nil"/>
              <w:bottom w:val="nil"/>
              <w:right w:val="nil"/>
            </w:tcBorders>
            <w:shd w:val="clear" w:color="auto" w:fill="auto"/>
            <w:noWrap/>
            <w:vAlign w:val="center"/>
          </w:tcPr>
          <w:p w14:paraId="474715DB">
            <w:pPr>
              <w:jc w:val="center"/>
              <w:rPr>
                <w:rFonts w:hint="default" w:ascii="Times New Roman" w:hAnsi="Times New Roman" w:eastAsia="宋体" w:cs="Times New Roman"/>
                <w:i w:val="0"/>
                <w:iCs w:val="0"/>
                <w:color w:val="auto"/>
                <w:sz w:val="20"/>
                <w:szCs w:val="20"/>
                <w:u w:val="none"/>
              </w:rPr>
            </w:pPr>
          </w:p>
        </w:tc>
        <w:tc>
          <w:tcPr>
            <w:tcW w:w="355" w:type="pct"/>
            <w:tcBorders>
              <w:top w:val="nil"/>
              <w:left w:val="nil"/>
              <w:bottom w:val="nil"/>
              <w:right w:val="nil"/>
            </w:tcBorders>
            <w:shd w:val="clear" w:color="auto" w:fill="auto"/>
            <w:noWrap/>
            <w:vAlign w:val="center"/>
          </w:tcPr>
          <w:p w14:paraId="48446F2F">
            <w:pPr>
              <w:jc w:val="center"/>
              <w:rPr>
                <w:rFonts w:hint="default" w:ascii="Times New Roman" w:hAnsi="Times New Roman" w:eastAsia="宋体" w:cs="Times New Roman"/>
                <w:i w:val="0"/>
                <w:iCs w:val="0"/>
                <w:color w:val="auto"/>
                <w:sz w:val="20"/>
                <w:szCs w:val="20"/>
                <w:u w:val="none"/>
              </w:rPr>
            </w:pPr>
          </w:p>
        </w:tc>
        <w:tc>
          <w:tcPr>
            <w:tcW w:w="402" w:type="pct"/>
            <w:tcBorders>
              <w:top w:val="nil"/>
              <w:left w:val="nil"/>
              <w:bottom w:val="nil"/>
              <w:right w:val="nil"/>
            </w:tcBorders>
            <w:shd w:val="clear" w:color="auto" w:fill="auto"/>
            <w:noWrap/>
            <w:vAlign w:val="center"/>
          </w:tcPr>
          <w:p w14:paraId="28BC8328">
            <w:pPr>
              <w:jc w:val="center"/>
              <w:rPr>
                <w:rFonts w:hint="default" w:ascii="Times New Roman" w:hAnsi="Times New Roman" w:eastAsia="宋体" w:cs="Times New Roman"/>
                <w:i w:val="0"/>
                <w:iCs w:val="0"/>
                <w:color w:val="auto"/>
                <w:sz w:val="20"/>
                <w:szCs w:val="20"/>
                <w:u w:val="none"/>
              </w:rPr>
            </w:pPr>
          </w:p>
        </w:tc>
        <w:tc>
          <w:tcPr>
            <w:tcW w:w="531" w:type="pct"/>
            <w:tcBorders>
              <w:top w:val="nil"/>
              <w:left w:val="nil"/>
              <w:bottom w:val="nil"/>
              <w:right w:val="nil"/>
            </w:tcBorders>
            <w:shd w:val="clear" w:color="auto" w:fill="auto"/>
            <w:noWrap/>
            <w:vAlign w:val="center"/>
          </w:tcPr>
          <w:p w14:paraId="389043D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0.441</w:t>
            </w:r>
          </w:p>
        </w:tc>
      </w:tr>
      <w:tr w14:paraId="5F960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5F9A9CD1">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&lt;2</w:t>
            </w:r>
          </w:p>
        </w:tc>
        <w:tc>
          <w:tcPr>
            <w:tcW w:w="349" w:type="pct"/>
            <w:tcBorders>
              <w:top w:val="nil"/>
              <w:left w:val="nil"/>
              <w:bottom w:val="nil"/>
              <w:right w:val="nil"/>
            </w:tcBorders>
            <w:shd w:val="clear" w:color="auto" w:fill="auto"/>
            <w:noWrap/>
            <w:vAlign w:val="center"/>
          </w:tcPr>
          <w:p w14:paraId="304A0FF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832</w:t>
            </w:r>
          </w:p>
        </w:tc>
        <w:tc>
          <w:tcPr>
            <w:tcW w:w="404" w:type="pct"/>
            <w:tcBorders>
              <w:top w:val="nil"/>
              <w:left w:val="nil"/>
              <w:bottom w:val="nil"/>
              <w:right w:val="nil"/>
            </w:tcBorders>
            <w:shd w:val="clear" w:color="auto" w:fill="auto"/>
            <w:noWrap/>
            <w:vAlign w:val="center"/>
          </w:tcPr>
          <w:p w14:paraId="0E027F7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70.9</w:t>
            </w:r>
          </w:p>
        </w:tc>
        <w:tc>
          <w:tcPr>
            <w:tcW w:w="559" w:type="pct"/>
            <w:tcBorders>
              <w:top w:val="nil"/>
              <w:left w:val="nil"/>
              <w:bottom w:val="nil"/>
              <w:right w:val="nil"/>
            </w:tcBorders>
            <w:shd w:val="clear" w:color="auto" w:fill="auto"/>
            <w:noWrap/>
            <w:vAlign w:val="center"/>
          </w:tcPr>
          <w:p w14:paraId="39CCE19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333</w:t>
            </w:r>
          </w:p>
        </w:tc>
        <w:tc>
          <w:tcPr>
            <w:tcW w:w="559" w:type="pct"/>
            <w:tcBorders>
              <w:top w:val="nil"/>
              <w:left w:val="nil"/>
              <w:bottom w:val="nil"/>
              <w:right w:val="nil"/>
            </w:tcBorders>
            <w:shd w:val="clear" w:color="auto" w:fill="auto"/>
            <w:noWrap/>
            <w:vAlign w:val="center"/>
          </w:tcPr>
          <w:p w14:paraId="77EE2C8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499</w:t>
            </w:r>
          </w:p>
        </w:tc>
        <w:tc>
          <w:tcPr>
            <w:tcW w:w="688" w:type="pct"/>
            <w:tcBorders>
              <w:top w:val="nil"/>
              <w:left w:val="nil"/>
              <w:bottom w:val="nil"/>
              <w:right w:val="nil"/>
            </w:tcBorders>
            <w:shd w:val="clear" w:color="auto" w:fill="auto"/>
            <w:noWrap/>
            <w:vAlign w:val="center"/>
          </w:tcPr>
          <w:p w14:paraId="4B526A6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1.63</w:t>
            </w:r>
          </w:p>
        </w:tc>
        <w:tc>
          <w:tcPr>
            <w:tcW w:w="366" w:type="pct"/>
            <w:tcBorders>
              <w:top w:val="nil"/>
              <w:left w:val="nil"/>
              <w:bottom w:val="nil"/>
              <w:right w:val="nil"/>
            </w:tcBorders>
            <w:shd w:val="clear" w:color="auto" w:fill="auto"/>
            <w:noWrap/>
            <w:vAlign w:val="center"/>
          </w:tcPr>
          <w:p w14:paraId="59ADF02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1.33</w:t>
            </w:r>
          </w:p>
        </w:tc>
        <w:tc>
          <w:tcPr>
            <w:tcW w:w="355" w:type="pct"/>
            <w:tcBorders>
              <w:top w:val="nil"/>
              <w:left w:val="nil"/>
              <w:bottom w:val="nil"/>
              <w:right w:val="nil"/>
            </w:tcBorders>
            <w:shd w:val="clear" w:color="auto" w:fill="auto"/>
            <w:noWrap/>
            <w:vAlign w:val="center"/>
          </w:tcPr>
          <w:p w14:paraId="07544A7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1.99</w:t>
            </w:r>
          </w:p>
        </w:tc>
        <w:tc>
          <w:tcPr>
            <w:tcW w:w="402" w:type="pct"/>
            <w:tcBorders>
              <w:top w:val="nil"/>
              <w:left w:val="nil"/>
              <w:bottom w:val="nil"/>
              <w:right w:val="nil"/>
            </w:tcBorders>
            <w:shd w:val="clear" w:color="auto" w:fill="auto"/>
            <w:noWrap/>
            <w:vAlign w:val="center"/>
          </w:tcPr>
          <w:p w14:paraId="05E50BF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531" w:type="pct"/>
            <w:tcBorders>
              <w:top w:val="nil"/>
              <w:left w:val="nil"/>
              <w:bottom w:val="nil"/>
              <w:right w:val="nil"/>
            </w:tcBorders>
            <w:shd w:val="clear" w:color="auto" w:fill="auto"/>
            <w:noWrap/>
            <w:vAlign w:val="center"/>
          </w:tcPr>
          <w:p w14:paraId="37C01BF5">
            <w:pPr>
              <w:jc w:val="center"/>
              <w:rPr>
                <w:rFonts w:hint="default" w:ascii="Times New Roman" w:hAnsi="Times New Roman" w:eastAsia="宋体" w:cs="Times New Roman"/>
                <w:i w:val="0"/>
                <w:iCs w:val="0"/>
                <w:color w:val="auto"/>
                <w:sz w:val="20"/>
                <w:szCs w:val="20"/>
                <w:u w:val="none"/>
              </w:rPr>
            </w:pPr>
          </w:p>
        </w:tc>
      </w:tr>
      <w:tr w14:paraId="7F9FA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1EBBCD0A">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≥2</w:t>
            </w:r>
          </w:p>
        </w:tc>
        <w:tc>
          <w:tcPr>
            <w:tcW w:w="349" w:type="pct"/>
            <w:tcBorders>
              <w:top w:val="nil"/>
              <w:left w:val="nil"/>
              <w:bottom w:val="nil"/>
              <w:right w:val="nil"/>
            </w:tcBorders>
            <w:shd w:val="clear" w:color="auto" w:fill="auto"/>
            <w:noWrap/>
            <w:vAlign w:val="center"/>
          </w:tcPr>
          <w:p w14:paraId="4494423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342</w:t>
            </w:r>
          </w:p>
        </w:tc>
        <w:tc>
          <w:tcPr>
            <w:tcW w:w="404" w:type="pct"/>
            <w:tcBorders>
              <w:top w:val="nil"/>
              <w:left w:val="nil"/>
              <w:bottom w:val="nil"/>
              <w:right w:val="nil"/>
            </w:tcBorders>
            <w:shd w:val="clear" w:color="auto" w:fill="auto"/>
            <w:noWrap/>
            <w:vAlign w:val="center"/>
          </w:tcPr>
          <w:p w14:paraId="4497A33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29.1</w:t>
            </w:r>
          </w:p>
        </w:tc>
        <w:tc>
          <w:tcPr>
            <w:tcW w:w="559" w:type="pct"/>
            <w:tcBorders>
              <w:top w:val="nil"/>
              <w:left w:val="nil"/>
              <w:bottom w:val="nil"/>
              <w:right w:val="nil"/>
            </w:tcBorders>
            <w:shd w:val="clear" w:color="auto" w:fill="auto"/>
            <w:noWrap/>
            <w:vAlign w:val="center"/>
          </w:tcPr>
          <w:p w14:paraId="4C1EC18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113</w:t>
            </w:r>
          </w:p>
        </w:tc>
        <w:tc>
          <w:tcPr>
            <w:tcW w:w="559" w:type="pct"/>
            <w:tcBorders>
              <w:top w:val="nil"/>
              <w:left w:val="nil"/>
              <w:bottom w:val="nil"/>
              <w:right w:val="nil"/>
            </w:tcBorders>
            <w:shd w:val="clear" w:color="auto" w:fill="auto"/>
            <w:noWrap/>
            <w:vAlign w:val="center"/>
          </w:tcPr>
          <w:p w14:paraId="56F9205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229</w:t>
            </w:r>
          </w:p>
        </w:tc>
        <w:tc>
          <w:tcPr>
            <w:tcW w:w="688" w:type="pct"/>
            <w:tcBorders>
              <w:top w:val="nil"/>
              <w:left w:val="nil"/>
              <w:bottom w:val="nil"/>
              <w:right w:val="nil"/>
            </w:tcBorders>
            <w:shd w:val="clear" w:color="auto" w:fill="auto"/>
            <w:noWrap/>
            <w:vAlign w:val="center"/>
          </w:tcPr>
          <w:p w14:paraId="5F5BF8A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1.38</w:t>
            </w:r>
          </w:p>
        </w:tc>
        <w:tc>
          <w:tcPr>
            <w:tcW w:w="366" w:type="pct"/>
            <w:tcBorders>
              <w:top w:val="nil"/>
              <w:left w:val="nil"/>
              <w:bottom w:val="nil"/>
              <w:right w:val="nil"/>
            </w:tcBorders>
            <w:shd w:val="clear" w:color="auto" w:fill="auto"/>
            <w:noWrap/>
            <w:vAlign w:val="center"/>
          </w:tcPr>
          <w:p w14:paraId="6E1C932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1.04</w:t>
            </w:r>
          </w:p>
        </w:tc>
        <w:tc>
          <w:tcPr>
            <w:tcW w:w="355" w:type="pct"/>
            <w:tcBorders>
              <w:top w:val="nil"/>
              <w:left w:val="nil"/>
              <w:bottom w:val="nil"/>
              <w:right w:val="nil"/>
            </w:tcBorders>
            <w:shd w:val="clear" w:color="auto" w:fill="auto"/>
            <w:noWrap/>
            <w:vAlign w:val="center"/>
          </w:tcPr>
          <w:p w14:paraId="6F47B31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1.83</w:t>
            </w:r>
          </w:p>
        </w:tc>
        <w:tc>
          <w:tcPr>
            <w:tcW w:w="402" w:type="pct"/>
            <w:tcBorders>
              <w:top w:val="nil"/>
              <w:left w:val="nil"/>
              <w:bottom w:val="nil"/>
              <w:right w:val="nil"/>
            </w:tcBorders>
            <w:shd w:val="clear" w:color="auto" w:fill="auto"/>
            <w:noWrap/>
            <w:vAlign w:val="center"/>
          </w:tcPr>
          <w:p w14:paraId="5E59426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0.023</w:t>
            </w:r>
          </w:p>
        </w:tc>
        <w:tc>
          <w:tcPr>
            <w:tcW w:w="531" w:type="pct"/>
            <w:tcBorders>
              <w:top w:val="nil"/>
              <w:left w:val="nil"/>
              <w:bottom w:val="nil"/>
              <w:right w:val="nil"/>
            </w:tcBorders>
            <w:shd w:val="clear" w:color="auto" w:fill="auto"/>
            <w:noWrap/>
            <w:vAlign w:val="center"/>
          </w:tcPr>
          <w:p w14:paraId="28C5431E">
            <w:pPr>
              <w:jc w:val="center"/>
              <w:rPr>
                <w:rFonts w:hint="default" w:ascii="Times New Roman" w:hAnsi="Times New Roman" w:eastAsia="宋体" w:cs="Times New Roman"/>
                <w:i w:val="0"/>
                <w:iCs w:val="0"/>
                <w:color w:val="auto"/>
                <w:sz w:val="20"/>
                <w:szCs w:val="20"/>
                <w:u w:val="none"/>
              </w:rPr>
            </w:pPr>
          </w:p>
        </w:tc>
      </w:tr>
      <w:tr w14:paraId="02BA3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05F636D6">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Tumour size</w:t>
            </w:r>
          </w:p>
        </w:tc>
        <w:tc>
          <w:tcPr>
            <w:tcW w:w="349" w:type="pct"/>
            <w:tcBorders>
              <w:top w:val="nil"/>
              <w:left w:val="nil"/>
              <w:bottom w:val="nil"/>
              <w:right w:val="nil"/>
            </w:tcBorders>
            <w:shd w:val="clear" w:color="auto" w:fill="auto"/>
            <w:noWrap/>
            <w:vAlign w:val="center"/>
          </w:tcPr>
          <w:p w14:paraId="4A82F531">
            <w:pPr>
              <w:jc w:val="center"/>
              <w:rPr>
                <w:rFonts w:hint="default" w:ascii="Times New Roman" w:hAnsi="Times New Roman" w:eastAsia="宋体" w:cs="Times New Roman"/>
                <w:i w:val="0"/>
                <w:iCs w:val="0"/>
                <w:color w:val="auto"/>
                <w:sz w:val="20"/>
                <w:szCs w:val="20"/>
                <w:u w:val="none"/>
              </w:rPr>
            </w:pPr>
          </w:p>
        </w:tc>
        <w:tc>
          <w:tcPr>
            <w:tcW w:w="404" w:type="pct"/>
            <w:tcBorders>
              <w:top w:val="nil"/>
              <w:left w:val="nil"/>
              <w:bottom w:val="nil"/>
              <w:right w:val="nil"/>
            </w:tcBorders>
            <w:shd w:val="clear" w:color="auto" w:fill="auto"/>
            <w:noWrap/>
            <w:vAlign w:val="center"/>
          </w:tcPr>
          <w:p w14:paraId="30EC0C88">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7D508879">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00D06E10">
            <w:pPr>
              <w:jc w:val="center"/>
              <w:rPr>
                <w:rFonts w:hint="default" w:ascii="Times New Roman" w:hAnsi="Times New Roman" w:eastAsia="宋体" w:cs="Times New Roman"/>
                <w:i w:val="0"/>
                <w:iCs w:val="0"/>
                <w:color w:val="auto"/>
                <w:sz w:val="20"/>
                <w:szCs w:val="20"/>
                <w:u w:val="none"/>
              </w:rPr>
            </w:pPr>
          </w:p>
        </w:tc>
        <w:tc>
          <w:tcPr>
            <w:tcW w:w="688" w:type="pct"/>
            <w:tcBorders>
              <w:top w:val="nil"/>
              <w:left w:val="nil"/>
              <w:bottom w:val="nil"/>
              <w:right w:val="nil"/>
            </w:tcBorders>
            <w:shd w:val="clear" w:color="auto" w:fill="auto"/>
            <w:noWrap/>
            <w:vAlign w:val="center"/>
          </w:tcPr>
          <w:p w14:paraId="790C8648">
            <w:pPr>
              <w:jc w:val="center"/>
              <w:rPr>
                <w:rFonts w:hint="default" w:ascii="Times New Roman" w:hAnsi="Times New Roman" w:eastAsia="宋体" w:cs="Times New Roman"/>
                <w:i w:val="0"/>
                <w:iCs w:val="0"/>
                <w:color w:val="auto"/>
                <w:sz w:val="20"/>
                <w:szCs w:val="20"/>
                <w:u w:val="none"/>
              </w:rPr>
            </w:pPr>
          </w:p>
        </w:tc>
        <w:tc>
          <w:tcPr>
            <w:tcW w:w="366" w:type="pct"/>
            <w:tcBorders>
              <w:top w:val="nil"/>
              <w:left w:val="nil"/>
              <w:bottom w:val="nil"/>
              <w:right w:val="nil"/>
            </w:tcBorders>
            <w:shd w:val="clear" w:color="auto" w:fill="auto"/>
            <w:noWrap/>
            <w:vAlign w:val="center"/>
          </w:tcPr>
          <w:p w14:paraId="77EB2773">
            <w:pPr>
              <w:jc w:val="center"/>
              <w:rPr>
                <w:rFonts w:hint="default" w:ascii="Times New Roman" w:hAnsi="Times New Roman" w:eastAsia="宋体" w:cs="Times New Roman"/>
                <w:i w:val="0"/>
                <w:iCs w:val="0"/>
                <w:color w:val="auto"/>
                <w:sz w:val="20"/>
                <w:szCs w:val="20"/>
                <w:u w:val="none"/>
              </w:rPr>
            </w:pPr>
          </w:p>
        </w:tc>
        <w:tc>
          <w:tcPr>
            <w:tcW w:w="355" w:type="pct"/>
            <w:tcBorders>
              <w:top w:val="nil"/>
              <w:left w:val="nil"/>
              <w:bottom w:val="nil"/>
              <w:right w:val="nil"/>
            </w:tcBorders>
            <w:shd w:val="clear" w:color="auto" w:fill="auto"/>
            <w:noWrap/>
            <w:vAlign w:val="center"/>
          </w:tcPr>
          <w:p w14:paraId="37B101B0">
            <w:pPr>
              <w:jc w:val="center"/>
              <w:rPr>
                <w:rFonts w:hint="default" w:ascii="Times New Roman" w:hAnsi="Times New Roman" w:eastAsia="宋体" w:cs="Times New Roman"/>
                <w:i w:val="0"/>
                <w:iCs w:val="0"/>
                <w:color w:val="auto"/>
                <w:sz w:val="20"/>
                <w:szCs w:val="20"/>
                <w:u w:val="none"/>
              </w:rPr>
            </w:pPr>
          </w:p>
        </w:tc>
        <w:tc>
          <w:tcPr>
            <w:tcW w:w="402" w:type="pct"/>
            <w:tcBorders>
              <w:top w:val="nil"/>
              <w:left w:val="nil"/>
              <w:bottom w:val="nil"/>
              <w:right w:val="nil"/>
            </w:tcBorders>
            <w:shd w:val="clear" w:color="auto" w:fill="auto"/>
            <w:noWrap/>
            <w:vAlign w:val="center"/>
          </w:tcPr>
          <w:p w14:paraId="73B7445B">
            <w:pPr>
              <w:jc w:val="center"/>
              <w:rPr>
                <w:rFonts w:hint="default" w:ascii="Times New Roman" w:hAnsi="Times New Roman" w:eastAsia="宋体" w:cs="Times New Roman"/>
                <w:i w:val="0"/>
                <w:iCs w:val="0"/>
                <w:color w:val="auto"/>
                <w:sz w:val="20"/>
                <w:szCs w:val="20"/>
                <w:u w:val="none"/>
              </w:rPr>
            </w:pPr>
          </w:p>
        </w:tc>
        <w:tc>
          <w:tcPr>
            <w:tcW w:w="531" w:type="pct"/>
            <w:tcBorders>
              <w:top w:val="nil"/>
              <w:left w:val="nil"/>
              <w:bottom w:val="nil"/>
              <w:right w:val="nil"/>
            </w:tcBorders>
            <w:shd w:val="clear" w:color="auto" w:fill="auto"/>
            <w:noWrap/>
            <w:vAlign w:val="center"/>
          </w:tcPr>
          <w:p w14:paraId="11C9BBF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0.103</w:t>
            </w:r>
          </w:p>
        </w:tc>
      </w:tr>
      <w:tr w14:paraId="79AAE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02C84A16">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&lt;5 cm</w:t>
            </w:r>
          </w:p>
        </w:tc>
        <w:tc>
          <w:tcPr>
            <w:tcW w:w="349" w:type="pct"/>
            <w:tcBorders>
              <w:top w:val="nil"/>
              <w:left w:val="nil"/>
              <w:bottom w:val="nil"/>
              <w:right w:val="nil"/>
            </w:tcBorders>
            <w:shd w:val="clear" w:color="auto" w:fill="auto"/>
            <w:noWrap/>
            <w:vAlign w:val="center"/>
          </w:tcPr>
          <w:p w14:paraId="36BE3CC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382</w:t>
            </w:r>
          </w:p>
        </w:tc>
        <w:tc>
          <w:tcPr>
            <w:tcW w:w="404" w:type="pct"/>
            <w:tcBorders>
              <w:top w:val="nil"/>
              <w:left w:val="nil"/>
              <w:bottom w:val="nil"/>
              <w:right w:val="nil"/>
            </w:tcBorders>
            <w:shd w:val="clear" w:color="auto" w:fill="auto"/>
            <w:noWrap/>
            <w:vAlign w:val="center"/>
          </w:tcPr>
          <w:p w14:paraId="7F4643E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32.5</w:t>
            </w:r>
          </w:p>
        </w:tc>
        <w:tc>
          <w:tcPr>
            <w:tcW w:w="559" w:type="pct"/>
            <w:tcBorders>
              <w:top w:val="nil"/>
              <w:left w:val="nil"/>
              <w:bottom w:val="nil"/>
              <w:right w:val="nil"/>
            </w:tcBorders>
            <w:shd w:val="clear" w:color="auto" w:fill="auto"/>
            <w:noWrap/>
            <w:vAlign w:val="center"/>
          </w:tcPr>
          <w:p w14:paraId="0965253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185</w:t>
            </w:r>
          </w:p>
        </w:tc>
        <w:tc>
          <w:tcPr>
            <w:tcW w:w="559" w:type="pct"/>
            <w:tcBorders>
              <w:top w:val="nil"/>
              <w:left w:val="nil"/>
              <w:bottom w:val="nil"/>
              <w:right w:val="nil"/>
            </w:tcBorders>
            <w:shd w:val="clear" w:color="auto" w:fill="auto"/>
            <w:noWrap/>
            <w:vAlign w:val="center"/>
          </w:tcPr>
          <w:p w14:paraId="7BE782D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197</w:t>
            </w:r>
          </w:p>
        </w:tc>
        <w:tc>
          <w:tcPr>
            <w:tcW w:w="688" w:type="pct"/>
            <w:tcBorders>
              <w:top w:val="nil"/>
              <w:left w:val="nil"/>
              <w:bottom w:val="nil"/>
              <w:right w:val="nil"/>
            </w:tcBorders>
            <w:shd w:val="clear" w:color="auto" w:fill="auto"/>
            <w:noWrap/>
            <w:vAlign w:val="center"/>
          </w:tcPr>
          <w:p w14:paraId="515CAA7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1.25</w:t>
            </w:r>
          </w:p>
        </w:tc>
        <w:tc>
          <w:tcPr>
            <w:tcW w:w="366" w:type="pct"/>
            <w:tcBorders>
              <w:top w:val="nil"/>
              <w:left w:val="nil"/>
              <w:bottom w:val="nil"/>
              <w:right w:val="nil"/>
            </w:tcBorders>
            <w:shd w:val="clear" w:color="auto" w:fill="auto"/>
            <w:noWrap/>
            <w:vAlign w:val="center"/>
          </w:tcPr>
          <w:p w14:paraId="0CCA702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0.94</w:t>
            </w:r>
          </w:p>
        </w:tc>
        <w:tc>
          <w:tcPr>
            <w:tcW w:w="355" w:type="pct"/>
            <w:tcBorders>
              <w:top w:val="nil"/>
              <w:left w:val="nil"/>
              <w:bottom w:val="nil"/>
              <w:right w:val="nil"/>
            </w:tcBorders>
            <w:shd w:val="clear" w:color="auto" w:fill="auto"/>
            <w:noWrap/>
            <w:vAlign w:val="center"/>
          </w:tcPr>
          <w:p w14:paraId="2D942FD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1.67</w:t>
            </w:r>
          </w:p>
        </w:tc>
        <w:tc>
          <w:tcPr>
            <w:tcW w:w="402" w:type="pct"/>
            <w:tcBorders>
              <w:top w:val="nil"/>
              <w:left w:val="nil"/>
              <w:bottom w:val="nil"/>
              <w:right w:val="nil"/>
            </w:tcBorders>
            <w:shd w:val="clear" w:color="auto" w:fill="auto"/>
            <w:noWrap/>
            <w:vAlign w:val="center"/>
          </w:tcPr>
          <w:p w14:paraId="5BD5119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0.128</w:t>
            </w:r>
          </w:p>
        </w:tc>
        <w:tc>
          <w:tcPr>
            <w:tcW w:w="531" w:type="pct"/>
            <w:tcBorders>
              <w:top w:val="nil"/>
              <w:left w:val="nil"/>
              <w:bottom w:val="nil"/>
              <w:right w:val="nil"/>
            </w:tcBorders>
            <w:shd w:val="clear" w:color="auto" w:fill="auto"/>
            <w:noWrap/>
            <w:vAlign w:val="center"/>
          </w:tcPr>
          <w:p w14:paraId="12B80F1A">
            <w:pPr>
              <w:jc w:val="center"/>
              <w:rPr>
                <w:rFonts w:hint="default" w:ascii="Times New Roman" w:hAnsi="Times New Roman" w:eastAsia="宋体" w:cs="Times New Roman"/>
                <w:i w:val="0"/>
                <w:iCs w:val="0"/>
                <w:color w:val="auto"/>
                <w:sz w:val="20"/>
                <w:szCs w:val="20"/>
                <w:u w:val="none"/>
              </w:rPr>
            </w:pPr>
          </w:p>
        </w:tc>
      </w:tr>
      <w:tr w14:paraId="47A41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45AB0D6F">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≥5 cm</w:t>
            </w:r>
          </w:p>
        </w:tc>
        <w:tc>
          <w:tcPr>
            <w:tcW w:w="349" w:type="pct"/>
            <w:tcBorders>
              <w:top w:val="nil"/>
              <w:left w:val="nil"/>
              <w:bottom w:val="nil"/>
              <w:right w:val="nil"/>
            </w:tcBorders>
            <w:shd w:val="clear" w:color="auto" w:fill="auto"/>
            <w:noWrap/>
            <w:vAlign w:val="center"/>
          </w:tcPr>
          <w:p w14:paraId="24A2DC4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792</w:t>
            </w:r>
          </w:p>
        </w:tc>
        <w:tc>
          <w:tcPr>
            <w:tcW w:w="404" w:type="pct"/>
            <w:tcBorders>
              <w:top w:val="nil"/>
              <w:left w:val="nil"/>
              <w:bottom w:val="nil"/>
              <w:right w:val="nil"/>
            </w:tcBorders>
            <w:shd w:val="clear" w:color="auto" w:fill="auto"/>
            <w:noWrap/>
            <w:vAlign w:val="center"/>
          </w:tcPr>
          <w:p w14:paraId="0A607D5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67.5</w:t>
            </w:r>
          </w:p>
        </w:tc>
        <w:tc>
          <w:tcPr>
            <w:tcW w:w="559" w:type="pct"/>
            <w:tcBorders>
              <w:top w:val="nil"/>
              <w:left w:val="nil"/>
              <w:bottom w:val="nil"/>
              <w:right w:val="nil"/>
            </w:tcBorders>
            <w:shd w:val="clear" w:color="auto" w:fill="auto"/>
            <w:noWrap/>
            <w:vAlign w:val="center"/>
          </w:tcPr>
          <w:p w14:paraId="6D77DEE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261</w:t>
            </w:r>
          </w:p>
        </w:tc>
        <w:tc>
          <w:tcPr>
            <w:tcW w:w="559" w:type="pct"/>
            <w:tcBorders>
              <w:top w:val="nil"/>
              <w:left w:val="nil"/>
              <w:bottom w:val="nil"/>
              <w:right w:val="nil"/>
            </w:tcBorders>
            <w:shd w:val="clear" w:color="auto" w:fill="auto"/>
            <w:noWrap/>
            <w:vAlign w:val="center"/>
          </w:tcPr>
          <w:p w14:paraId="27A9F69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531</w:t>
            </w:r>
          </w:p>
        </w:tc>
        <w:tc>
          <w:tcPr>
            <w:tcW w:w="688" w:type="pct"/>
            <w:tcBorders>
              <w:top w:val="nil"/>
              <w:left w:val="nil"/>
              <w:bottom w:val="nil"/>
              <w:right w:val="nil"/>
            </w:tcBorders>
            <w:shd w:val="clear" w:color="auto" w:fill="auto"/>
            <w:noWrap/>
            <w:vAlign w:val="center"/>
          </w:tcPr>
          <w:p w14:paraId="343A2ED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1.66</w:t>
            </w:r>
          </w:p>
        </w:tc>
        <w:tc>
          <w:tcPr>
            <w:tcW w:w="366" w:type="pct"/>
            <w:tcBorders>
              <w:top w:val="nil"/>
              <w:left w:val="nil"/>
              <w:bottom w:val="nil"/>
              <w:right w:val="nil"/>
            </w:tcBorders>
            <w:shd w:val="clear" w:color="auto" w:fill="auto"/>
            <w:noWrap/>
            <w:vAlign w:val="center"/>
          </w:tcPr>
          <w:p w14:paraId="1B4551F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1.36</w:t>
            </w:r>
          </w:p>
        </w:tc>
        <w:tc>
          <w:tcPr>
            <w:tcW w:w="355" w:type="pct"/>
            <w:tcBorders>
              <w:top w:val="nil"/>
              <w:left w:val="nil"/>
              <w:bottom w:val="nil"/>
              <w:right w:val="nil"/>
            </w:tcBorders>
            <w:shd w:val="clear" w:color="auto" w:fill="auto"/>
            <w:noWrap/>
            <w:vAlign w:val="center"/>
          </w:tcPr>
          <w:p w14:paraId="45B51C2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2.03</w:t>
            </w:r>
          </w:p>
        </w:tc>
        <w:tc>
          <w:tcPr>
            <w:tcW w:w="402" w:type="pct"/>
            <w:tcBorders>
              <w:top w:val="nil"/>
              <w:left w:val="nil"/>
              <w:bottom w:val="nil"/>
              <w:right w:val="nil"/>
            </w:tcBorders>
            <w:shd w:val="clear" w:color="auto" w:fill="auto"/>
            <w:noWrap/>
            <w:vAlign w:val="center"/>
          </w:tcPr>
          <w:p w14:paraId="33C676A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531" w:type="pct"/>
            <w:tcBorders>
              <w:top w:val="nil"/>
              <w:left w:val="nil"/>
              <w:bottom w:val="nil"/>
              <w:right w:val="nil"/>
            </w:tcBorders>
            <w:shd w:val="clear" w:color="auto" w:fill="auto"/>
            <w:noWrap/>
            <w:vAlign w:val="center"/>
          </w:tcPr>
          <w:p w14:paraId="46FA21D4">
            <w:pPr>
              <w:jc w:val="center"/>
              <w:rPr>
                <w:rFonts w:hint="default" w:ascii="Times New Roman" w:hAnsi="Times New Roman" w:eastAsia="宋体" w:cs="Times New Roman"/>
                <w:i w:val="0"/>
                <w:iCs w:val="0"/>
                <w:color w:val="auto"/>
                <w:sz w:val="20"/>
                <w:szCs w:val="20"/>
                <w:u w:val="none"/>
              </w:rPr>
            </w:pPr>
          </w:p>
        </w:tc>
      </w:tr>
      <w:tr w14:paraId="3D039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2D4DEBB7">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Child-Pugh class</w:t>
            </w:r>
          </w:p>
        </w:tc>
        <w:tc>
          <w:tcPr>
            <w:tcW w:w="349" w:type="pct"/>
            <w:tcBorders>
              <w:top w:val="nil"/>
              <w:left w:val="nil"/>
              <w:bottom w:val="nil"/>
              <w:right w:val="nil"/>
            </w:tcBorders>
            <w:shd w:val="clear" w:color="auto" w:fill="auto"/>
            <w:noWrap/>
            <w:vAlign w:val="center"/>
          </w:tcPr>
          <w:p w14:paraId="1641754D">
            <w:pPr>
              <w:jc w:val="center"/>
              <w:rPr>
                <w:rFonts w:hint="default" w:ascii="Times New Roman" w:hAnsi="Times New Roman" w:eastAsia="宋体" w:cs="Times New Roman"/>
                <w:i w:val="0"/>
                <w:iCs w:val="0"/>
                <w:color w:val="auto"/>
                <w:sz w:val="20"/>
                <w:szCs w:val="20"/>
                <w:u w:val="none"/>
              </w:rPr>
            </w:pPr>
          </w:p>
        </w:tc>
        <w:tc>
          <w:tcPr>
            <w:tcW w:w="404" w:type="pct"/>
            <w:tcBorders>
              <w:top w:val="nil"/>
              <w:left w:val="nil"/>
              <w:bottom w:val="nil"/>
              <w:right w:val="nil"/>
            </w:tcBorders>
            <w:shd w:val="clear" w:color="auto" w:fill="auto"/>
            <w:noWrap/>
            <w:vAlign w:val="center"/>
          </w:tcPr>
          <w:p w14:paraId="68F5D669">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196C4490">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0C992E6E">
            <w:pPr>
              <w:jc w:val="center"/>
              <w:rPr>
                <w:rFonts w:hint="default" w:ascii="Times New Roman" w:hAnsi="Times New Roman" w:eastAsia="宋体" w:cs="Times New Roman"/>
                <w:i w:val="0"/>
                <w:iCs w:val="0"/>
                <w:color w:val="auto"/>
                <w:sz w:val="20"/>
                <w:szCs w:val="20"/>
                <w:u w:val="none"/>
              </w:rPr>
            </w:pPr>
          </w:p>
        </w:tc>
        <w:tc>
          <w:tcPr>
            <w:tcW w:w="688" w:type="pct"/>
            <w:tcBorders>
              <w:top w:val="nil"/>
              <w:left w:val="nil"/>
              <w:bottom w:val="nil"/>
              <w:right w:val="nil"/>
            </w:tcBorders>
            <w:shd w:val="clear" w:color="auto" w:fill="auto"/>
            <w:noWrap/>
            <w:vAlign w:val="center"/>
          </w:tcPr>
          <w:p w14:paraId="3359EA72">
            <w:pPr>
              <w:jc w:val="center"/>
              <w:rPr>
                <w:rFonts w:hint="default" w:ascii="Times New Roman" w:hAnsi="Times New Roman" w:eastAsia="宋体" w:cs="Times New Roman"/>
                <w:i w:val="0"/>
                <w:iCs w:val="0"/>
                <w:color w:val="auto"/>
                <w:sz w:val="20"/>
                <w:szCs w:val="20"/>
                <w:u w:val="none"/>
              </w:rPr>
            </w:pPr>
          </w:p>
        </w:tc>
        <w:tc>
          <w:tcPr>
            <w:tcW w:w="366" w:type="pct"/>
            <w:tcBorders>
              <w:top w:val="nil"/>
              <w:left w:val="nil"/>
              <w:bottom w:val="nil"/>
              <w:right w:val="nil"/>
            </w:tcBorders>
            <w:shd w:val="clear" w:color="auto" w:fill="auto"/>
            <w:noWrap/>
            <w:vAlign w:val="center"/>
          </w:tcPr>
          <w:p w14:paraId="33CF90EF">
            <w:pPr>
              <w:jc w:val="center"/>
              <w:rPr>
                <w:rFonts w:hint="default" w:ascii="Times New Roman" w:hAnsi="Times New Roman" w:eastAsia="宋体" w:cs="Times New Roman"/>
                <w:i w:val="0"/>
                <w:iCs w:val="0"/>
                <w:color w:val="auto"/>
                <w:sz w:val="20"/>
                <w:szCs w:val="20"/>
                <w:u w:val="none"/>
              </w:rPr>
            </w:pPr>
          </w:p>
        </w:tc>
        <w:tc>
          <w:tcPr>
            <w:tcW w:w="355" w:type="pct"/>
            <w:tcBorders>
              <w:top w:val="nil"/>
              <w:left w:val="nil"/>
              <w:bottom w:val="nil"/>
              <w:right w:val="nil"/>
            </w:tcBorders>
            <w:shd w:val="clear" w:color="auto" w:fill="auto"/>
            <w:noWrap/>
            <w:vAlign w:val="center"/>
          </w:tcPr>
          <w:p w14:paraId="5D7A3507">
            <w:pPr>
              <w:jc w:val="center"/>
              <w:rPr>
                <w:rFonts w:hint="default" w:ascii="Times New Roman" w:hAnsi="Times New Roman" w:eastAsia="宋体" w:cs="Times New Roman"/>
                <w:i w:val="0"/>
                <w:iCs w:val="0"/>
                <w:color w:val="auto"/>
                <w:sz w:val="20"/>
                <w:szCs w:val="20"/>
                <w:u w:val="none"/>
              </w:rPr>
            </w:pPr>
          </w:p>
        </w:tc>
        <w:tc>
          <w:tcPr>
            <w:tcW w:w="402" w:type="pct"/>
            <w:tcBorders>
              <w:top w:val="nil"/>
              <w:left w:val="nil"/>
              <w:bottom w:val="nil"/>
              <w:right w:val="nil"/>
            </w:tcBorders>
            <w:shd w:val="clear" w:color="auto" w:fill="auto"/>
            <w:noWrap/>
            <w:vAlign w:val="center"/>
          </w:tcPr>
          <w:p w14:paraId="2ADB4024">
            <w:pPr>
              <w:jc w:val="center"/>
              <w:rPr>
                <w:rFonts w:hint="default" w:ascii="Times New Roman" w:hAnsi="Times New Roman" w:eastAsia="宋体" w:cs="Times New Roman"/>
                <w:i w:val="0"/>
                <w:iCs w:val="0"/>
                <w:color w:val="auto"/>
                <w:sz w:val="20"/>
                <w:szCs w:val="20"/>
                <w:u w:val="none"/>
              </w:rPr>
            </w:pPr>
          </w:p>
        </w:tc>
        <w:tc>
          <w:tcPr>
            <w:tcW w:w="531" w:type="pct"/>
            <w:tcBorders>
              <w:top w:val="nil"/>
              <w:left w:val="nil"/>
              <w:bottom w:val="nil"/>
              <w:right w:val="nil"/>
            </w:tcBorders>
            <w:shd w:val="clear" w:color="auto" w:fill="auto"/>
            <w:noWrap/>
            <w:vAlign w:val="center"/>
          </w:tcPr>
          <w:p w14:paraId="0C5FE43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default" w:ascii="Times New Roman" w:hAnsi="Times New Roman" w:eastAsia="宋体" w:cs="Times New Roman"/>
                <w:i w:val="0"/>
                <w:iCs w:val="0"/>
                <w:color w:val="auto"/>
                <w:kern w:val="0"/>
                <w:sz w:val="20"/>
                <w:szCs w:val="20"/>
                <w:u w:val="none"/>
                <w:lang w:val="en-US" w:eastAsia="zh-CN" w:bidi="ar"/>
              </w:rPr>
              <w:t>0.4</w:t>
            </w:r>
            <w:r>
              <w:rPr>
                <w:rFonts w:hint="eastAsia" w:ascii="Times New Roman" w:hAnsi="Times New Roman" w:eastAsia="宋体" w:cs="Times New Roman"/>
                <w:i w:val="0"/>
                <w:iCs w:val="0"/>
                <w:color w:val="auto"/>
                <w:kern w:val="0"/>
                <w:sz w:val="20"/>
                <w:szCs w:val="20"/>
                <w:u w:val="none"/>
                <w:lang w:val="en-US" w:eastAsia="zh-CN" w:bidi="ar"/>
              </w:rPr>
              <w:t>00</w:t>
            </w:r>
          </w:p>
        </w:tc>
      </w:tr>
      <w:tr w14:paraId="378F9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4818F172">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A</w:t>
            </w:r>
          </w:p>
        </w:tc>
        <w:tc>
          <w:tcPr>
            <w:tcW w:w="349" w:type="pct"/>
            <w:tcBorders>
              <w:top w:val="nil"/>
              <w:left w:val="nil"/>
              <w:bottom w:val="nil"/>
              <w:right w:val="nil"/>
            </w:tcBorders>
            <w:shd w:val="clear" w:color="auto" w:fill="auto"/>
            <w:noWrap/>
            <w:vAlign w:val="center"/>
          </w:tcPr>
          <w:p w14:paraId="15C602C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1116</w:t>
            </w:r>
          </w:p>
        </w:tc>
        <w:tc>
          <w:tcPr>
            <w:tcW w:w="404" w:type="pct"/>
            <w:tcBorders>
              <w:top w:val="nil"/>
              <w:left w:val="nil"/>
              <w:bottom w:val="nil"/>
              <w:right w:val="nil"/>
            </w:tcBorders>
            <w:shd w:val="clear" w:color="auto" w:fill="auto"/>
            <w:noWrap/>
            <w:vAlign w:val="center"/>
          </w:tcPr>
          <w:p w14:paraId="31A3CB6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95.1</w:t>
            </w:r>
          </w:p>
        </w:tc>
        <w:tc>
          <w:tcPr>
            <w:tcW w:w="559" w:type="pct"/>
            <w:tcBorders>
              <w:top w:val="nil"/>
              <w:left w:val="nil"/>
              <w:bottom w:val="nil"/>
              <w:right w:val="nil"/>
            </w:tcBorders>
            <w:shd w:val="clear" w:color="auto" w:fill="auto"/>
            <w:noWrap/>
            <w:vAlign w:val="center"/>
          </w:tcPr>
          <w:p w14:paraId="3006B7F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424</w:t>
            </w:r>
          </w:p>
        </w:tc>
        <w:tc>
          <w:tcPr>
            <w:tcW w:w="559" w:type="pct"/>
            <w:tcBorders>
              <w:top w:val="nil"/>
              <w:left w:val="nil"/>
              <w:bottom w:val="nil"/>
              <w:right w:val="nil"/>
            </w:tcBorders>
            <w:shd w:val="clear" w:color="auto" w:fill="auto"/>
            <w:noWrap/>
            <w:vAlign w:val="center"/>
          </w:tcPr>
          <w:p w14:paraId="3FF1CB5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692</w:t>
            </w:r>
          </w:p>
        </w:tc>
        <w:tc>
          <w:tcPr>
            <w:tcW w:w="688" w:type="pct"/>
            <w:tcBorders>
              <w:top w:val="nil"/>
              <w:left w:val="nil"/>
              <w:bottom w:val="nil"/>
              <w:right w:val="nil"/>
            </w:tcBorders>
            <w:shd w:val="clear" w:color="auto" w:fill="auto"/>
            <w:noWrap/>
            <w:vAlign w:val="center"/>
          </w:tcPr>
          <w:p w14:paraId="2DC4FEF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1.64</w:t>
            </w:r>
          </w:p>
        </w:tc>
        <w:tc>
          <w:tcPr>
            <w:tcW w:w="366" w:type="pct"/>
            <w:tcBorders>
              <w:top w:val="nil"/>
              <w:left w:val="nil"/>
              <w:bottom w:val="nil"/>
              <w:right w:val="nil"/>
            </w:tcBorders>
            <w:shd w:val="clear" w:color="auto" w:fill="auto"/>
            <w:noWrap/>
            <w:vAlign w:val="center"/>
          </w:tcPr>
          <w:p w14:paraId="6328530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1.39</w:t>
            </w:r>
          </w:p>
        </w:tc>
        <w:tc>
          <w:tcPr>
            <w:tcW w:w="355" w:type="pct"/>
            <w:tcBorders>
              <w:top w:val="nil"/>
              <w:left w:val="nil"/>
              <w:bottom w:val="nil"/>
              <w:right w:val="nil"/>
            </w:tcBorders>
            <w:shd w:val="clear" w:color="auto" w:fill="auto"/>
            <w:noWrap/>
            <w:vAlign w:val="center"/>
          </w:tcPr>
          <w:p w14:paraId="7E82027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1.94</w:t>
            </w:r>
          </w:p>
        </w:tc>
        <w:tc>
          <w:tcPr>
            <w:tcW w:w="402" w:type="pct"/>
            <w:tcBorders>
              <w:top w:val="nil"/>
              <w:left w:val="nil"/>
              <w:bottom w:val="nil"/>
              <w:right w:val="nil"/>
            </w:tcBorders>
            <w:shd w:val="clear" w:color="auto" w:fill="auto"/>
            <w:noWrap/>
            <w:vAlign w:val="center"/>
          </w:tcPr>
          <w:p w14:paraId="1C4D868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531" w:type="pct"/>
            <w:tcBorders>
              <w:top w:val="nil"/>
              <w:left w:val="nil"/>
              <w:bottom w:val="nil"/>
              <w:right w:val="nil"/>
            </w:tcBorders>
            <w:shd w:val="clear" w:color="auto" w:fill="auto"/>
            <w:noWrap/>
            <w:vAlign w:val="center"/>
          </w:tcPr>
          <w:p w14:paraId="20BF49DD">
            <w:pPr>
              <w:jc w:val="center"/>
              <w:rPr>
                <w:rFonts w:hint="default" w:ascii="Times New Roman" w:hAnsi="Times New Roman" w:eastAsia="宋体" w:cs="Times New Roman"/>
                <w:i w:val="0"/>
                <w:iCs w:val="0"/>
                <w:color w:val="auto"/>
                <w:sz w:val="20"/>
                <w:szCs w:val="20"/>
                <w:u w:val="none"/>
              </w:rPr>
            </w:pPr>
          </w:p>
        </w:tc>
      </w:tr>
      <w:tr w14:paraId="3AC5C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5EC3F7DE">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B</w:t>
            </w:r>
          </w:p>
        </w:tc>
        <w:tc>
          <w:tcPr>
            <w:tcW w:w="349" w:type="pct"/>
            <w:tcBorders>
              <w:top w:val="nil"/>
              <w:left w:val="nil"/>
              <w:bottom w:val="nil"/>
              <w:right w:val="nil"/>
            </w:tcBorders>
            <w:shd w:val="clear" w:color="auto" w:fill="auto"/>
            <w:noWrap/>
            <w:vAlign w:val="center"/>
          </w:tcPr>
          <w:p w14:paraId="1CDCA82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58</w:t>
            </w:r>
          </w:p>
        </w:tc>
        <w:tc>
          <w:tcPr>
            <w:tcW w:w="404" w:type="pct"/>
            <w:tcBorders>
              <w:top w:val="nil"/>
              <w:left w:val="nil"/>
              <w:bottom w:val="nil"/>
              <w:right w:val="nil"/>
            </w:tcBorders>
            <w:shd w:val="clear" w:color="auto" w:fill="auto"/>
            <w:noWrap/>
            <w:vAlign w:val="center"/>
          </w:tcPr>
          <w:p w14:paraId="04F330A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4.9</w:t>
            </w:r>
          </w:p>
        </w:tc>
        <w:tc>
          <w:tcPr>
            <w:tcW w:w="559" w:type="pct"/>
            <w:tcBorders>
              <w:top w:val="nil"/>
              <w:left w:val="nil"/>
              <w:bottom w:val="nil"/>
              <w:right w:val="nil"/>
            </w:tcBorders>
            <w:shd w:val="clear" w:color="auto" w:fill="auto"/>
            <w:noWrap/>
            <w:vAlign w:val="center"/>
          </w:tcPr>
          <w:p w14:paraId="6C29369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22</w:t>
            </w:r>
          </w:p>
        </w:tc>
        <w:tc>
          <w:tcPr>
            <w:tcW w:w="559" w:type="pct"/>
            <w:tcBorders>
              <w:top w:val="nil"/>
              <w:left w:val="nil"/>
              <w:bottom w:val="nil"/>
              <w:right w:val="nil"/>
            </w:tcBorders>
            <w:shd w:val="clear" w:color="auto" w:fill="auto"/>
            <w:noWrap/>
            <w:vAlign w:val="center"/>
          </w:tcPr>
          <w:p w14:paraId="17AD34A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36</w:t>
            </w:r>
          </w:p>
        </w:tc>
        <w:tc>
          <w:tcPr>
            <w:tcW w:w="688" w:type="pct"/>
            <w:tcBorders>
              <w:top w:val="nil"/>
              <w:left w:val="nil"/>
              <w:bottom w:val="nil"/>
              <w:right w:val="nil"/>
            </w:tcBorders>
            <w:shd w:val="clear" w:color="auto" w:fill="auto"/>
            <w:noWrap/>
            <w:vAlign w:val="center"/>
          </w:tcPr>
          <w:p w14:paraId="64262FB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1.32</w:t>
            </w:r>
          </w:p>
        </w:tc>
        <w:tc>
          <w:tcPr>
            <w:tcW w:w="366" w:type="pct"/>
            <w:tcBorders>
              <w:top w:val="nil"/>
              <w:left w:val="nil"/>
              <w:bottom w:val="nil"/>
              <w:right w:val="nil"/>
            </w:tcBorders>
            <w:shd w:val="clear" w:color="auto" w:fill="auto"/>
            <w:noWrap/>
            <w:vAlign w:val="center"/>
          </w:tcPr>
          <w:p w14:paraId="388EC29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0.59</w:t>
            </w:r>
          </w:p>
        </w:tc>
        <w:tc>
          <w:tcPr>
            <w:tcW w:w="355" w:type="pct"/>
            <w:tcBorders>
              <w:top w:val="nil"/>
              <w:left w:val="nil"/>
              <w:bottom w:val="nil"/>
              <w:right w:val="nil"/>
            </w:tcBorders>
            <w:shd w:val="clear" w:color="auto" w:fill="auto"/>
            <w:noWrap/>
            <w:vAlign w:val="center"/>
          </w:tcPr>
          <w:p w14:paraId="6EC8C39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2.94</w:t>
            </w:r>
          </w:p>
        </w:tc>
        <w:tc>
          <w:tcPr>
            <w:tcW w:w="402" w:type="pct"/>
            <w:tcBorders>
              <w:top w:val="nil"/>
              <w:left w:val="nil"/>
              <w:bottom w:val="nil"/>
              <w:right w:val="nil"/>
            </w:tcBorders>
            <w:shd w:val="clear" w:color="auto" w:fill="auto"/>
            <w:noWrap/>
            <w:vAlign w:val="center"/>
          </w:tcPr>
          <w:p w14:paraId="0018F0F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0.496</w:t>
            </w:r>
          </w:p>
        </w:tc>
        <w:tc>
          <w:tcPr>
            <w:tcW w:w="531" w:type="pct"/>
            <w:tcBorders>
              <w:top w:val="nil"/>
              <w:left w:val="nil"/>
              <w:bottom w:val="nil"/>
              <w:right w:val="nil"/>
            </w:tcBorders>
            <w:shd w:val="clear" w:color="auto" w:fill="auto"/>
            <w:noWrap/>
            <w:vAlign w:val="center"/>
          </w:tcPr>
          <w:p w14:paraId="6F205ECE">
            <w:pPr>
              <w:jc w:val="center"/>
              <w:rPr>
                <w:rFonts w:hint="default" w:ascii="Times New Roman" w:hAnsi="Times New Roman" w:eastAsia="宋体" w:cs="Times New Roman"/>
                <w:i w:val="0"/>
                <w:iCs w:val="0"/>
                <w:color w:val="auto"/>
                <w:sz w:val="20"/>
                <w:szCs w:val="20"/>
                <w:u w:val="none"/>
              </w:rPr>
            </w:pPr>
          </w:p>
        </w:tc>
      </w:tr>
      <w:tr w14:paraId="15792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66C40F00">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Tumor capsule</w:t>
            </w:r>
          </w:p>
        </w:tc>
        <w:tc>
          <w:tcPr>
            <w:tcW w:w="349" w:type="pct"/>
            <w:tcBorders>
              <w:top w:val="nil"/>
              <w:left w:val="nil"/>
              <w:bottom w:val="nil"/>
              <w:right w:val="nil"/>
            </w:tcBorders>
            <w:shd w:val="clear" w:color="auto" w:fill="auto"/>
            <w:noWrap/>
            <w:vAlign w:val="center"/>
          </w:tcPr>
          <w:p w14:paraId="40E56577">
            <w:pPr>
              <w:jc w:val="center"/>
              <w:rPr>
                <w:rFonts w:hint="default" w:ascii="Times New Roman" w:hAnsi="Times New Roman" w:eastAsia="宋体" w:cs="Times New Roman"/>
                <w:i w:val="0"/>
                <w:iCs w:val="0"/>
                <w:color w:val="auto"/>
                <w:sz w:val="20"/>
                <w:szCs w:val="20"/>
                <w:u w:val="none"/>
              </w:rPr>
            </w:pPr>
          </w:p>
        </w:tc>
        <w:tc>
          <w:tcPr>
            <w:tcW w:w="404" w:type="pct"/>
            <w:tcBorders>
              <w:top w:val="nil"/>
              <w:left w:val="nil"/>
              <w:bottom w:val="nil"/>
              <w:right w:val="nil"/>
            </w:tcBorders>
            <w:shd w:val="clear" w:color="auto" w:fill="auto"/>
            <w:noWrap/>
            <w:vAlign w:val="center"/>
          </w:tcPr>
          <w:p w14:paraId="22422399">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3CB8B80B">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507D6105">
            <w:pPr>
              <w:jc w:val="center"/>
              <w:rPr>
                <w:rFonts w:hint="default" w:ascii="Times New Roman" w:hAnsi="Times New Roman" w:eastAsia="宋体" w:cs="Times New Roman"/>
                <w:i w:val="0"/>
                <w:iCs w:val="0"/>
                <w:color w:val="auto"/>
                <w:sz w:val="20"/>
                <w:szCs w:val="20"/>
                <w:u w:val="none"/>
              </w:rPr>
            </w:pPr>
          </w:p>
        </w:tc>
        <w:tc>
          <w:tcPr>
            <w:tcW w:w="688" w:type="pct"/>
            <w:tcBorders>
              <w:top w:val="nil"/>
              <w:left w:val="nil"/>
              <w:bottom w:val="nil"/>
              <w:right w:val="nil"/>
            </w:tcBorders>
            <w:shd w:val="clear" w:color="auto" w:fill="auto"/>
            <w:noWrap/>
            <w:vAlign w:val="center"/>
          </w:tcPr>
          <w:p w14:paraId="605A59A5">
            <w:pPr>
              <w:jc w:val="center"/>
              <w:rPr>
                <w:rFonts w:hint="default" w:ascii="Times New Roman" w:hAnsi="Times New Roman" w:eastAsia="宋体" w:cs="Times New Roman"/>
                <w:i w:val="0"/>
                <w:iCs w:val="0"/>
                <w:color w:val="auto"/>
                <w:sz w:val="20"/>
                <w:szCs w:val="20"/>
                <w:u w:val="none"/>
              </w:rPr>
            </w:pPr>
          </w:p>
        </w:tc>
        <w:tc>
          <w:tcPr>
            <w:tcW w:w="366" w:type="pct"/>
            <w:tcBorders>
              <w:top w:val="nil"/>
              <w:left w:val="nil"/>
              <w:bottom w:val="nil"/>
              <w:right w:val="nil"/>
            </w:tcBorders>
            <w:shd w:val="clear" w:color="auto" w:fill="auto"/>
            <w:noWrap/>
            <w:vAlign w:val="center"/>
          </w:tcPr>
          <w:p w14:paraId="5EA94C3E">
            <w:pPr>
              <w:jc w:val="center"/>
              <w:rPr>
                <w:rFonts w:hint="default" w:ascii="Times New Roman" w:hAnsi="Times New Roman" w:eastAsia="宋体" w:cs="Times New Roman"/>
                <w:i w:val="0"/>
                <w:iCs w:val="0"/>
                <w:color w:val="auto"/>
                <w:sz w:val="20"/>
                <w:szCs w:val="20"/>
                <w:u w:val="none"/>
              </w:rPr>
            </w:pPr>
          </w:p>
        </w:tc>
        <w:tc>
          <w:tcPr>
            <w:tcW w:w="355" w:type="pct"/>
            <w:tcBorders>
              <w:top w:val="nil"/>
              <w:left w:val="nil"/>
              <w:bottom w:val="nil"/>
              <w:right w:val="nil"/>
            </w:tcBorders>
            <w:shd w:val="clear" w:color="auto" w:fill="auto"/>
            <w:noWrap/>
            <w:vAlign w:val="center"/>
          </w:tcPr>
          <w:p w14:paraId="76C48BBA">
            <w:pPr>
              <w:jc w:val="center"/>
              <w:rPr>
                <w:rFonts w:hint="default" w:ascii="Times New Roman" w:hAnsi="Times New Roman" w:eastAsia="宋体" w:cs="Times New Roman"/>
                <w:i w:val="0"/>
                <w:iCs w:val="0"/>
                <w:color w:val="auto"/>
                <w:sz w:val="20"/>
                <w:szCs w:val="20"/>
                <w:u w:val="none"/>
              </w:rPr>
            </w:pPr>
          </w:p>
        </w:tc>
        <w:tc>
          <w:tcPr>
            <w:tcW w:w="402" w:type="pct"/>
            <w:tcBorders>
              <w:top w:val="nil"/>
              <w:left w:val="nil"/>
              <w:bottom w:val="nil"/>
              <w:right w:val="nil"/>
            </w:tcBorders>
            <w:shd w:val="clear" w:color="auto" w:fill="auto"/>
            <w:noWrap/>
            <w:vAlign w:val="center"/>
          </w:tcPr>
          <w:p w14:paraId="7452C892">
            <w:pPr>
              <w:jc w:val="center"/>
              <w:rPr>
                <w:rFonts w:hint="default" w:ascii="Times New Roman" w:hAnsi="Times New Roman" w:eastAsia="宋体" w:cs="Times New Roman"/>
                <w:i w:val="0"/>
                <w:iCs w:val="0"/>
                <w:color w:val="auto"/>
                <w:sz w:val="20"/>
                <w:szCs w:val="20"/>
                <w:u w:val="none"/>
              </w:rPr>
            </w:pPr>
          </w:p>
        </w:tc>
        <w:tc>
          <w:tcPr>
            <w:tcW w:w="531" w:type="pct"/>
            <w:tcBorders>
              <w:top w:val="nil"/>
              <w:left w:val="nil"/>
              <w:bottom w:val="nil"/>
              <w:right w:val="nil"/>
            </w:tcBorders>
            <w:shd w:val="clear" w:color="auto" w:fill="auto"/>
            <w:noWrap/>
            <w:vAlign w:val="center"/>
          </w:tcPr>
          <w:p w14:paraId="777BD00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0.061</w:t>
            </w:r>
          </w:p>
        </w:tc>
      </w:tr>
      <w:tr w14:paraId="35B10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241A551E">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Complete</w:t>
            </w:r>
          </w:p>
        </w:tc>
        <w:tc>
          <w:tcPr>
            <w:tcW w:w="349" w:type="pct"/>
            <w:tcBorders>
              <w:top w:val="nil"/>
              <w:left w:val="nil"/>
              <w:bottom w:val="nil"/>
              <w:right w:val="nil"/>
            </w:tcBorders>
            <w:shd w:val="clear" w:color="auto" w:fill="auto"/>
            <w:noWrap/>
            <w:vAlign w:val="center"/>
          </w:tcPr>
          <w:p w14:paraId="70075C5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480</w:t>
            </w:r>
          </w:p>
        </w:tc>
        <w:tc>
          <w:tcPr>
            <w:tcW w:w="404" w:type="pct"/>
            <w:tcBorders>
              <w:top w:val="nil"/>
              <w:left w:val="nil"/>
              <w:bottom w:val="nil"/>
              <w:right w:val="nil"/>
            </w:tcBorders>
            <w:shd w:val="clear" w:color="auto" w:fill="auto"/>
            <w:noWrap/>
            <w:vAlign w:val="center"/>
          </w:tcPr>
          <w:p w14:paraId="0D9740C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40.9</w:t>
            </w:r>
          </w:p>
        </w:tc>
        <w:tc>
          <w:tcPr>
            <w:tcW w:w="559" w:type="pct"/>
            <w:tcBorders>
              <w:top w:val="nil"/>
              <w:left w:val="nil"/>
              <w:bottom w:val="nil"/>
              <w:right w:val="nil"/>
            </w:tcBorders>
            <w:shd w:val="clear" w:color="auto" w:fill="auto"/>
            <w:noWrap/>
            <w:vAlign w:val="center"/>
          </w:tcPr>
          <w:p w14:paraId="78A4F84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202</w:t>
            </w:r>
          </w:p>
        </w:tc>
        <w:tc>
          <w:tcPr>
            <w:tcW w:w="559" w:type="pct"/>
            <w:tcBorders>
              <w:top w:val="nil"/>
              <w:left w:val="nil"/>
              <w:bottom w:val="nil"/>
              <w:right w:val="nil"/>
            </w:tcBorders>
            <w:shd w:val="clear" w:color="auto" w:fill="auto"/>
            <w:noWrap/>
            <w:vAlign w:val="center"/>
          </w:tcPr>
          <w:p w14:paraId="322E9FB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278</w:t>
            </w:r>
          </w:p>
        </w:tc>
        <w:tc>
          <w:tcPr>
            <w:tcW w:w="688" w:type="pct"/>
            <w:tcBorders>
              <w:top w:val="nil"/>
              <w:left w:val="nil"/>
              <w:bottom w:val="nil"/>
              <w:right w:val="nil"/>
            </w:tcBorders>
            <w:shd w:val="clear" w:color="auto" w:fill="auto"/>
            <w:noWrap/>
            <w:vAlign w:val="center"/>
          </w:tcPr>
          <w:p w14:paraId="3624373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w:t>
            </w:r>
          </w:p>
        </w:tc>
        <w:tc>
          <w:tcPr>
            <w:tcW w:w="366" w:type="pct"/>
            <w:tcBorders>
              <w:top w:val="nil"/>
              <w:left w:val="nil"/>
              <w:bottom w:val="nil"/>
              <w:right w:val="nil"/>
            </w:tcBorders>
            <w:shd w:val="clear" w:color="auto" w:fill="auto"/>
            <w:noWrap/>
            <w:vAlign w:val="center"/>
          </w:tcPr>
          <w:p w14:paraId="609E428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w:t>
            </w:r>
          </w:p>
        </w:tc>
        <w:tc>
          <w:tcPr>
            <w:tcW w:w="355" w:type="pct"/>
            <w:tcBorders>
              <w:top w:val="nil"/>
              <w:left w:val="nil"/>
              <w:bottom w:val="nil"/>
              <w:right w:val="nil"/>
            </w:tcBorders>
            <w:shd w:val="clear" w:color="auto" w:fill="auto"/>
            <w:noWrap/>
            <w:vAlign w:val="center"/>
          </w:tcPr>
          <w:p w14:paraId="77860B9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1.69</w:t>
            </w:r>
          </w:p>
        </w:tc>
        <w:tc>
          <w:tcPr>
            <w:tcW w:w="402" w:type="pct"/>
            <w:tcBorders>
              <w:top w:val="nil"/>
              <w:left w:val="nil"/>
              <w:bottom w:val="nil"/>
              <w:right w:val="nil"/>
            </w:tcBorders>
            <w:shd w:val="clear" w:color="auto" w:fill="auto"/>
            <w:noWrap/>
            <w:vAlign w:val="center"/>
          </w:tcPr>
          <w:p w14:paraId="4CF3A27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0.05</w:t>
            </w:r>
          </w:p>
        </w:tc>
        <w:tc>
          <w:tcPr>
            <w:tcW w:w="531" w:type="pct"/>
            <w:tcBorders>
              <w:top w:val="nil"/>
              <w:left w:val="nil"/>
              <w:bottom w:val="nil"/>
              <w:right w:val="nil"/>
            </w:tcBorders>
            <w:shd w:val="clear" w:color="auto" w:fill="auto"/>
            <w:noWrap/>
            <w:vAlign w:val="center"/>
          </w:tcPr>
          <w:p w14:paraId="32DA18BB">
            <w:pPr>
              <w:jc w:val="center"/>
              <w:rPr>
                <w:rFonts w:hint="default" w:ascii="Times New Roman" w:hAnsi="Times New Roman" w:eastAsia="宋体" w:cs="Times New Roman"/>
                <w:i w:val="0"/>
                <w:iCs w:val="0"/>
                <w:color w:val="auto"/>
                <w:sz w:val="20"/>
                <w:szCs w:val="20"/>
                <w:u w:val="none"/>
              </w:rPr>
            </w:pPr>
          </w:p>
        </w:tc>
      </w:tr>
      <w:tr w14:paraId="22FE7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090359BE">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Incomplete</w:t>
            </w:r>
          </w:p>
        </w:tc>
        <w:tc>
          <w:tcPr>
            <w:tcW w:w="349" w:type="pct"/>
            <w:tcBorders>
              <w:top w:val="nil"/>
              <w:left w:val="nil"/>
              <w:bottom w:val="nil"/>
              <w:right w:val="nil"/>
            </w:tcBorders>
            <w:shd w:val="clear" w:color="auto" w:fill="auto"/>
            <w:noWrap/>
            <w:vAlign w:val="center"/>
          </w:tcPr>
          <w:p w14:paraId="3A5FBC1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694</w:t>
            </w:r>
          </w:p>
        </w:tc>
        <w:tc>
          <w:tcPr>
            <w:tcW w:w="404" w:type="pct"/>
            <w:tcBorders>
              <w:top w:val="nil"/>
              <w:left w:val="nil"/>
              <w:bottom w:val="nil"/>
              <w:right w:val="nil"/>
            </w:tcBorders>
            <w:shd w:val="clear" w:color="auto" w:fill="auto"/>
            <w:noWrap/>
            <w:vAlign w:val="center"/>
          </w:tcPr>
          <w:p w14:paraId="33C6FD9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59.1</w:t>
            </w:r>
          </w:p>
        </w:tc>
        <w:tc>
          <w:tcPr>
            <w:tcW w:w="559" w:type="pct"/>
            <w:tcBorders>
              <w:top w:val="nil"/>
              <w:left w:val="nil"/>
              <w:bottom w:val="nil"/>
              <w:right w:val="nil"/>
            </w:tcBorders>
            <w:shd w:val="clear" w:color="auto" w:fill="auto"/>
            <w:noWrap/>
            <w:vAlign w:val="center"/>
          </w:tcPr>
          <w:p w14:paraId="30107E1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244</w:t>
            </w:r>
          </w:p>
        </w:tc>
        <w:tc>
          <w:tcPr>
            <w:tcW w:w="559" w:type="pct"/>
            <w:tcBorders>
              <w:top w:val="nil"/>
              <w:left w:val="nil"/>
              <w:bottom w:val="nil"/>
              <w:right w:val="nil"/>
            </w:tcBorders>
            <w:shd w:val="clear" w:color="auto" w:fill="auto"/>
            <w:noWrap/>
            <w:vAlign w:val="center"/>
          </w:tcPr>
          <w:p w14:paraId="1430073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450</w:t>
            </w:r>
          </w:p>
        </w:tc>
        <w:tc>
          <w:tcPr>
            <w:tcW w:w="688" w:type="pct"/>
            <w:tcBorders>
              <w:top w:val="nil"/>
              <w:left w:val="nil"/>
              <w:bottom w:val="nil"/>
              <w:right w:val="nil"/>
            </w:tcBorders>
            <w:shd w:val="clear" w:color="auto" w:fill="auto"/>
            <w:noWrap/>
            <w:vAlign w:val="center"/>
          </w:tcPr>
          <w:p w14:paraId="621F81C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1.79</w:t>
            </w:r>
          </w:p>
        </w:tc>
        <w:tc>
          <w:tcPr>
            <w:tcW w:w="366" w:type="pct"/>
            <w:tcBorders>
              <w:top w:val="nil"/>
              <w:left w:val="nil"/>
              <w:bottom w:val="nil"/>
              <w:right w:val="nil"/>
            </w:tcBorders>
            <w:shd w:val="clear" w:color="auto" w:fill="auto"/>
            <w:noWrap/>
            <w:vAlign w:val="center"/>
          </w:tcPr>
          <w:p w14:paraId="5E6908D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1.45</w:t>
            </w:r>
          </w:p>
        </w:tc>
        <w:tc>
          <w:tcPr>
            <w:tcW w:w="355" w:type="pct"/>
            <w:tcBorders>
              <w:top w:val="nil"/>
              <w:left w:val="nil"/>
              <w:bottom w:val="nil"/>
              <w:right w:val="nil"/>
            </w:tcBorders>
            <w:shd w:val="clear" w:color="auto" w:fill="auto"/>
            <w:noWrap/>
            <w:vAlign w:val="center"/>
          </w:tcPr>
          <w:p w14:paraId="35A382F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2.2</w:t>
            </w:r>
          </w:p>
        </w:tc>
        <w:tc>
          <w:tcPr>
            <w:tcW w:w="402" w:type="pct"/>
            <w:tcBorders>
              <w:top w:val="nil"/>
              <w:left w:val="nil"/>
              <w:bottom w:val="nil"/>
              <w:right w:val="nil"/>
            </w:tcBorders>
            <w:shd w:val="clear" w:color="auto" w:fill="auto"/>
            <w:noWrap/>
            <w:vAlign w:val="center"/>
          </w:tcPr>
          <w:p w14:paraId="0E80599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531" w:type="pct"/>
            <w:tcBorders>
              <w:top w:val="nil"/>
              <w:left w:val="nil"/>
              <w:bottom w:val="nil"/>
              <w:right w:val="nil"/>
            </w:tcBorders>
            <w:shd w:val="clear" w:color="auto" w:fill="auto"/>
            <w:noWrap/>
            <w:vAlign w:val="center"/>
          </w:tcPr>
          <w:p w14:paraId="7C1F0E35">
            <w:pPr>
              <w:jc w:val="center"/>
              <w:rPr>
                <w:rFonts w:hint="default" w:ascii="Times New Roman" w:hAnsi="Times New Roman" w:eastAsia="宋体" w:cs="Times New Roman"/>
                <w:i w:val="0"/>
                <w:iCs w:val="0"/>
                <w:color w:val="auto"/>
                <w:sz w:val="20"/>
                <w:szCs w:val="20"/>
                <w:u w:val="none"/>
              </w:rPr>
            </w:pPr>
          </w:p>
        </w:tc>
      </w:tr>
      <w:tr w14:paraId="657F0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20BA4D50">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Albumin</w:t>
            </w:r>
          </w:p>
        </w:tc>
        <w:tc>
          <w:tcPr>
            <w:tcW w:w="349" w:type="pct"/>
            <w:tcBorders>
              <w:top w:val="nil"/>
              <w:left w:val="nil"/>
              <w:bottom w:val="nil"/>
              <w:right w:val="nil"/>
            </w:tcBorders>
            <w:shd w:val="clear" w:color="auto" w:fill="auto"/>
            <w:noWrap/>
            <w:vAlign w:val="center"/>
          </w:tcPr>
          <w:p w14:paraId="46A0229E">
            <w:pPr>
              <w:jc w:val="center"/>
              <w:rPr>
                <w:rFonts w:hint="default" w:ascii="Times New Roman" w:hAnsi="Times New Roman" w:eastAsia="宋体" w:cs="Times New Roman"/>
                <w:i w:val="0"/>
                <w:iCs w:val="0"/>
                <w:color w:val="auto"/>
                <w:sz w:val="20"/>
                <w:szCs w:val="20"/>
                <w:u w:val="none"/>
              </w:rPr>
            </w:pPr>
          </w:p>
        </w:tc>
        <w:tc>
          <w:tcPr>
            <w:tcW w:w="404" w:type="pct"/>
            <w:tcBorders>
              <w:top w:val="nil"/>
              <w:left w:val="nil"/>
              <w:bottom w:val="nil"/>
              <w:right w:val="nil"/>
            </w:tcBorders>
            <w:shd w:val="clear" w:color="auto" w:fill="auto"/>
            <w:noWrap/>
            <w:vAlign w:val="center"/>
          </w:tcPr>
          <w:p w14:paraId="77A737F6">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5E531DB3">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498511EC">
            <w:pPr>
              <w:jc w:val="center"/>
              <w:rPr>
                <w:rFonts w:hint="default" w:ascii="Times New Roman" w:hAnsi="Times New Roman" w:eastAsia="宋体" w:cs="Times New Roman"/>
                <w:i w:val="0"/>
                <w:iCs w:val="0"/>
                <w:color w:val="auto"/>
                <w:sz w:val="20"/>
                <w:szCs w:val="20"/>
                <w:u w:val="none"/>
              </w:rPr>
            </w:pPr>
          </w:p>
        </w:tc>
        <w:tc>
          <w:tcPr>
            <w:tcW w:w="688" w:type="pct"/>
            <w:tcBorders>
              <w:top w:val="nil"/>
              <w:left w:val="nil"/>
              <w:bottom w:val="nil"/>
              <w:right w:val="nil"/>
            </w:tcBorders>
            <w:shd w:val="clear" w:color="auto" w:fill="auto"/>
            <w:noWrap/>
            <w:vAlign w:val="center"/>
          </w:tcPr>
          <w:p w14:paraId="5EA25787">
            <w:pPr>
              <w:jc w:val="center"/>
              <w:rPr>
                <w:rFonts w:hint="default" w:ascii="Times New Roman" w:hAnsi="Times New Roman" w:eastAsia="宋体" w:cs="Times New Roman"/>
                <w:i w:val="0"/>
                <w:iCs w:val="0"/>
                <w:color w:val="auto"/>
                <w:sz w:val="20"/>
                <w:szCs w:val="20"/>
                <w:u w:val="none"/>
              </w:rPr>
            </w:pPr>
          </w:p>
        </w:tc>
        <w:tc>
          <w:tcPr>
            <w:tcW w:w="366" w:type="pct"/>
            <w:tcBorders>
              <w:top w:val="nil"/>
              <w:left w:val="nil"/>
              <w:bottom w:val="nil"/>
              <w:right w:val="nil"/>
            </w:tcBorders>
            <w:shd w:val="clear" w:color="auto" w:fill="auto"/>
            <w:noWrap/>
            <w:vAlign w:val="center"/>
          </w:tcPr>
          <w:p w14:paraId="7B37AB38">
            <w:pPr>
              <w:jc w:val="center"/>
              <w:rPr>
                <w:rFonts w:hint="default" w:ascii="Times New Roman" w:hAnsi="Times New Roman" w:eastAsia="宋体" w:cs="Times New Roman"/>
                <w:i w:val="0"/>
                <w:iCs w:val="0"/>
                <w:color w:val="auto"/>
                <w:sz w:val="20"/>
                <w:szCs w:val="20"/>
                <w:u w:val="none"/>
              </w:rPr>
            </w:pPr>
          </w:p>
        </w:tc>
        <w:tc>
          <w:tcPr>
            <w:tcW w:w="355" w:type="pct"/>
            <w:tcBorders>
              <w:top w:val="nil"/>
              <w:left w:val="nil"/>
              <w:bottom w:val="nil"/>
              <w:right w:val="nil"/>
            </w:tcBorders>
            <w:shd w:val="clear" w:color="auto" w:fill="auto"/>
            <w:noWrap/>
            <w:vAlign w:val="center"/>
          </w:tcPr>
          <w:p w14:paraId="64C3773D">
            <w:pPr>
              <w:jc w:val="center"/>
              <w:rPr>
                <w:rFonts w:hint="default" w:ascii="Times New Roman" w:hAnsi="Times New Roman" w:eastAsia="宋体" w:cs="Times New Roman"/>
                <w:i w:val="0"/>
                <w:iCs w:val="0"/>
                <w:color w:val="auto"/>
                <w:sz w:val="20"/>
                <w:szCs w:val="20"/>
                <w:u w:val="none"/>
              </w:rPr>
            </w:pPr>
          </w:p>
        </w:tc>
        <w:tc>
          <w:tcPr>
            <w:tcW w:w="402" w:type="pct"/>
            <w:tcBorders>
              <w:top w:val="nil"/>
              <w:left w:val="nil"/>
              <w:bottom w:val="nil"/>
              <w:right w:val="nil"/>
            </w:tcBorders>
            <w:shd w:val="clear" w:color="auto" w:fill="auto"/>
            <w:noWrap/>
            <w:vAlign w:val="center"/>
          </w:tcPr>
          <w:p w14:paraId="34828C97">
            <w:pPr>
              <w:jc w:val="center"/>
              <w:rPr>
                <w:rFonts w:hint="default" w:ascii="Times New Roman" w:hAnsi="Times New Roman" w:eastAsia="宋体" w:cs="Times New Roman"/>
                <w:i w:val="0"/>
                <w:iCs w:val="0"/>
                <w:color w:val="auto"/>
                <w:sz w:val="20"/>
                <w:szCs w:val="20"/>
                <w:u w:val="none"/>
              </w:rPr>
            </w:pPr>
          </w:p>
        </w:tc>
        <w:tc>
          <w:tcPr>
            <w:tcW w:w="531" w:type="pct"/>
            <w:tcBorders>
              <w:top w:val="nil"/>
              <w:left w:val="nil"/>
              <w:bottom w:val="nil"/>
              <w:right w:val="nil"/>
            </w:tcBorders>
            <w:shd w:val="clear" w:color="auto" w:fill="auto"/>
            <w:noWrap/>
            <w:vAlign w:val="center"/>
          </w:tcPr>
          <w:p w14:paraId="751C0F9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0.237</w:t>
            </w:r>
          </w:p>
        </w:tc>
      </w:tr>
      <w:tr w14:paraId="0745E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62B4E362">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&lt;35 g/L</w:t>
            </w:r>
          </w:p>
        </w:tc>
        <w:tc>
          <w:tcPr>
            <w:tcW w:w="705" w:type="dxa"/>
            <w:tcBorders>
              <w:top w:val="nil"/>
              <w:left w:val="nil"/>
              <w:bottom w:val="nil"/>
              <w:right w:val="nil"/>
            </w:tcBorders>
            <w:shd w:val="clear" w:color="auto" w:fill="auto"/>
            <w:noWrap/>
            <w:vAlign w:val="center"/>
          </w:tcPr>
          <w:p w14:paraId="342F3F4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105</w:t>
            </w:r>
          </w:p>
        </w:tc>
        <w:tc>
          <w:tcPr>
            <w:tcW w:w="816" w:type="dxa"/>
            <w:tcBorders>
              <w:top w:val="nil"/>
              <w:left w:val="nil"/>
              <w:bottom w:val="nil"/>
              <w:right w:val="nil"/>
            </w:tcBorders>
            <w:shd w:val="clear" w:color="auto" w:fill="auto"/>
            <w:noWrap/>
            <w:vAlign w:val="center"/>
          </w:tcPr>
          <w:p w14:paraId="330C7FD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8.9</w:t>
            </w:r>
          </w:p>
        </w:tc>
        <w:tc>
          <w:tcPr>
            <w:tcW w:w="1128" w:type="dxa"/>
            <w:tcBorders>
              <w:top w:val="nil"/>
              <w:left w:val="nil"/>
              <w:bottom w:val="nil"/>
              <w:right w:val="nil"/>
            </w:tcBorders>
            <w:shd w:val="clear" w:color="auto" w:fill="auto"/>
            <w:noWrap/>
            <w:vAlign w:val="center"/>
          </w:tcPr>
          <w:p w14:paraId="1E526CF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26</w:t>
            </w:r>
          </w:p>
        </w:tc>
        <w:tc>
          <w:tcPr>
            <w:tcW w:w="1128" w:type="dxa"/>
            <w:tcBorders>
              <w:top w:val="nil"/>
              <w:left w:val="nil"/>
              <w:bottom w:val="nil"/>
              <w:right w:val="nil"/>
            </w:tcBorders>
            <w:shd w:val="clear" w:color="auto" w:fill="auto"/>
            <w:noWrap/>
            <w:vAlign w:val="center"/>
          </w:tcPr>
          <w:p w14:paraId="5EDAE0D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79</w:t>
            </w:r>
          </w:p>
        </w:tc>
        <w:tc>
          <w:tcPr>
            <w:tcW w:w="1387" w:type="dxa"/>
            <w:tcBorders>
              <w:top w:val="nil"/>
              <w:left w:val="nil"/>
              <w:bottom w:val="nil"/>
              <w:right w:val="nil"/>
            </w:tcBorders>
            <w:shd w:val="clear" w:color="auto" w:fill="auto"/>
            <w:noWrap/>
            <w:vAlign w:val="center"/>
          </w:tcPr>
          <w:p w14:paraId="23B4F42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2.59</w:t>
            </w:r>
          </w:p>
        </w:tc>
        <w:tc>
          <w:tcPr>
            <w:tcW w:w="738" w:type="dxa"/>
            <w:tcBorders>
              <w:top w:val="nil"/>
              <w:left w:val="nil"/>
              <w:bottom w:val="nil"/>
              <w:right w:val="nil"/>
            </w:tcBorders>
            <w:shd w:val="clear" w:color="auto" w:fill="auto"/>
            <w:noWrap/>
            <w:vAlign w:val="center"/>
          </w:tcPr>
          <w:p w14:paraId="27E434A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1.1</w:t>
            </w:r>
          </w:p>
        </w:tc>
        <w:tc>
          <w:tcPr>
            <w:tcW w:w="716" w:type="dxa"/>
            <w:tcBorders>
              <w:top w:val="nil"/>
              <w:left w:val="nil"/>
              <w:bottom w:val="nil"/>
              <w:right w:val="nil"/>
            </w:tcBorders>
            <w:shd w:val="clear" w:color="auto" w:fill="auto"/>
            <w:noWrap/>
            <w:vAlign w:val="center"/>
          </w:tcPr>
          <w:p w14:paraId="317F7F5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6.13</w:t>
            </w:r>
          </w:p>
        </w:tc>
        <w:tc>
          <w:tcPr>
            <w:tcW w:w="811" w:type="dxa"/>
            <w:tcBorders>
              <w:top w:val="nil"/>
              <w:left w:val="nil"/>
              <w:bottom w:val="nil"/>
              <w:right w:val="nil"/>
            </w:tcBorders>
            <w:shd w:val="clear" w:color="auto" w:fill="auto"/>
            <w:noWrap/>
            <w:vAlign w:val="center"/>
          </w:tcPr>
          <w:p w14:paraId="2A649CA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0.03</w:t>
            </w:r>
          </w:p>
        </w:tc>
        <w:tc>
          <w:tcPr>
            <w:tcW w:w="531" w:type="pct"/>
            <w:tcBorders>
              <w:top w:val="nil"/>
              <w:left w:val="nil"/>
              <w:bottom w:val="nil"/>
              <w:right w:val="nil"/>
            </w:tcBorders>
            <w:shd w:val="clear" w:color="auto" w:fill="auto"/>
            <w:noWrap/>
            <w:vAlign w:val="center"/>
          </w:tcPr>
          <w:p w14:paraId="0A74FC15">
            <w:pPr>
              <w:jc w:val="center"/>
              <w:rPr>
                <w:rFonts w:hint="default" w:ascii="Times New Roman" w:hAnsi="Times New Roman" w:eastAsia="宋体" w:cs="Times New Roman"/>
                <w:i w:val="0"/>
                <w:iCs w:val="0"/>
                <w:color w:val="auto"/>
                <w:sz w:val="20"/>
                <w:szCs w:val="20"/>
                <w:u w:val="none"/>
              </w:rPr>
            </w:pPr>
          </w:p>
        </w:tc>
      </w:tr>
      <w:tr w14:paraId="47358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35EDE37F">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≥35 g/L</w:t>
            </w:r>
          </w:p>
        </w:tc>
        <w:tc>
          <w:tcPr>
            <w:tcW w:w="705" w:type="dxa"/>
            <w:tcBorders>
              <w:top w:val="nil"/>
              <w:left w:val="nil"/>
              <w:bottom w:val="nil"/>
              <w:right w:val="nil"/>
            </w:tcBorders>
            <w:shd w:val="clear" w:color="auto" w:fill="auto"/>
            <w:noWrap/>
            <w:vAlign w:val="center"/>
          </w:tcPr>
          <w:p w14:paraId="4541F76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1069</w:t>
            </w:r>
          </w:p>
        </w:tc>
        <w:tc>
          <w:tcPr>
            <w:tcW w:w="816" w:type="dxa"/>
            <w:tcBorders>
              <w:top w:val="nil"/>
              <w:left w:val="nil"/>
              <w:bottom w:val="nil"/>
              <w:right w:val="nil"/>
            </w:tcBorders>
            <w:shd w:val="clear" w:color="auto" w:fill="auto"/>
            <w:noWrap/>
            <w:vAlign w:val="center"/>
          </w:tcPr>
          <w:p w14:paraId="59ABEE1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91.1</w:t>
            </w:r>
          </w:p>
        </w:tc>
        <w:tc>
          <w:tcPr>
            <w:tcW w:w="1128" w:type="dxa"/>
            <w:tcBorders>
              <w:top w:val="nil"/>
              <w:left w:val="nil"/>
              <w:bottom w:val="nil"/>
              <w:right w:val="nil"/>
            </w:tcBorders>
            <w:shd w:val="clear" w:color="auto" w:fill="auto"/>
            <w:noWrap/>
            <w:vAlign w:val="center"/>
          </w:tcPr>
          <w:p w14:paraId="26C8DC9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420</w:t>
            </w:r>
          </w:p>
        </w:tc>
        <w:tc>
          <w:tcPr>
            <w:tcW w:w="1128" w:type="dxa"/>
            <w:tcBorders>
              <w:top w:val="nil"/>
              <w:left w:val="nil"/>
              <w:bottom w:val="nil"/>
              <w:right w:val="nil"/>
            </w:tcBorders>
            <w:shd w:val="clear" w:color="auto" w:fill="auto"/>
            <w:noWrap/>
            <w:vAlign w:val="center"/>
          </w:tcPr>
          <w:p w14:paraId="05CB7A9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649</w:t>
            </w:r>
          </w:p>
        </w:tc>
        <w:tc>
          <w:tcPr>
            <w:tcW w:w="1387" w:type="dxa"/>
            <w:tcBorders>
              <w:top w:val="nil"/>
              <w:left w:val="nil"/>
              <w:bottom w:val="nil"/>
              <w:right w:val="nil"/>
            </w:tcBorders>
            <w:shd w:val="clear" w:color="auto" w:fill="auto"/>
            <w:noWrap/>
            <w:vAlign w:val="center"/>
          </w:tcPr>
          <w:p w14:paraId="109FFFD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1.59</w:t>
            </w:r>
          </w:p>
        </w:tc>
        <w:tc>
          <w:tcPr>
            <w:tcW w:w="738" w:type="dxa"/>
            <w:tcBorders>
              <w:top w:val="nil"/>
              <w:left w:val="nil"/>
              <w:bottom w:val="nil"/>
              <w:right w:val="nil"/>
            </w:tcBorders>
            <w:shd w:val="clear" w:color="auto" w:fill="auto"/>
            <w:noWrap/>
            <w:vAlign w:val="center"/>
          </w:tcPr>
          <w:p w14:paraId="73986BA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1.35</w:t>
            </w:r>
          </w:p>
        </w:tc>
        <w:tc>
          <w:tcPr>
            <w:tcW w:w="716" w:type="dxa"/>
            <w:tcBorders>
              <w:top w:val="nil"/>
              <w:left w:val="nil"/>
              <w:bottom w:val="nil"/>
              <w:right w:val="nil"/>
            </w:tcBorders>
            <w:shd w:val="clear" w:color="auto" w:fill="auto"/>
            <w:noWrap/>
            <w:vAlign w:val="center"/>
          </w:tcPr>
          <w:p w14:paraId="4EB7750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1.88</w:t>
            </w:r>
          </w:p>
        </w:tc>
        <w:tc>
          <w:tcPr>
            <w:tcW w:w="811" w:type="dxa"/>
            <w:tcBorders>
              <w:top w:val="nil"/>
              <w:left w:val="nil"/>
              <w:bottom w:val="nil"/>
              <w:right w:val="nil"/>
            </w:tcBorders>
            <w:shd w:val="clear" w:color="auto" w:fill="auto"/>
            <w:noWrap/>
            <w:vAlign w:val="center"/>
          </w:tcPr>
          <w:p w14:paraId="7A0D437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531" w:type="pct"/>
            <w:tcBorders>
              <w:top w:val="nil"/>
              <w:left w:val="nil"/>
              <w:bottom w:val="nil"/>
              <w:right w:val="nil"/>
            </w:tcBorders>
            <w:shd w:val="clear" w:color="auto" w:fill="auto"/>
            <w:noWrap/>
            <w:vAlign w:val="center"/>
          </w:tcPr>
          <w:p w14:paraId="3A68CDFD">
            <w:pPr>
              <w:jc w:val="center"/>
              <w:rPr>
                <w:rFonts w:hint="default" w:ascii="Times New Roman" w:hAnsi="Times New Roman" w:eastAsia="宋体" w:cs="Times New Roman"/>
                <w:i w:val="0"/>
                <w:iCs w:val="0"/>
                <w:color w:val="auto"/>
                <w:sz w:val="20"/>
                <w:szCs w:val="20"/>
                <w:u w:val="none"/>
              </w:rPr>
            </w:pPr>
          </w:p>
        </w:tc>
      </w:tr>
      <w:tr w14:paraId="7034D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7EC68FA6">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PLT</w:t>
            </w:r>
          </w:p>
        </w:tc>
        <w:tc>
          <w:tcPr>
            <w:tcW w:w="349" w:type="pct"/>
            <w:tcBorders>
              <w:top w:val="nil"/>
              <w:left w:val="nil"/>
              <w:bottom w:val="nil"/>
              <w:right w:val="nil"/>
            </w:tcBorders>
            <w:shd w:val="clear" w:color="auto" w:fill="auto"/>
            <w:noWrap/>
            <w:vAlign w:val="center"/>
          </w:tcPr>
          <w:p w14:paraId="354202D7">
            <w:pPr>
              <w:jc w:val="center"/>
              <w:rPr>
                <w:rFonts w:hint="default" w:ascii="Times New Roman" w:hAnsi="Times New Roman" w:eastAsia="宋体" w:cs="Times New Roman"/>
                <w:i w:val="0"/>
                <w:iCs w:val="0"/>
                <w:color w:val="auto"/>
                <w:sz w:val="20"/>
                <w:szCs w:val="20"/>
                <w:u w:val="none"/>
              </w:rPr>
            </w:pPr>
          </w:p>
        </w:tc>
        <w:tc>
          <w:tcPr>
            <w:tcW w:w="404" w:type="pct"/>
            <w:tcBorders>
              <w:top w:val="nil"/>
              <w:left w:val="nil"/>
              <w:bottom w:val="nil"/>
              <w:right w:val="nil"/>
            </w:tcBorders>
            <w:shd w:val="clear" w:color="auto" w:fill="auto"/>
            <w:noWrap/>
            <w:vAlign w:val="center"/>
          </w:tcPr>
          <w:p w14:paraId="07E5B5E8">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2BA27D41">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36D57319">
            <w:pPr>
              <w:jc w:val="center"/>
              <w:rPr>
                <w:rFonts w:hint="default" w:ascii="Times New Roman" w:hAnsi="Times New Roman" w:eastAsia="宋体" w:cs="Times New Roman"/>
                <w:i w:val="0"/>
                <w:iCs w:val="0"/>
                <w:color w:val="auto"/>
                <w:sz w:val="20"/>
                <w:szCs w:val="20"/>
                <w:u w:val="none"/>
              </w:rPr>
            </w:pPr>
          </w:p>
        </w:tc>
        <w:tc>
          <w:tcPr>
            <w:tcW w:w="688" w:type="pct"/>
            <w:tcBorders>
              <w:top w:val="nil"/>
              <w:left w:val="nil"/>
              <w:bottom w:val="nil"/>
              <w:right w:val="nil"/>
            </w:tcBorders>
            <w:shd w:val="clear" w:color="auto" w:fill="auto"/>
            <w:noWrap/>
            <w:vAlign w:val="center"/>
          </w:tcPr>
          <w:p w14:paraId="794A5823">
            <w:pPr>
              <w:jc w:val="center"/>
              <w:rPr>
                <w:rFonts w:hint="default" w:ascii="Times New Roman" w:hAnsi="Times New Roman" w:eastAsia="宋体" w:cs="Times New Roman"/>
                <w:i w:val="0"/>
                <w:iCs w:val="0"/>
                <w:color w:val="auto"/>
                <w:sz w:val="20"/>
                <w:szCs w:val="20"/>
                <w:u w:val="none"/>
              </w:rPr>
            </w:pPr>
          </w:p>
        </w:tc>
        <w:tc>
          <w:tcPr>
            <w:tcW w:w="366" w:type="pct"/>
            <w:tcBorders>
              <w:top w:val="nil"/>
              <w:left w:val="nil"/>
              <w:bottom w:val="nil"/>
              <w:right w:val="nil"/>
            </w:tcBorders>
            <w:shd w:val="clear" w:color="auto" w:fill="auto"/>
            <w:noWrap/>
            <w:vAlign w:val="center"/>
          </w:tcPr>
          <w:p w14:paraId="1A9BD138">
            <w:pPr>
              <w:jc w:val="center"/>
              <w:rPr>
                <w:rFonts w:hint="default" w:ascii="Times New Roman" w:hAnsi="Times New Roman" w:eastAsia="宋体" w:cs="Times New Roman"/>
                <w:i w:val="0"/>
                <w:iCs w:val="0"/>
                <w:color w:val="auto"/>
                <w:sz w:val="20"/>
                <w:szCs w:val="20"/>
                <w:u w:val="none"/>
              </w:rPr>
            </w:pPr>
          </w:p>
        </w:tc>
        <w:tc>
          <w:tcPr>
            <w:tcW w:w="355" w:type="pct"/>
            <w:tcBorders>
              <w:top w:val="nil"/>
              <w:left w:val="nil"/>
              <w:bottom w:val="nil"/>
              <w:right w:val="nil"/>
            </w:tcBorders>
            <w:shd w:val="clear" w:color="auto" w:fill="auto"/>
            <w:noWrap/>
            <w:vAlign w:val="center"/>
          </w:tcPr>
          <w:p w14:paraId="51AD752F">
            <w:pPr>
              <w:jc w:val="center"/>
              <w:rPr>
                <w:rFonts w:hint="default" w:ascii="Times New Roman" w:hAnsi="Times New Roman" w:eastAsia="宋体" w:cs="Times New Roman"/>
                <w:i w:val="0"/>
                <w:iCs w:val="0"/>
                <w:color w:val="auto"/>
                <w:sz w:val="20"/>
                <w:szCs w:val="20"/>
                <w:u w:val="none"/>
              </w:rPr>
            </w:pPr>
          </w:p>
        </w:tc>
        <w:tc>
          <w:tcPr>
            <w:tcW w:w="402" w:type="pct"/>
            <w:tcBorders>
              <w:top w:val="nil"/>
              <w:left w:val="nil"/>
              <w:bottom w:val="nil"/>
              <w:right w:val="nil"/>
            </w:tcBorders>
            <w:shd w:val="clear" w:color="auto" w:fill="auto"/>
            <w:noWrap/>
            <w:vAlign w:val="center"/>
          </w:tcPr>
          <w:p w14:paraId="3416BA36">
            <w:pPr>
              <w:jc w:val="center"/>
              <w:rPr>
                <w:rFonts w:hint="default" w:ascii="Times New Roman" w:hAnsi="Times New Roman" w:eastAsia="宋体" w:cs="Times New Roman"/>
                <w:i w:val="0"/>
                <w:iCs w:val="0"/>
                <w:color w:val="auto"/>
                <w:sz w:val="20"/>
                <w:szCs w:val="20"/>
                <w:u w:val="none"/>
              </w:rPr>
            </w:pPr>
          </w:p>
        </w:tc>
        <w:tc>
          <w:tcPr>
            <w:tcW w:w="531" w:type="pct"/>
            <w:tcBorders>
              <w:top w:val="nil"/>
              <w:left w:val="nil"/>
              <w:bottom w:val="nil"/>
              <w:right w:val="nil"/>
            </w:tcBorders>
            <w:shd w:val="clear" w:color="auto" w:fill="auto"/>
            <w:noWrap/>
            <w:vAlign w:val="center"/>
          </w:tcPr>
          <w:p w14:paraId="44AB370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default" w:ascii="Times New Roman" w:hAnsi="Times New Roman" w:eastAsia="宋体" w:cs="Times New Roman"/>
                <w:i w:val="0"/>
                <w:iCs w:val="0"/>
                <w:color w:val="auto"/>
                <w:kern w:val="0"/>
                <w:sz w:val="20"/>
                <w:szCs w:val="20"/>
                <w:u w:val="none"/>
                <w:lang w:val="en-US" w:eastAsia="zh-CN" w:bidi="ar"/>
              </w:rPr>
              <w:t>0.06</w:t>
            </w:r>
            <w:r>
              <w:rPr>
                <w:rFonts w:hint="eastAsia" w:ascii="Times New Roman" w:hAnsi="Times New Roman" w:eastAsia="宋体" w:cs="Times New Roman"/>
                <w:i w:val="0"/>
                <w:iCs w:val="0"/>
                <w:color w:val="auto"/>
                <w:kern w:val="0"/>
                <w:sz w:val="20"/>
                <w:szCs w:val="20"/>
                <w:u w:val="none"/>
                <w:lang w:val="en-US" w:eastAsia="zh-CN" w:bidi="ar"/>
              </w:rPr>
              <w:t>0</w:t>
            </w:r>
          </w:p>
        </w:tc>
      </w:tr>
      <w:tr w14:paraId="7006C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30AFA369">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&lt;100×10</w:t>
            </w:r>
            <w:r>
              <w:rPr>
                <w:rFonts w:hint="default" w:ascii="Times New Roman" w:hAnsi="Times New Roman" w:eastAsia="宋体" w:cs="Times New Roman"/>
                <w:i w:val="0"/>
                <w:iCs w:val="0"/>
                <w:color w:val="auto"/>
                <w:kern w:val="0"/>
                <w:sz w:val="20"/>
                <w:szCs w:val="20"/>
                <w:u w:val="none"/>
                <w:vertAlign w:val="superscript"/>
                <w:lang w:val="en-US" w:eastAsia="zh-CN" w:bidi="ar"/>
              </w:rPr>
              <w:t>9</w:t>
            </w:r>
            <w:r>
              <w:rPr>
                <w:rFonts w:hint="default" w:ascii="Times New Roman" w:hAnsi="Times New Roman" w:eastAsia="宋体" w:cs="Times New Roman"/>
                <w:i w:val="0"/>
                <w:iCs w:val="0"/>
                <w:color w:val="auto"/>
                <w:kern w:val="0"/>
                <w:sz w:val="20"/>
                <w:szCs w:val="20"/>
                <w:u w:val="none"/>
                <w:lang w:val="en-US" w:eastAsia="zh-CN" w:bidi="ar"/>
              </w:rPr>
              <w:t>/L</w:t>
            </w:r>
          </w:p>
        </w:tc>
        <w:tc>
          <w:tcPr>
            <w:tcW w:w="349" w:type="pct"/>
            <w:tcBorders>
              <w:top w:val="nil"/>
              <w:left w:val="nil"/>
              <w:bottom w:val="nil"/>
              <w:right w:val="nil"/>
            </w:tcBorders>
            <w:shd w:val="clear" w:color="auto" w:fill="auto"/>
            <w:noWrap/>
            <w:vAlign w:val="center"/>
          </w:tcPr>
          <w:p w14:paraId="6459772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142</w:t>
            </w:r>
          </w:p>
        </w:tc>
        <w:tc>
          <w:tcPr>
            <w:tcW w:w="404" w:type="pct"/>
            <w:tcBorders>
              <w:top w:val="nil"/>
              <w:left w:val="nil"/>
              <w:bottom w:val="nil"/>
              <w:right w:val="nil"/>
            </w:tcBorders>
            <w:shd w:val="clear" w:color="auto" w:fill="auto"/>
            <w:noWrap/>
            <w:vAlign w:val="center"/>
          </w:tcPr>
          <w:p w14:paraId="20096C8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12.1</w:t>
            </w:r>
          </w:p>
        </w:tc>
        <w:tc>
          <w:tcPr>
            <w:tcW w:w="559" w:type="pct"/>
            <w:tcBorders>
              <w:top w:val="nil"/>
              <w:left w:val="nil"/>
              <w:bottom w:val="nil"/>
              <w:right w:val="nil"/>
            </w:tcBorders>
            <w:shd w:val="clear" w:color="auto" w:fill="auto"/>
            <w:noWrap/>
            <w:vAlign w:val="center"/>
          </w:tcPr>
          <w:p w14:paraId="2A3EF4C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20</w:t>
            </w:r>
          </w:p>
        </w:tc>
        <w:tc>
          <w:tcPr>
            <w:tcW w:w="559" w:type="pct"/>
            <w:tcBorders>
              <w:top w:val="nil"/>
              <w:left w:val="nil"/>
              <w:bottom w:val="nil"/>
              <w:right w:val="nil"/>
            </w:tcBorders>
            <w:shd w:val="clear" w:color="auto" w:fill="auto"/>
            <w:noWrap/>
            <w:vAlign w:val="center"/>
          </w:tcPr>
          <w:p w14:paraId="263413E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122</w:t>
            </w:r>
          </w:p>
        </w:tc>
        <w:tc>
          <w:tcPr>
            <w:tcW w:w="688" w:type="pct"/>
            <w:tcBorders>
              <w:top w:val="nil"/>
              <w:left w:val="nil"/>
              <w:bottom w:val="nil"/>
              <w:right w:val="nil"/>
            </w:tcBorders>
            <w:shd w:val="clear" w:color="auto" w:fill="auto"/>
            <w:noWrap/>
            <w:vAlign w:val="center"/>
          </w:tcPr>
          <w:p w14:paraId="0679C5E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0.92</w:t>
            </w:r>
          </w:p>
        </w:tc>
        <w:tc>
          <w:tcPr>
            <w:tcW w:w="366" w:type="pct"/>
            <w:tcBorders>
              <w:top w:val="nil"/>
              <w:left w:val="nil"/>
              <w:bottom w:val="nil"/>
              <w:right w:val="nil"/>
            </w:tcBorders>
            <w:shd w:val="clear" w:color="auto" w:fill="auto"/>
            <w:noWrap/>
            <w:vAlign w:val="center"/>
          </w:tcPr>
          <w:p w14:paraId="5718382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0.49</w:t>
            </w:r>
          </w:p>
        </w:tc>
        <w:tc>
          <w:tcPr>
            <w:tcW w:w="355" w:type="pct"/>
            <w:tcBorders>
              <w:top w:val="nil"/>
              <w:left w:val="nil"/>
              <w:bottom w:val="nil"/>
              <w:right w:val="nil"/>
            </w:tcBorders>
            <w:shd w:val="clear" w:color="auto" w:fill="auto"/>
            <w:noWrap/>
            <w:vAlign w:val="center"/>
          </w:tcPr>
          <w:p w14:paraId="4DB5228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1.71</w:t>
            </w:r>
          </w:p>
        </w:tc>
        <w:tc>
          <w:tcPr>
            <w:tcW w:w="402" w:type="pct"/>
            <w:tcBorders>
              <w:top w:val="nil"/>
              <w:left w:val="nil"/>
              <w:bottom w:val="nil"/>
              <w:right w:val="nil"/>
            </w:tcBorders>
            <w:shd w:val="clear" w:color="auto" w:fill="auto"/>
            <w:noWrap/>
            <w:vAlign w:val="center"/>
          </w:tcPr>
          <w:p w14:paraId="149B504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0.784</w:t>
            </w:r>
          </w:p>
        </w:tc>
        <w:tc>
          <w:tcPr>
            <w:tcW w:w="531" w:type="pct"/>
            <w:tcBorders>
              <w:top w:val="nil"/>
              <w:left w:val="nil"/>
              <w:bottom w:val="nil"/>
              <w:right w:val="nil"/>
            </w:tcBorders>
            <w:shd w:val="clear" w:color="auto" w:fill="auto"/>
            <w:noWrap/>
            <w:vAlign w:val="center"/>
          </w:tcPr>
          <w:p w14:paraId="0A13D88F">
            <w:pPr>
              <w:jc w:val="center"/>
              <w:rPr>
                <w:rFonts w:hint="default" w:ascii="Times New Roman" w:hAnsi="Times New Roman" w:eastAsia="宋体" w:cs="Times New Roman"/>
                <w:i w:val="0"/>
                <w:iCs w:val="0"/>
                <w:color w:val="auto"/>
                <w:sz w:val="20"/>
                <w:szCs w:val="20"/>
                <w:u w:val="none"/>
              </w:rPr>
            </w:pPr>
          </w:p>
        </w:tc>
      </w:tr>
      <w:tr w14:paraId="2289F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7E5B597C">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≥100×10</w:t>
            </w:r>
            <w:r>
              <w:rPr>
                <w:rFonts w:hint="default" w:ascii="Times New Roman" w:hAnsi="Times New Roman" w:eastAsia="宋体" w:cs="Times New Roman"/>
                <w:i w:val="0"/>
                <w:iCs w:val="0"/>
                <w:color w:val="auto"/>
                <w:kern w:val="0"/>
                <w:sz w:val="20"/>
                <w:szCs w:val="20"/>
                <w:u w:val="none"/>
                <w:vertAlign w:val="superscript"/>
                <w:lang w:val="en-US" w:eastAsia="zh-CN" w:bidi="ar"/>
              </w:rPr>
              <w:t>9</w:t>
            </w:r>
            <w:r>
              <w:rPr>
                <w:rFonts w:hint="default" w:ascii="Times New Roman" w:hAnsi="Times New Roman" w:eastAsia="宋体" w:cs="Times New Roman"/>
                <w:i w:val="0"/>
                <w:iCs w:val="0"/>
                <w:color w:val="auto"/>
                <w:kern w:val="0"/>
                <w:sz w:val="20"/>
                <w:szCs w:val="20"/>
                <w:u w:val="none"/>
                <w:lang w:val="en-US" w:eastAsia="zh-CN" w:bidi="ar"/>
              </w:rPr>
              <w:t>/L</w:t>
            </w:r>
          </w:p>
        </w:tc>
        <w:tc>
          <w:tcPr>
            <w:tcW w:w="349" w:type="pct"/>
            <w:tcBorders>
              <w:top w:val="nil"/>
              <w:left w:val="nil"/>
              <w:bottom w:val="nil"/>
              <w:right w:val="nil"/>
            </w:tcBorders>
            <w:shd w:val="clear" w:color="auto" w:fill="auto"/>
            <w:noWrap/>
            <w:vAlign w:val="center"/>
          </w:tcPr>
          <w:p w14:paraId="1925036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1032</w:t>
            </w:r>
          </w:p>
        </w:tc>
        <w:tc>
          <w:tcPr>
            <w:tcW w:w="404" w:type="pct"/>
            <w:tcBorders>
              <w:top w:val="nil"/>
              <w:left w:val="nil"/>
              <w:bottom w:val="nil"/>
              <w:right w:val="nil"/>
            </w:tcBorders>
            <w:shd w:val="clear" w:color="auto" w:fill="auto"/>
            <w:noWrap/>
            <w:vAlign w:val="center"/>
          </w:tcPr>
          <w:p w14:paraId="06CD81E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87.9</w:t>
            </w:r>
          </w:p>
        </w:tc>
        <w:tc>
          <w:tcPr>
            <w:tcW w:w="559" w:type="pct"/>
            <w:tcBorders>
              <w:top w:val="nil"/>
              <w:left w:val="nil"/>
              <w:bottom w:val="nil"/>
              <w:right w:val="nil"/>
            </w:tcBorders>
            <w:shd w:val="clear" w:color="auto" w:fill="auto"/>
            <w:noWrap/>
            <w:vAlign w:val="center"/>
          </w:tcPr>
          <w:p w14:paraId="7E2E9D2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426</w:t>
            </w:r>
          </w:p>
        </w:tc>
        <w:tc>
          <w:tcPr>
            <w:tcW w:w="559" w:type="pct"/>
            <w:tcBorders>
              <w:top w:val="nil"/>
              <w:left w:val="nil"/>
              <w:bottom w:val="nil"/>
              <w:right w:val="nil"/>
            </w:tcBorders>
            <w:shd w:val="clear" w:color="auto" w:fill="auto"/>
            <w:noWrap/>
            <w:vAlign w:val="center"/>
          </w:tcPr>
          <w:p w14:paraId="3799C2E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606</w:t>
            </w:r>
          </w:p>
        </w:tc>
        <w:tc>
          <w:tcPr>
            <w:tcW w:w="688" w:type="pct"/>
            <w:tcBorders>
              <w:top w:val="nil"/>
              <w:left w:val="nil"/>
              <w:bottom w:val="nil"/>
              <w:right w:val="nil"/>
            </w:tcBorders>
            <w:shd w:val="clear" w:color="auto" w:fill="auto"/>
            <w:noWrap/>
            <w:vAlign w:val="center"/>
          </w:tcPr>
          <w:p w14:paraId="4454C33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1.77</w:t>
            </w:r>
          </w:p>
        </w:tc>
        <w:tc>
          <w:tcPr>
            <w:tcW w:w="366" w:type="pct"/>
            <w:tcBorders>
              <w:top w:val="nil"/>
              <w:left w:val="nil"/>
              <w:bottom w:val="nil"/>
              <w:right w:val="nil"/>
            </w:tcBorders>
            <w:shd w:val="clear" w:color="auto" w:fill="auto"/>
            <w:noWrap/>
            <w:vAlign w:val="center"/>
          </w:tcPr>
          <w:p w14:paraId="1C3DFC7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1.5</w:t>
            </w:r>
          </w:p>
        </w:tc>
        <w:tc>
          <w:tcPr>
            <w:tcW w:w="355" w:type="pct"/>
            <w:tcBorders>
              <w:top w:val="nil"/>
              <w:left w:val="nil"/>
              <w:bottom w:val="nil"/>
              <w:right w:val="nil"/>
            </w:tcBorders>
            <w:shd w:val="clear" w:color="auto" w:fill="auto"/>
            <w:noWrap/>
            <w:vAlign w:val="center"/>
          </w:tcPr>
          <w:p w14:paraId="5302F30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2.1</w:t>
            </w:r>
          </w:p>
        </w:tc>
        <w:tc>
          <w:tcPr>
            <w:tcW w:w="402" w:type="pct"/>
            <w:tcBorders>
              <w:top w:val="nil"/>
              <w:left w:val="nil"/>
              <w:bottom w:val="nil"/>
              <w:right w:val="nil"/>
            </w:tcBorders>
            <w:shd w:val="clear" w:color="auto" w:fill="auto"/>
            <w:noWrap/>
            <w:vAlign w:val="center"/>
          </w:tcPr>
          <w:p w14:paraId="02E4DA2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531" w:type="pct"/>
            <w:tcBorders>
              <w:top w:val="nil"/>
              <w:left w:val="nil"/>
              <w:bottom w:val="nil"/>
              <w:right w:val="nil"/>
            </w:tcBorders>
            <w:shd w:val="clear" w:color="auto" w:fill="auto"/>
            <w:noWrap/>
            <w:vAlign w:val="center"/>
          </w:tcPr>
          <w:p w14:paraId="7EE43571">
            <w:pPr>
              <w:jc w:val="center"/>
              <w:rPr>
                <w:rFonts w:hint="default" w:ascii="Times New Roman" w:hAnsi="Times New Roman" w:eastAsia="宋体" w:cs="Times New Roman"/>
                <w:i w:val="0"/>
                <w:iCs w:val="0"/>
                <w:color w:val="auto"/>
                <w:sz w:val="20"/>
                <w:szCs w:val="20"/>
                <w:u w:val="none"/>
              </w:rPr>
            </w:pPr>
          </w:p>
        </w:tc>
      </w:tr>
      <w:tr w14:paraId="54F53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3FFE0852">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APRI</w:t>
            </w:r>
          </w:p>
        </w:tc>
        <w:tc>
          <w:tcPr>
            <w:tcW w:w="349" w:type="pct"/>
            <w:tcBorders>
              <w:top w:val="nil"/>
              <w:left w:val="nil"/>
              <w:bottom w:val="nil"/>
              <w:right w:val="nil"/>
            </w:tcBorders>
            <w:shd w:val="clear" w:color="auto" w:fill="auto"/>
            <w:noWrap/>
            <w:vAlign w:val="center"/>
          </w:tcPr>
          <w:p w14:paraId="17290F59">
            <w:pPr>
              <w:jc w:val="center"/>
              <w:rPr>
                <w:rFonts w:hint="default" w:ascii="Times New Roman" w:hAnsi="Times New Roman" w:eastAsia="宋体" w:cs="Times New Roman"/>
                <w:i w:val="0"/>
                <w:iCs w:val="0"/>
                <w:color w:val="auto"/>
                <w:sz w:val="20"/>
                <w:szCs w:val="20"/>
                <w:u w:val="none"/>
              </w:rPr>
            </w:pPr>
          </w:p>
        </w:tc>
        <w:tc>
          <w:tcPr>
            <w:tcW w:w="404" w:type="pct"/>
            <w:tcBorders>
              <w:top w:val="nil"/>
              <w:left w:val="nil"/>
              <w:bottom w:val="nil"/>
              <w:right w:val="nil"/>
            </w:tcBorders>
            <w:shd w:val="clear" w:color="auto" w:fill="auto"/>
            <w:noWrap/>
            <w:vAlign w:val="center"/>
          </w:tcPr>
          <w:p w14:paraId="3D42E0C4">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09940CAF">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6736E1F0">
            <w:pPr>
              <w:jc w:val="center"/>
              <w:rPr>
                <w:rFonts w:hint="default" w:ascii="Times New Roman" w:hAnsi="Times New Roman" w:eastAsia="宋体" w:cs="Times New Roman"/>
                <w:i w:val="0"/>
                <w:iCs w:val="0"/>
                <w:color w:val="auto"/>
                <w:sz w:val="20"/>
                <w:szCs w:val="20"/>
                <w:u w:val="none"/>
              </w:rPr>
            </w:pPr>
          </w:p>
        </w:tc>
        <w:tc>
          <w:tcPr>
            <w:tcW w:w="688" w:type="pct"/>
            <w:tcBorders>
              <w:top w:val="nil"/>
              <w:left w:val="nil"/>
              <w:bottom w:val="nil"/>
              <w:right w:val="nil"/>
            </w:tcBorders>
            <w:shd w:val="clear" w:color="auto" w:fill="auto"/>
            <w:noWrap/>
            <w:vAlign w:val="center"/>
          </w:tcPr>
          <w:p w14:paraId="6B4A6B90">
            <w:pPr>
              <w:jc w:val="center"/>
              <w:rPr>
                <w:rFonts w:hint="default" w:ascii="Times New Roman" w:hAnsi="Times New Roman" w:eastAsia="宋体" w:cs="Times New Roman"/>
                <w:i w:val="0"/>
                <w:iCs w:val="0"/>
                <w:color w:val="auto"/>
                <w:sz w:val="20"/>
                <w:szCs w:val="20"/>
                <w:u w:val="none"/>
              </w:rPr>
            </w:pPr>
          </w:p>
        </w:tc>
        <w:tc>
          <w:tcPr>
            <w:tcW w:w="366" w:type="pct"/>
            <w:tcBorders>
              <w:top w:val="nil"/>
              <w:left w:val="nil"/>
              <w:bottom w:val="nil"/>
              <w:right w:val="nil"/>
            </w:tcBorders>
            <w:shd w:val="clear" w:color="auto" w:fill="auto"/>
            <w:noWrap/>
            <w:vAlign w:val="center"/>
          </w:tcPr>
          <w:p w14:paraId="244528E5">
            <w:pPr>
              <w:jc w:val="center"/>
              <w:rPr>
                <w:rFonts w:hint="default" w:ascii="Times New Roman" w:hAnsi="Times New Roman" w:eastAsia="宋体" w:cs="Times New Roman"/>
                <w:i w:val="0"/>
                <w:iCs w:val="0"/>
                <w:color w:val="auto"/>
                <w:sz w:val="20"/>
                <w:szCs w:val="20"/>
                <w:u w:val="none"/>
              </w:rPr>
            </w:pPr>
          </w:p>
        </w:tc>
        <w:tc>
          <w:tcPr>
            <w:tcW w:w="355" w:type="pct"/>
            <w:tcBorders>
              <w:top w:val="nil"/>
              <w:left w:val="nil"/>
              <w:bottom w:val="nil"/>
              <w:right w:val="nil"/>
            </w:tcBorders>
            <w:shd w:val="clear" w:color="auto" w:fill="auto"/>
            <w:noWrap/>
            <w:vAlign w:val="center"/>
          </w:tcPr>
          <w:p w14:paraId="4774898F">
            <w:pPr>
              <w:jc w:val="center"/>
              <w:rPr>
                <w:rFonts w:hint="default" w:ascii="Times New Roman" w:hAnsi="Times New Roman" w:eastAsia="宋体" w:cs="Times New Roman"/>
                <w:i w:val="0"/>
                <w:iCs w:val="0"/>
                <w:color w:val="auto"/>
                <w:sz w:val="20"/>
                <w:szCs w:val="20"/>
                <w:u w:val="none"/>
              </w:rPr>
            </w:pPr>
          </w:p>
        </w:tc>
        <w:tc>
          <w:tcPr>
            <w:tcW w:w="402" w:type="pct"/>
            <w:tcBorders>
              <w:top w:val="nil"/>
              <w:left w:val="nil"/>
              <w:bottom w:val="nil"/>
              <w:right w:val="nil"/>
            </w:tcBorders>
            <w:shd w:val="clear" w:color="auto" w:fill="auto"/>
            <w:noWrap/>
            <w:vAlign w:val="center"/>
          </w:tcPr>
          <w:p w14:paraId="575E4600">
            <w:pPr>
              <w:jc w:val="center"/>
              <w:rPr>
                <w:rFonts w:hint="default" w:ascii="Times New Roman" w:hAnsi="Times New Roman" w:eastAsia="宋体" w:cs="Times New Roman"/>
                <w:i w:val="0"/>
                <w:iCs w:val="0"/>
                <w:color w:val="auto"/>
                <w:sz w:val="20"/>
                <w:szCs w:val="20"/>
                <w:u w:val="none"/>
              </w:rPr>
            </w:pPr>
          </w:p>
        </w:tc>
        <w:tc>
          <w:tcPr>
            <w:tcW w:w="531" w:type="pct"/>
            <w:tcBorders>
              <w:top w:val="nil"/>
              <w:left w:val="nil"/>
              <w:bottom w:val="nil"/>
              <w:right w:val="nil"/>
            </w:tcBorders>
            <w:shd w:val="clear" w:color="auto" w:fill="auto"/>
            <w:noWrap/>
            <w:vAlign w:val="center"/>
          </w:tcPr>
          <w:p w14:paraId="5AD0978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0.833</w:t>
            </w:r>
          </w:p>
        </w:tc>
      </w:tr>
      <w:tr w14:paraId="3519E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321BEF59">
            <w:pPr>
              <w:keepNext w:val="0"/>
              <w:keepLines w:val="0"/>
              <w:widowControl/>
              <w:suppressLineNumbers w:val="0"/>
              <w:jc w:val="both"/>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color w:val="auto"/>
                <w:sz w:val="20"/>
                <w:szCs w:val="20"/>
                <w:lang w:val="en-US" w:eastAsia="zh-CN"/>
              </w:rPr>
              <w:t xml:space="preserve">  </w:t>
            </w:r>
            <w:r>
              <w:rPr>
                <w:rFonts w:hint="default" w:ascii="Times New Roman" w:hAnsi="Times New Roman" w:eastAsia="宋体" w:cs="Times New Roman"/>
                <w:color w:val="auto"/>
                <w:sz w:val="20"/>
                <w:szCs w:val="20"/>
              </w:rPr>
              <w:t>&lt;</w:t>
            </w:r>
            <w:r>
              <w:rPr>
                <w:rFonts w:hint="default" w:ascii="Times New Roman" w:hAnsi="Times New Roman" w:eastAsia="宋体" w:cs="Times New Roman"/>
                <w:color w:val="auto"/>
                <w:sz w:val="20"/>
                <w:szCs w:val="20"/>
                <w:lang w:val="en-US" w:eastAsia="zh-CN"/>
              </w:rPr>
              <w:t>1.5</w:t>
            </w:r>
          </w:p>
        </w:tc>
        <w:tc>
          <w:tcPr>
            <w:tcW w:w="349" w:type="pct"/>
            <w:tcBorders>
              <w:top w:val="nil"/>
              <w:left w:val="nil"/>
              <w:bottom w:val="nil"/>
              <w:right w:val="nil"/>
            </w:tcBorders>
            <w:shd w:val="clear" w:color="auto" w:fill="auto"/>
            <w:noWrap/>
            <w:vAlign w:val="center"/>
          </w:tcPr>
          <w:p w14:paraId="142C650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1016</w:t>
            </w:r>
          </w:p>
        </w:tc>
        <w:tc>
          <w:tcPr>
            <w:tcW w:w="404" w:type="pct"/>
            <w:tcBorders>
              <w:top w:val="nil"/>
              <w:left w:val="nil"/>
              <w:bottom w:val="nil"/>
              <w:right w:val="nil"/>
            </w:tcBorders>
            <w:shd w:val="clear" w:color="auto" w:fill="auto"/>
            <w:noWrap/>
            <w:vAlign w:val="center"/>
          </w:tcPr>
          <w:p w14:paraId="419B699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86.5</w:t>
            </w:r>
          </w:p>
        </w:tc>
        <w:tc>
          <w:tcPr>
            <w:tcW w:w="559" w:type="pct"/>
            <w:tcBorders>
              <w:top w:val="nil"/>
              <w:left w:val="nil"/>
              <w:bottom w:val="nil"/>
              <w:right w:val="nil"/>
            </w:tcBorders>
            <w:shd w:val="clear" w:color="auto" w:fill="auto"/>
            <w:noWrap/>
            <w:vAlign w:val="center"/>
          </w:tcPr>
          <w:p w14:paraId="06D3428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441</w:t>
            </w:r>
          </w:p>
        </w:tc>
        <w:tc>
          <w:tcPr>
            <w:tcW w:w="559" w:type="pct"/>
            <w:tcBorders>
              <w:top w:val="nil"/>
              <w:left w:val="nil"/>
              <w:bottom w:val="nil"/>
              <w:right w:val="nil"/>
            </w:tcBorders>
            <w:shd w:val="clear" w:color="auto" w:fill="auto"/>
            <w:noWrap/>
            <w:vAlign w:val="center"/>
          </w:tcPr>
          <w:p w14:paraId="62910DD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575</w:t>
            </w:r>
          </w:p>
        </w:tc>
        <w:tc>
          <w:tcPr>
            <w:tcW w:w="688" w:type="pct"/>
            <w:tcBorders>
              <w:top w:val="nil"/>
              <w:left w:val="nil"/>
              <w:bottom w:val="nil"/>
              <w:right w:val="nil"/>
            </w:tcBorders>
            <w:shd w:val="clear" w:color="auto" w:fill="auto"/>
            <w:noWrap/>
            <w:vAlign w:val="center"/>
          </w:tcPr>
          <w:p w14:paraId="131D936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1.68</w:t>
            </w:r>
          </w:p>
        </w:tc>
        <w:tc>
          <w:tcPr>
            <w:tcW w:w="366" w:type="pct"/>
            <w:tcBorders>
              <w:top w:val="nil"/>
              <w:left w:val="nil"/>
              <w:bottom w:val="nil"/>
              <w:right w:val="nil"/>
            </w:tcBorders>
            <w:shd w:val="clear" w:color="auto" w:fill="auto"/>
            <w:noWrap/>
            <w:vAlign w:val="center"/>
          </w:tcPr>
          <w:p w14:paraId="6EEF5EA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1.42</w:t>
            </w:r>
          </w:p>
        </w:tc>
        <w:tc>
          <w:tcPr>
            <w:tcW w:w="355" w:type="pct"/>
            <w:tcBorders>
              <w:top w:val="nil"/>
              <w:left w:val="nil"/>
              <w:bottom w:val="nil"/>
              <w:right w:val="nil"/>
            </w:tcBorders>
            <w:shd w:val="clear" w:color="auto" w:fill="auto"/>
            <w:noWrap/>
            <w:vAlign w:val="center"/>
          </w:tcPr>
          <w:p w14:paraId="1B254C9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1.99</w:t>
            </w:r>
          </w:p>
        </w:tc>
        <w:tc>
          <w:tcPr>
            <w:tcW w:w="402" w:type="pct"/>
            <w:tcBorders>
              <w:top w:val="nil"/>
              <w:left w:val="nil"/>
              <w:bottom w:val="nil"/>
              <w:right w:val="nil"/>
            </w:tcBorders>
            <w:shd w:val="clear" w:color="auto" w:fill="auto"/>
            <w:noWrap/>
            <w:vAlign w:val="center"/>
          </w:tcPr>
          <w:p w14:paraId="4565EE0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531" w:type="pct"/>
            <w:tcBorders>
              <w:top w:val="nil"/>
              <w:left w:val="nil"/>
              <w:bottom w:val="nil"/>
              <w:right w:val="nil"/>
            </w:tcBorders>
            <w:shd w:val="clear" w:color="auto" w:fill="auto"/>
            <w:noWrap/>
            <w:vAlign w:val="center"/>
          </w:tcPr>
          <w:p w14:paraId="2FB4E1D6">
            <w:pPr>
              <w:jc w:val="center"/>
              <w:rPr>
                <w:rFonts w:hint="default" w:ascii="Times New Roman" w:hAnsi="Times New Roman" w:eastAsia="宋体" w:cs="Times New Roman"/>
                <w:i w:val="0"/>
                <w:iCs w:val="0"/>
                <w:color w:val="auto"/>
                <w:sz w:val="20"/>
                <w:szCs w:val="20"/>
                <w:u w:val="none"/>
              </w:rPr>
            </w:pPr>
          </w:p>
        </w:tc>
      </w:tr>
      <w:tr w14:paraId="2F84A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72020D28">
            <w:pPr>
              <w:keepNext w:val="0"/>
              <w:keepLines w:val="0"/>
              <w:widowControl/>
              <w:suppressLineNumbers w:val="0"/>
              <w:jc w:val="both"/>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color w:val="auto"/>
                <w:sz w:val="20"/>
                <w:szCs w:val="20"/>
                <w:lang w:val="en-US" w:eastAsia="zh-CN"/>
              </w:rPr>
              <w:t xml:space="preserve">  </w:t>
            </w:r>
            <w:r>
              <w:rPr>
                <w:rFonts w:hint="default" w:ascii="Times New Roman" w:hAnsi="Times New Roman" w:eastAsia="宋体" w:cs="Times New Roman"/>
                <w:color w:val="auto"/>
                <w:sz w:val="20"/>
                <w:szCs w:val="20"/>
              </w:rPr>
              <w:t>≥</w:t>
            </w:r>
            <w:r>
              <w:rPr>
                <w:rFonts w:hint="default" w:ascii="Times New Roman" w:hAnsi="Times New Roman" w:eastAsia="宋体" w:cs="Times New Roman"/>
                <w:color w:val="auto"/>
                <w:sz w:val="20"/>
                <w:szCs w:val="20"/>
                <w:lang w:val="en-US" w:eastAsia="zh-CN"/>
              </w:rPr>
              <w:t>1.5</w:t>
            </w:r>
          </w:p>
        </w:tc>
        <w:tc>
          <w:tcPr>
            <w:tcW w:w="349" w:type="pct"/>
            <w:tcBorders>
              <w:top w:val="nil"/>
              <w:left w:val="nil"/>
              <w:bottom w:val="nil"/>
              <w:right w:val="nil"/>
            </w:tcBorders>
            <w:shd w:val="clear" w:color="auto" w:fill="auto"/>
            <w:noWrap/>
            <w:vAlign w:val="center"/>
          </w:tcPr>
          <w:p w14:paraId="337A051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158</w:t>
            </w:r>
          </w:p>
        </w:tc>
        <w:tc>
          <w:tcPr>
            <w:tcW w:w="404" w:type="pct"/>
            <w:tcBorders>
              <w:top w:val="nil"/>
              <w:left w:val="nil"/>
              <w:bottom w:val="nil"/>
              <w:right w:val="nil"/>
            </w:tcBorders>
            <w:shd w:val="clear" w:color="auto" w:fill="auto"/>
            <w:noWrap/>
            <w:vAlign w:val="center"/>
          </w:tcPr>
          <w:p w14:paraId="0BB5F33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13.5</w:t>
            </w:r>
          </w:p>
        </w:tc>
        <w:tc>
          <w:tcPr>
            <w:tcW w:w="559" w:type="pct"/>
            <w:tcBorders>
              <w:top w:val="nil"/>
              <w:left w:val="nil"/>
              <w:bottom w:val="nil"/>
              <w:right w:val="nil"/>
            </w:tcBorders>
            <w:shd w:val="clear" w:color="auto" w:fill="auto"/>
            <w:noWrap/>
            <w:vAlign w:val="center"/>
          </w:tcPr>
          <w:p w14:paraId="06BDC2E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5</w:t>
            </w:r>
          </w:p>
        </w:tc>
        <w:tc>
          <w:tcPr>
            <w:tcW w:w="559" w:type="pct"/>
            <w:tcBorders>
              <w:top w:val="nil"/>
              <w:left w:val="nil"/>
              <w:bottom w:val="nil"/>
              <w:right w:val="nil"/>
            </w:tcBorders>
            <w:shd w:val="clear" w:color="auto" w:fill="auto"/>
            <w:noWrap/>
            <w:vAlign w:val="center"/>
          </w:tcPr>
          <w:p w14:paraId="4DB7C06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153</w:t>
            </w:r>
          </w:p>
        </w:tc>
        <w:tc>
          <w:tcPr>
            <w:tcW w:w="688" w:type="pct"/>
            <w:tcBorders>
              <w:top w:val="nil"/>
              <w:left w:val="nil"/>
              <w:bottom w:val="nil"/>
              <w:right w:val="nil"/>
            </w:tcBorders>
            <w:shd w:val="clear" w:color="auto" w:fill="auto"/>
            <w:noWrap/>
            <w:vAlign w:val="center"/>
          </w:tcPr>
          <w:p w14:paraId="24159BC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w:t>
            </w:r>
          </w:p>
        </w:tc>
        <w:tc>
          <w:tcPr>
            <w:tcW w:w="366" w:type="pct"/>
            <w:tcBorders>
              <w:top w:val="nil"/>
              <w:left w:val="nil"/>
              <w:bottom w:val="nil"/>
              <w:right w:val="nil"/>
            </w:tcBorders>
            <w:shd w:val="clear" w:color="auto" w:fill="auto"/>
            <w:noWrap/>
            <w:vAlign w:val="center"/>
          </w:tcPr>
          <w:p w14:paraId="15D5608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0.5</w:t>
            </w:r>
          </w:p>
        </w:tc>
        <w:tc>
          <w:tcPr>
            <w:tcW w:w="355" w:type="pct"/>
            <w:tcBorders>
              <w:top w:val="nil"/>
              <w:left w:val="nil"/>
              <w:bottom w:val="nil"/>
              <w:right w:val="nil"/>
            </w:tcBorders>
            <w:shd w:val="clear" w:color="auto" w:fill="auto"/>
            <w:noWrap/>
            <w:vAlign w:val="center"/>
          </w:tcPr>
          <w:p w14:paraId="6FE0497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5.11</w:t>
            </w:r>
          </w:p>
        </w:tc>
        <w:tc>
          <w:tcPr>
            <w:tcW w:w="402" w:type="pct"/>
            <w:tcBorders>
              <w:top w:val="nil"/>
              <w:left w:val="nil"/>
              <w:bottom w:val="nil"/>
              <w:right w:val="nil"/>
            </w:tcBorders>
            <w:shd w:val="clear" w:color="auto" w:fill="auto"/>
            <w:noWrap/>
            <w:vAlign w:val="center"/>
          </w:tcPr>
          <w:p w14:paraId="464507C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0.425</w:t>
            </w:r>
          </w:p>
        </w:tc>
        <w:tc>
          <w:tcPr>
            <w:tcW w:w="531" w:type="pct"/>
            <w:tcBorders>
              <w:top w:val="nil"/>
              <w:left w:val="nil"/>
              <w:bottom w:val="nil"/>
              <w:right w:val="nil"/>
            </w:tcBorders>
            <w:shd w:val="clear" w:color="auto" w:fill="auto"/>
            <w:noWrap/>
            <w:vAlign w:val="center"/>
          </w:tcPr>
          <w:p w14:paraId="42B59A77">
            <w:pPr>
              <w:jc w:val="center"/>
              <w:rPr>
                <w:rFonts w:hint="default" w:ascii="Times New Roman" w:hAnsi="Times New Roman" w:eastAsia="宋体" w:cs="Times New Roman"/>
                <w:i w:val="0"/>
                <w:iCs w:val="0"/>
                <w:color w:val="auto"/>
                <w:sz w:val="20"/>
                <w:szCs w:val="20"/>
                <w:u w:val="none"/>
              </w:rPr>
            </w:pPr>
          </w:p>
        </w:tc>
      </w:tr>
      <w:tr w14:paraId="69CDA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34A09A74">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AST</w:t>
            </w:r>
          </w:p>
        </w:tc>
        <w:tc>
          <w:tcPr>
            <w:tcW w:w="349" w:type="pct"/>
            <w:tcBorders>
              <w:top w:val="nil"/>
              <w:left w:val="nil"/>
              <w:bottom w:val="nil"/>
              <w:right w:val="nil"/>
            </w:tcBorders>
            <w:shd w:val="clear" w:color="auto" w:fill="auto"/>
            <w:noWrap/>
            <w:vAlign w:val="center"/>
          </w:tcPr>
          <w:p w14:paraId="468E2F50">
            <w:pPr>
              <w:jc w:val="center"/>
              <w:rPr>
                <w:rFonts w:hint="default" w:ascii="Times New Roman" w:hAnsi="Times New Roman" w:eastAsia="宋体" w:cs="Times New Roman"/>
                <w:i w:val="0"/>
                <w:iCs w:val="0"/>
                <w:color w:val="auto"/>
                <w:sz w:val="20"/>
                <w:szCs w:val="20"/>
                <w:u w:val="none"/>
              </w:rPr>
            </w:pPr>
          </w:p>
        </w:tc>
        <w:tc>
          <w:tcPr>
            <w:tcW w:w="404" w:type="pct"/>
            <w:tcBorders>
              <w:top w:val="nil"/>
              <w:left w:val="nil"/>
              <w:bottom w:val="nil"/>
              <w:right w:val="nil"/>
            </w:tcBorders>
            <w:shd w:val="clear" w:color="auto" w:fill="auto"/>
            <w:noWrap/>
            <w:vAlign w:val="center"/>
          </w:tcPr>
          <w:p w14:paraId="378A1D92">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4395DB2A">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1195F1C0">
            <w:pPr>
              <w:jc w:val="center"/>
              <w:rPr>
                <w:rFonts w:hint="default" w:ascii="Times New Roman" w:hAnsi="Times New Roman" w:eastAsia="宋体" w:cs="Times New Roman"/>
                <w:i w:val="0"/>
                <w:iCs w:val="0"/>
                <w:color w:val="auto"/>
                <w:sz w:val="20"/>
                <w:szCs w:val="20"/>
                <w:u w:val="none"/>
              </w:rPr>
            </w:pPr>
          </w:p>
        </w:tc>
        <w:tc>
          <w:tcPr>
            <w:tcW w:w="688" w:type="pct"/>
            <w:tcBorders>
              <w:top w:val="nil"/>
              <w:left w:val="nil"/>
              <w:bottom w:val="nil"/>
              <w:right w:val="nil"/>
            </w:tcBorders>
            <w:shd w:val="clear" w:color="auto" w:fill="auto"/>
            <w:noWrap/>
            <w:vAlign w:val="center"/>
          </w:tcPr>
          <w:p w14:paraId="65D3A3B8">
            <w:pPr>
              <w:jc w:val="center"/>
              <w:rPr>
                <w:rFonts w:hint="default" w:ascii="Times New Roman" w:hAnsi="Times New Roman" w:eastAsia="宋体" w:cs="Times New Roman"/>
                <w:i w:val="0"/>
                <w:iCs w:val="0"/>
                <w:color w:val="auto"/>
                <w:sz w:val="20"/>
                <w:szCs w:val="20"/>
                <w:u w:val="none"/>
              </w:rPr>
            </w:pPr>
          </w:p>
        </w:tc>
        <w:tc>
          <w:tcPr>
            <w:tcW w:w="366" w:type="pct"/>
            <w:tcBorders>
              <w:top w:val="nil"/>
              <w:left w:val="nil"/>
              <w:bottom w:val="nil"/>
              <w:right w:val="nil"/>
            </w:tcBorders>
            <w:shd w:val="clear" w:color="auto" w:fill="auto"/>
            <w:noWrap/>
            <w:vAlign w:val="center"/>
          </w:tcPr>
          <w:p w14:paraId="05BDE228">
            <w:pPr>
              <w:jc w:val="center"/>
              <w:rPr>
                <w:rFonts w:hint="default" w:ascii="Times New Roman" w:hAnsi="Times New Roman" w:eastAsia="宋体" w:cs="Times New Roman"/>
                <w:i w:val="0"/>
                <w:iCs w:val="0"/>
                <w:color w:val="auto"/>
                <w:sz w:val="20"/>
                <w:szCs w:val="20"/>
                <w:u w:val="none"/>
              </w:rPr>
            </w:pPr>
          </w:p>
        </w:tc>
        <w:tc>
          <w:tcPr>
            <w:tcW w:w="355" w:type="pct"/>
            <w:tcBorders>
              <w:top w:val="nil"/>
              <w:left w:val="nil"/>
              <w:bottom w:val="nil"/>
              <w:right w:val="nil"/>
            </w:tcBorders>
            <w:shd w:val="clear" w:color="auto" w:fill="auto"/>
            <w:noWrap/>
            <w:vAlign w:val="center"/>
          </w:tcPr>
          <w:p w14:paraId="3B31E006">
            <w:pPr>
              <w:jc w:val="center"/>
              <w:rPr>
                <w:rFonts w:hint="default" w:ascii="Times New Roman" w:hAnsi="Times New Roman" w:eastAsia="宋体" w:cs="Times New Roman"/>
                <w:i w:val="0"/>
                <w:iCs w:val="0"/>
                <w:color w:val="auto"/>
                <w:sz w:val="20"/>
                <w:szCs w:val="20"/>
                <w:u w:val="none"/>
              </w:rPr>
            </w:pPr>
          </w:p>
        </w:tc>
        <w:tc>
          <w:tcPr>
            <w:tcW w:w="402" w:type="pct"/>
            <w:tcBorders>
              <w:top w:val="nil"/>
              <w:left w:val="nil"/>
              <w:bottom w:val="nil"/>
              <w:right w:val="nil"/>
            </w:tcBorders>
            <w:shd w:val="clear" w:color="auto" w:fill="auto"/>
            <w:noWrap/>
            <w:vAlign w:val="center"/>
          </w:tcPr>
          <w:p w14:paraId="1EA3551D">
            <w:pPr>
              <w:jc w:val="center"/>
              <w:rPr>
                <w:rFonts w:hint="default" w:ascii="Times New Roman" w:hAnsi="Times New Roman" w:eastAsia="宋体" w:cs="Times New Roman"/>
                <w:i w:val="0"/>
                <w:iCs w:val="0"/>
                <w:color w:val="auto"/>
                <w:sz w:val="20"/>
                <w:szCs w:val="20"/>
                <w:u w:val="none"/>
              </w:rPr>
            </w:pPr>
          </w:p>
        </w:tc>
        <w:tc>
          <w:tcPr>
            <w:tcW w:w="531" w:type="pct"/>
            <w:tcBorders>
              <w:top w:val="nil"/>
              <w:left w:val="nil"/>
              <w:bottom w:val="nil"/>
              <w:right w:val="nil"/>
            </w:tcBorders>
            <w:shd w:val="clear" w:color="auto" w:fill="auto"/>
            <w:noWrap/>
            <w:vAlign w:val="center"/>
          </w:tcPr>
          <w:p w14:paraId="56CE209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0.181</w:t>
            </w:r>
          </w:p>
        </w:tc>
      </w:tr>
      <w:tr w14:paraId="65235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379FFA81">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&lt;80 U/L</w:t>
            </w:r>
          </w:p>
        </w:tc>
        <w:tc>
          <w:tcPr>
            <w:tcW w:w="349" w:type="pct"/>
            <w:tcBorders>
              <w:top w:val="nil"/>
              <w:left w:val="nil"/>
              <w:bottom w:val="nil"/>
              <w:right w:val="nil"/>
            </w:tcBorders>
            <w:shd w:val="clear" w:color="auto" w:fill="auto"/>
            <w:noWrap/>
            <w:vAlign w:val="center"/>
          </w:tcPr>
          <w:p w14:paraId="7AC6ED2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1007</w:t>
            </w:r>
          </w:p>
        </w:tc>
        <w:tc>
          <w:tcPr>
            <w:tcW w:w="404" w:type="pct"/>
            <w:tcBorders>
              <w:top w:val="nil"/>
              <w:left w:val="nil"/>
              <w:bottom w:val="nil"/>
              <w:right w:val="nil"/>
            </w:tcBorders>
            <w:shd w:val="clear" w:color="auto" w:fill="auto"/>
            <w:noWrap/>
            <w:vAlign w:val="center"/>
          </w:tcPr>
          <w:p w14:paraId="19D50E4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85.8</w:t>
            </w:r>
          </w:p>
        </w:tc>
        <w:tc>
          <w:tcPr>
            <w:tcW w:w="559" w:type="pct"/>
            <w:tcBorders>
              <w:top w:val="nil"/>
              <w:left w:val="nil"/>
              <w:bottom w:val="nil"/>
              <w:right w:val="nil"/>
            </w:tcBorders>
            <w:shd w:val="clear" w:color="auto" w:fill="auto"/>
            <w:noWrap/>
            <w:vAlign w:val="center"/>
          </w:tcPr>
          <w:p w14:paraId="59FCAAD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426</w:t>
            </w:r>
          </w:p>
        </w:tc>
        <w:tc>
          <w:tcPr>
            <w:tcW w:w="559" w:type="pct"/>
            <w:tcBorders>
              <w:top w:val="nil"/>
              <w:left w:val="nil"/>
              <w:bottom w:val="nil"/>
              <w:right w:val="nil"/>
            </w:tcBorders>
            <w:shd w:val="clear" w:color="auto" w:fill="auto"/>
            <w:noWrap/>
            <w:vAlign w:val="center"/>
          </w:tcPr>
          <w:p w14:paraId="4AA467F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581</w:t>
            </w:r>
          </w:p>
        </w:tc>
        <w:tc>
          <w:tcPr>
            <w:tcW w:w="688" w:type="pct"/>
            <w:tcBorders>
              <w:top w:val="nil"/>
              <w:left w:val="nil"/>
              <w:bottom w:val="nil"/>
              <w:right w:val="nil"/>
            </w:tcBorders>
            <w:shd w:val="clear" w:color="auto" w:fill="auto"/>
            <w:noWrap/>
            <w:vAlign w:val="center"/>
          </w:tcPr>
          <w:p w14:paraId="2FA9589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1.63</w:t>
            </w:r>
          </w:p>
        </w:tc>
        <w:tc>
          <w:tcPr>
            <w:tcW w:w="366" w:type="pct"/>
            <w:tcBorders>
              <w:top w:val="nil"/>
              <w:left w:val="nil"/>
              <w:bottom w:val="nil"/>
              <w:right w:val="nil"/>
            </w:tcBorders>
            <w:shd w:val="clear" w:color="auto" w:fill="auto"/>
            <w:noWrap/>
            <w:vAlign w:val="center"/>
          </w:tcPr>
          <w:p w14:paraId="45E5534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1.37</w:t>
            </w:r>
          </w:p>
        </w:tc>
        <w:tc>
          <w:tcPr>
            <w:tcW w:w="355" w:type="pct"/>
            <w:tcBorders>
              <w:top w:val="nil"/>
              <w:left w:val="nil"/>
              <w:bottom w:val="nil"/>
              <w:right w:val="nil"/>
            </w:tcBorders>
            <w:shd w:val="clear" w:color="auto" w:fill="auto"/>
            <w:noWrap/>
            <w:vAlign w:val="center"/>
          </w:tcPr>
          <w:p w14:paraId="5E0A4CB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1.94</w:t>
            </w:r>
          </w:p>
        </w:tc>
        <w:tc>
          <w:tcPr>
            <w:tcW w:w="402" w:type="pct"/>
            <w:tcBorders>
              <w:top w:val="nil"/>
              <w:left w:val="nil"/>
              <w:bottom w:val="nil"/>
              <w:right w:val="nil"/>
            </w:tcBorders>
            <w:shd w:val="clear" w:color="auto" w:fill="auto"/>
            <w:noWrap/>
            <w:vAlign w:val="center"/>
          </w:tcPr>
          <w:p w14:paraId="6DC73FA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531" w:type="pct"/>
            <w:tcBorders>
              <w:top w:val="nil"/>
              <w:left w:val="nil"/>
              <w:bottom w:val="nil"/>
              <w:right w:val="nil"/>
            </w:tcBorders>
            <w:shd w:val="clear" w:color="auto" w:fill="auto"/>
            <w:noWrap/>
            <w:vAlign w:val="center"/>
          </w:tcPr>
          <w:p w14:paraId="440CAF21">
            <w:pPr>
              <w:jc w:val="center"/>
              <w:rPr>
                <w:rFonts w:hint="default" w:ascii="Times New Roman" w:hAnsi="Times New Roman" w:eastAsia="宋体" w:cs="Times New Roman"/>
                <w:i w:val="0"/>
                <w:iCs w:val="0"/>
                <w:color w:val="auto"/>
                <w:sz w:val="20"/>
                <w:szCs w:val="20"/>
                <w:u w:val="none"/>
              </w:rPr>
            </w:pPr>
          </w:p>
        </w:tc>
      </w:tr>
      <w:tr w14:paraId="6B9A1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3AD54164">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≥80 U/L</w:t>
            </w:r>
          </w:p>
        </w:tc>
        <w:tc>
          <w:tcPr>
            <w:tcW w:w="349" w:type="pct"/>
            <w:tcBorders>
              <w:top w:val="nil"/>
              <w:left w:val="nil"/>
              <w:bottom w:val="nil"/>
              <w:right w:val="nil"/>
            </w:tcBorders>
            <w:shd w:val="clear" w:color="auto" w:fill="auto"/>
            <w:noWrap/>
            <w:vAlign w:val="center"/>
          </w:tcPr>
          <w:p w14:paraId="54C5CD0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167</w:t>
            </w:r>
          </w:p>
        </w:tc>
        <w:tc>
          <w:tcPr>
            <w:tcW w:w="404" w:type="pct"/>
            <w:tcBorders>
              <w:top w:val="nil"/>
              <w:left w:val="nil"/>
              <w:bottom w:val="nil"/>
              <w:right w:val="nil"/>
            </w:tcBorders>
            <w:shd w:val="clear" w:color="auto" w:fill="auto"/>
            <w:noWrap/>
            <w:vAlign w:val="center"/>
          </w:tcPr>
          <w:p w14:paraId="644D5E8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14.2</w:t>
            </w:r>
          </w:p>
        </w:tc>
        <w:tc>
          <w:tcPr>
            <w:tcW w:w="559" w:type="pct"/>
            <w:tcBorders>
              <w:top w:val="nil"/>
              <w:left w:val="nil"/>
              <w:bottom w:val="nil"/>
              <w:right w:val="nil"/>
            </w:tcBorders>
            <w:shd w:val="clear" w:color="auto" w:fill="auto"/>
            <w:noWrap/>
            <w:vAlign w:val="center"/>
          </w:tcPr>
          <w:p w14:paraId="3DD67E9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20</w:t>
            </w:r>
          </w:p>
        </w:tc>
        <w:tc>
          <w:tcPr>
            <w:tcW w:w="559" w:type="pct"/>
            <w:tcBorders>
              <w:top w:val="nil"/>
              <w:left w:val="nil"/>
              <w:bottom w:val="nil"/>
              <w:right w:val="nil"/>
            </w:tcBorders>
            <w:shd w:val="clear" w:color="auto" w:fill="auto"/>
            <w:noWrap/>
            <w:vAlign w:val="center"/>
          </w:tcPr>
          <w:p w14:paraId="15B6163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147</w:t>
            </w:r>
          </w:p>
        </w:tc>
        <w:tc>
          <w:tcPr>
            <w:tcW w:w="688" w:type="pct"/>
            <w:tcBorders>
              <w:top w:val="nil"/>
              <w:left w:val="nil"/>
              <w:bottom w:val="nil"/>
              <w:right w:val="nil"/>
            </w:tcBorders>
            <w:shd w:val="clear" w:color="auto" w:fill="auto"/>
            <w:noWrap/>
            <w:vAlign w:val="center"/>
          </w:tcPr>
          <w:p w14:paraId="4310388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1.07</w:t>
            </w:r>
          </w:p>
        </w:tc>
        <w:tc>
          <w:tcPr>
            <w:tcW w:w="366" w:type="pct"/>
            <w:tcBorders>
              <w:top w:val="nil"/>
              <w:left w:val="nil"/>
              <w:bottom w:val="nil"/>
              <w:right w:val="nil"/>
            </w:tcBorders>
            <w:shd w:val="clear" w:color="auto" w:fill="auto"/>
            <w:noWrap/>
            <w:vAlign w:val="center"/>
          </w:tcPr>
          <w:p w14:paraId="09E8434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0.59</w:t>
            </w:r>
          </w:p>
        </w:tc>
        <w:tc>
          <w:tcPr>
            <w:tcW w:w="355" w:type="pct"/>
            <w:tcBorders>
              <w:top w:val="nil"/>
              <w:left w:val="nil"/>
              <w:bottom w:val="nil"/>
              <w:right w:val="nil"/>
            </w:tcBorders>
            <w:shd w:val="clear" w:color="auto" w:fill="auto"/>
            <w:noWrap/>
            <w:vAlign w:val="center"/>
          </w:tcPr>
          <w:p w14:paraId="502995E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1.95</w:t>
            </w:r>
          </w:p>
        </w:tc>
        <w:tc>
          <w:tcPr>
            <w:tcW w:w="402" w:type="pct"/>
            <w:tcBorders>
              <w:top w:val="nil"/>
              <w:left w:val="nil"/>
              <w:bottom w:val="nil"/>
              <w:right w:val="nil"/>
            </w:tcBorders>
            <w:shd w:val="clear" w:color="auto" w:fill="auto"/>
            <w:noWrap/>
            <w:vAlign w:val="center"/>
          </w:tcPr>
          <w:p w14:paraId="4C607A6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0.824</w:t>
            </w:r>
          </w:p>
        </w:tc>
        <w:tc>
          <w:tcPr>
            <w:tcW w:w="531" w:type="pct"/>
            <w:tcBorders>
              <w:top w:val="nil"/>
              <w:left w:val="nil"/>
              <w:bottom w:val="nil"/>
              <w:right w:val="nil"/>
            </w:tcBorders>
            <w:shd w:val="clear" w:color="auto" w:fill="auto"/>
            <w:noWrap/>
            <w:vAlign w:val="center"/>
          </w:tcPr>
          <w:p w14:paraId="2595E988">
            <w:pPr>
              <w:jc w:val="center"/>
              <w:rPr>
                <w:rFonts w:hint="default" w:ascii="Times New Roman" w:hAnsi="Times New Roman" w:eastAsia="宋体" w:cs="Times New Roman"/>
                <w:i w:val="0"/>
                <w:iCs w:val="0"/>
                <w:color w:val="auto"/>
                <w:sz w:val="20"/>
                <w:szCs w:val="20"/>
                <w:u w:val="none"/>
              </w:rPr>
            </w:pPr>
          </w:p>
        </w:tc>
      </w:tr>
      <w:tr w14:paraId="70A47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3ACA7483">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ALT</w:t>
            </w:r>
          </w:p>
        </w:tc>
        <w:tc>
          <w:tcPr>
            <w:tcW w:w="349" w:type="pct"/>
            <w:tcBorders>
              <w:top w:val="nil"/>
              <w:left w:val="nil"/>
              <w:bottom w:val="nil"/>
              <w:right w:val="nil"/>
            </w:tcBorders>
            <w:shd w:val="clear" w:color="auto" w:fill="auto"/>
            <w:noWrap/>
            <w:vAlign w:val="center"/>
          </w:tcPr>
          <w:p w14:paraId="5A5686A2">
            <w:pPr>
              <w:jc w:val="center"/>
              <w:rPr>
                <w:rFonts w:hint="default" w:ascii="Times New Roman" w:hAnsi="Times New Roman" w:eastAsia="宋体" w:cs="Times New Roman"/>
                <w:i w:val="0"/>
                <w:iCs w:val="0"/>
                <w:color w:val="auto"/>
                <w:sz w:val="20"/>
                <w:szCs w:val="20"/>
                <w:u w:val="none"/>
              </w:rPr>
            </w:pPr>
          </w:p>
        </w:tc>
        <w:tc>
          <w:tcPr>
            <w:tcW w:w="404" w:type="pct"/>
            <w:tcBorders>
              <w:top w:val="nil"/>
              <w:left w:val="nil"/>
              <w:bottom w:val="nil"/>
              <w:right w:val="nil"/>
            </w:tcBorders>
            <w:shd w:val="clear" w:color="auto" w:fill="auto"/>
            <w:noWrap/>
            <w:vAlign w:val="center"/>
          </w:tcPr>
          <w:p w14:paraId="275AE95B">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730F9E02">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6F28DE9B">
            <w:pPr>
              <w:jc w:val="center"/>
              <w:rPr>
                <w:rFonts w:hint="default" w:ascii="Times New Roman" w:hAnsi="Times New Roman" w:eastAsia="宋体" w:cs="Times New Roman"/>
                <w:i w:val="0"/>
                <w:iCs w:val="0"/>
                <w:color w:val="auto"/>
                <w:sz w:val="20"/>
                <w:szCs w:val="20"/>
                <w:u w:val="none"/>
              </w:rPr>
            </w:pPr>
          </w:p>
        </w:tc>
        <w:tc>
          <w:tcPr>
            <w:tcW w:w="688" w:type="pct"/>
            <w:tcBorders>
              <w:top w:val="nil"/>
              <w:left w:val="nil"/>
              <w:bottom w:val="nil"/>
              <w:right w:val="nil"/>
            </w:tcBorders>
            <w:shd w:val="clear" w:color="auto" w:fill="auto"/>
            <w:noWrap/>
            <w:vAlign w:val="center"/>
          </w:tcPr>
          <w:p w14:paraId="341F2774">
            <w:pPr>
              <w:jc w:val="center"/>
              <w:rPr>
                <w:rFonts w:hint="default" w:ascii="Times New Roman" w:hAnsi="Times New Roman" w:eastAsia="宋体" w:cs="Times New Roman"/>
                <w:i w:val="0"/>
                <w:iCs w:val="0"/>
                <w:color w:val="auto"/>
                <w:sz w:val="20"/>
                <w:szCs w:val="20"/>
                <w:u w:val="none"/>
              </w:rPr>
            </w:pPr>
          </w:p>
        </w:tc>
        <w:tc>
          <w:tcPr>
            <w:tcW w:w="366" w:type="pct"/>
            <w:tcBorders>
              <w:top w:val="nil"/>
              <w:left w:val="nil"/>
              <w:bottom w:val="nil"/>
              <w:right w:val="nil"/>
            </w:tcBorders>
            <w:shd w:val="clear" w:color="auto" w:fill="auto"/>
            <w:noWrap/>
            <w:vAlign w:val="center"/>
          </w:tcPr>
          <w:p w14:paraId="46682CB8">
            <w:pPr>
              <w:jc w:val="center"/>
              <w:rPr>
                <w:rFonts w:hint="default" w:ascii="Times New Roman" w:hAnsi="Times New Roman" w:eastAsia="宋体" w:cs="Times New Roman"/>
                <w:i w:val="0"/>
                <w:iCs w:val="0"/>
                <w:color w:val="auto"/>
                <w:sz w:val="20"/>
                <w:szCs w:val="20"/>
                <w:u w:val="none"/>
              </w:rPr>
            </w:pPr>
          </w:p>
        </w:tc>
        <w:tc>
          <w:tcPr>
            <w:tcW w:w="355" w:type="pct"/>
            <w:tcBorders>
              <w:top w:val="nil"/>
              <w:left w:val="nil"/>
              <w:bottom w:val="nil"/>
              <w:right w:val="nil"/>
            </w:tcBorders>
            <w:shd w:val="clear" w:color="auto" w:fill="auto"/>
            <w:noWrap/>
            <w:vAlign w:val="center"/>
          </w:tcPr>
          <w:p w14:paraId="719A224D">
            <w:pPr>
              <w:jc w:val="center"/>
              <w:rPr>
                <w:rFonts w:hint="default" w:ascii="Times New Roman" w:hAnsi="Times New Roman" w:eastAsia="宋体" w:cs="Times New Roman"/>
                <w:i w:val="0"/>
                <w:iCs w:val="0"/>
                <w:color w:val="auto"/>
                <w:sz w:val="20"/>
                <w:szCs w:val="20"/>
                <w:u w:val="none"/>
              </w:rPr>
            </w:pPr>
          </w:p>
        </w:tc>
        <w:tc>
          <w:tcPr>
            <w:tcW w:w="402" w:type="pct"/>
            <w:tcBorders>
              <w:top w:val="nil"/>
              <w:left w:val="nil"/>
              <w:bottom w:val="nil"/>
              <w:right w:val="nil"/>
            </w:tcBorders>
            <w:shd w:val="clear" w:color="auto" w:fill="auto"/>
            <w:noWrap/>
            <w:vAlign w:val="center"/>
          </w:tcPr>
          <w:p w14:paraId="66F91383">
            <w:pPr>
              <w:jc w:val="center"/>
              <w:rPr>
                <w:rFonts w:hint="default" w:ascii="Times New Roman" w:hAnsi="Times New Roman" w:eastAsia="宋体" w:cs="Times New Roman"/>
                <w:i w:val="0"/>
                <w:iCs w:val="0"/>
                <w:color w:val="auto"/>
                <w:sz w:val="20"/>
                <w:szCs w:val="20"/>
                <w:u w:val="none"/>
              </w:rPr>
            </w:pPr>
          </w:p>
        </w:tc>
        <w:tc>
          <w:tcPr>
            <w:tcW w:w="531" w:type="pct"/>
            <w:tcBorders>
              <w:top w:val="nil"/>
              <w:left w:val="nil"/>
              <w:bottom w:val="nil"/>
              <w:right w:val="nil"/>
            </w:tcBorders>
            <w:shd w:val="clear" w:color="auto" w:fill="auto"/>
            <w:noWrap/>
            <w:vAlign w:val="center"/>
          </w:tcPr>
          <w:p w14:paraId="52B88E5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0.144</w:t>
            </w:r>
          </w:p>
        </w:tc>
      </w:tr>
      <w:tr w14:paraId="1DAB3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0F4A21F2">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&lt;80 U/L</w:t>
            </w:r>
          </w:p>
        </w:tc>
        <w:tc>
          <w:tcPr>
            <w:tcW w:w="349" w:type="pct"/>
            <w:tcBorders>
              <w:top w:val="nil"/>
              <w:left w:val="nil"/>
              <w:bottom w:val="nil"/>
              <w:right w:val="nil"/>
            </w:tcBorders>
            <w:shd w:val="clear" w:color="auto" w:fill="auto"/>
            <w:noWrap/>
            <w:vAlign w:val="center"/>
          </w:tcPr>
          <w:p w14:paraId="7E8A189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1047</w:t>
            </w:r>
          </w:p>
        </w:tc>
        <w:tc>
          <w:tcPr>
            <w:tcW w:w="404" w:type="pct"/>
            <w:tcBorders>
              <w:top w:val="nil"/>
              <w:left w:val="nil"/>
              <w:bottom w:val="nil"/>
              <w:right w:val="nil"/>
            </w:tcBorders>
            <w:shd w:val="clear" w:color="auto" w:fill="auto"/>
            <w:noWrap/>
            <w:vAlign w:val="center"/>
          </w:tcPr>
          <w:p w14:paraId="474DBEE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89.2</w:t>
            </w:r>
          </w:p>
        </w:tc>
        <w:tc>
          <w:tcPr>
            <w:tcW w:w="559" w:type="pct"/>
            <w:tcBorders>
              <w:top w:val="nil"/>
              <w:left w:val="nil"/>
              <w:bottom w:val="nil"/>
              <w:right w:val="nil"/>
            </w:tcBorders>
            <w:shd w:val="clear" w:color="auto" w:fill="auto"/>
            <w:noWrap/>
            <w:vAlign w:val="center"/>
          </w:tcPr>
          <w:p w14:paraId="4568E36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413</w:t>
            </w:r>
          </w:p>
        </w:tc>
        <w:tc>
          <w:tcPr>
            <w:tcW w:w="559" w:type="pct"/>
            <w:tcBorders>
              <w:top w:val="nil"/>
              <w:left w:val="nil"/>
              <w:bottom w:val="nil"/>
              <w:right w:val="nil"/>
            </w:tcBorders>
            <w:shd w:val="clear" w:color="auto" w:fill="auto"/>
            <w:noWrap/>
            <w:vAlign w:val="center"/>
          </w:tcPr>
          <w:p w14:paraId="768D92A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634</w:t>
            </w:r>
          </w:p>
        </w:tc>
        <w:tc>
          <w:tcPr>
            <w:tcW w:w="688" w:type="pct"/>
            <w:tcBorders>
              <w:top w:val="nil"/>
              <w:left w:val="nil"/>
              <w:bottom w:val="nil"/>
              <w:right w:val="nil"/>
            </w:tcBorders>
            <w:shd w:val="clear" w:color="auto" w:fill="auto"/>
            <w:noWrap/>
            <w:vAlign w:val="center"/>
          </w:tcPr>
          <w:p w14:paraId="21439AF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1.7</w:t>
            </w:r>
          </w:p>
        </w:tc>
        <w:tc>
          <w:tcPr>
            <w:tcW w:w="366" w:type="pct"/>
            <w:tcBorders>
              <w:top w:val="nil"/>
              <w:left w:val="nil"/>
              <w:bottom w:val="nil"/>
              <w:right w:val="nil"/>
            </w:tcBorders>
            <w:shd w:val="clear" w:color="auto" w:fill="auto"/>
            <w:noWrap/>
            <w:vAlign w:val="center"/>
          </w:tcPr>
          <w:p w14:paraId="5A19ACA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1.43</w:t>
            </w:r>
          </w:p>
        </w:tc>
        <w:tc>
          <w:tcPr>
            <w:tcW w:w="355" w:type="pct"/>
            <w:tcBorders>
              <w:top w:val="nil"/>
              <w:left w:val="nil"/>
              <w:bottom w:val="nil"/>
              <w:right w:val="nil"/>
            </w:tcBorders>
            <w:shd w:val="clear" w:color="auto" w:fill="auto"/>
            <w:noWrap/>
            <w:vAlign w:val="center"/>
          </w:tcPr>
          <w:p w14:paraId="2AD268C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2.02</w:t>
            </w:r>
          </w:p>
        </w:tc>
        <w:tc>
          <w:tcPr>
            <w:tcW w:w="402" w:type="pct"/>
            <w:tcBorders>
              <w:top w:val="nil"/>
              <w:left w:val="nil"/>
              <w:bottom w:val="nil"/>
              <w:right w:val="nil"/>
            </w:tcBorders>
            <w:shd w:val="clear" w:color="auto" w:fill="auto"/>
            <w:noWrap/>
            <w:vAlign w:val="center"/>
          </w:tcPr>
          <w:p w14:paraId="4A37FA4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531" w:type="pct"/>
            <w:tcBorders>
              <w:top w:val="nil"/>
              <w:left w:val="nil"/>
              <w:bottom w:val="nil"/>
              <w:right w:val="nil"/>
            </w:tcBorders>
            <w:shd w:val="clear" w:color="auto" w:fill="auto"/>
            <w:noWrap/>
            <w:vAlign w:val="center"/>
          </w:tcPr>
          <w:p w14:paraId="7055BB1D">
            <w:pPr>
              <w:jc w:val="center"/>
              <w:rPr>
                <w:rFonts w:hint="default" w:ascii="Times New Roman" w:hAnsi="Times New Roman" w:eastAsia="宋体" w:cs="Times New Roman"/>
                <w:i w:val="0"/>
                <w:iCs w:val="0"/>
                <w:color w:val="auto"/>
                <w:sz w:val="20"/>
                <w:szCs w:val="20"/>
                <w:u w:val="none"/>
              </w:rPr>
            </w:pPr>
          </w:p>
        </w:tc>
      </w:tr>
      <w:tr w14:paraId="16306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22099665">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≥80 U/L</w:t>
            </w:r>
          </w:p>
        </w:tc>
        <w:tc>
          <w:tcPr>
            <w:tcW w:w="349" w:type="pct"/>
            <w:tcBorders>
              <w:top w:val="nil"/>
              <w:left w:val="nil"/>
              <w:bottom w:val="nil"/>
              <w:right w:val="nil"/>
            </w:tcBorders>
            <w:shd w:val="clear" w:color="auto" w:fill="auto"/>
            <w:noWrap/>
            <w:vAlign w:val="center"/>
          </w:tcPr>
          <w:p w14:paraId="4503CAF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127</w:t>
            </w:r>
          </w:p>
        </w:tc>
        <w:tc>
          <w:tcPr>
            <w:tcW w:w="404" w:type="pct"/>
            <w:tcBorders>
              <w:top w:val="nil"/>
              <w:left w:val="nil"/>
              <w:bottom w:val="nil"/>
              <w:right w:val="nil"/>
            </w:tcBorders>
            <w:shd w:val="clear" w:color="auto" w:fill="auto"/>
            <w:noWrap/>
            <w:vAlign w:val="center"/>
          </w:tcPr>
          <w:p w14:paraId="324D174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10.8</w:t>
            </w:r>
          </w:p>
        </w:tc>
        <w:tc>
          <w:tcPr>
            <w:tcW w:w="559" w:type="pct"/>
            <w:tcBorders>
              <w:top w:val="nil"/>
              <w:left w:val="nil"/>
              <w:bottom w:val="nil"/>
              <w:right w:val="nil"/>
            </w:tcBorders>
            <w:shd w:val="clear" w:color="auto" w:fill="auto"/>
            <w:noWrap/>
            <w:vAlign w:val="center"/>
          </w:tcPr>
          <w:p w14:paraId="0F5B287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33</w:t>
            </w:r>
          </w:p>
        </w:tc>
        <w:tc>
          <w:tcPr>
            <w:tcW w:w="559" w:type="pct"/>
            <w:tcBorders>
              <w:top w:val="nil"/>
              <w:left w:val="nil"/>
              <w:bottom w:val="nil"/>
              <w:right w:val="nil"/>
            </w:tcBorders>
            <w:shd w:val="clear" w:color="auto" w:fill="auto"/>
            <w:noWrap/>
            <w:vAlign w:val="center"/>
          </w:tcPr>
          <w:p w14:paraId="7A62BFA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94</w:t>
            </w:r>
          </w:p>
        </w:tc>
        <w:tc>
          <w:tcPr>
            <w:tcW w:w="688" w:type="pct"/>
            <w:tcBorders>
              <w:top w:val="nil"/>
              <w:left w:val="nil"/>
              <w:bottom w:val="nil"/>
              <w:right w:val="nil"/>
            </w:tcBorders>
            <w:shd w:val="clear" w:color="auto" w:fill="auto"/>
            <w:noWrap/>
            <w:vAlign w:val="center"/>
          </w:tcPr>
          <w:p w14:paraId="1D74606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1.15</w:t>
            </w:r>
          </w:p>
        </w:tc>
        <w:tc>
          <w:tcPr>
            <w:tcW w:w="366" w:type="pct"/>
            <w:tcBorders>
              <w:top w:val="nil"/>
              <w:left w:val="nil"/>
              <w:bottom w:val="nil"/>
              <w:right w:val="nil"/>
            </w:tcBorders>
            <w:shd w:val="clear" w:color="auto" w:fill="auto"/>
            <w:noWrap/>
            <w:vAlign w:val="center"/>
          </w:tcPr>
          <w:p w14:paraId="6723C85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0.67</w:t>
            </w:r>
          </w:p>
        </w:tc>
        <w:tc>
          <w:tcPr>
            <w:tcW w:w="355" w:type="pct"/>
            <w:tcBorders>
              <w:top w:val="nil"/>
              <w:left w:val="nil"/>
              <w:bottom w:val="nil"/>
              <w:right w:val="nil"/>
            </w:tcBorders>
            <w:shd w:val="clear" w:color="auto" w:fill="auto"/>
            <w:noWrap/>
            <w:vAlign w:val="center"/>
          </w:tcPr>
          <w:p w14:paraId="68BA170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1.96</w:t>
            </w:r>
          </w:p>
        </w:tc>
        <w:tc>
          <w:tcPr>
            <w:tcW w:w="402" w:type="pct"/>
            <w:tcBorders>
              <w:top w:val="nil"/>
              <w:left w:val="nil"/>
              <w:bottom w:val="nil"/>
              <w:right w:val="nil"/>
            </w:tcBorders>
            <w:shd w:val="clear" w:color="auto" w:fill="auto"/>
            <w:noWrap/>
            <w:vAlign w:val="center"/>
          </w:tcPr>
          <w:p w14:paraId="0E59216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0.614</w:t>
            </w:r>
          </w:p>
        </w:tc>
        <w:tc>
          <w:tcPr>
            <w:tcW w:w="531" w:type="pct"/>
            <w:tcBorders>
              <w:top w:val="nil"/>
              <w:left w:val="nil"/>
              <w:bottom w:val="nil"/>
              <w:right w:val="nil"/>
            </w:tcBorders>
            <w:shd w:val="clear" w:color="auto" w:fill="auto"/>
            <w:noWrap/>
            <w:vAlign w:val="center"/>
          </w:tcPr>
          <w:p w14:paraId="0D882AA1">
            <w:pPr>
              <w:jc w:val="center"/>
              <w:rPr>
                <w:rFonts w:hint="default" w:ascii="Times New Roman" w:hAnsi="Times New Roman" w:eastAsia="宋体" w:cs="Times New Roman"/>
                <w:i w:val="0"/>
                <w:iCs w:val="0"/>
                <w:color w:val="auto"/>
                <w:sz w:val="20"/>
                <w:szCs w:val="20"/>
                <w:u w:val="none"/>
              </w:rPr>
            </w:pPr>
          </w:p>
        </w:tc>
      </w:tr>
      <w:tr w14:paraId="701DC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016BEA57">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Total bilirubin</w:t>
            </w:r>
          </w:p>
        </w:tc>
        <w:tc>
          <w:tcPr>
            <w:tcW w:w="349" w:type="pct"/>
            <w:tcBorders>
              <w:top w:val="nil"/>
              <w:left w:val="nil"/>
              <w:bottom w:val="nil"/>
              <w:right w:val="nil"/>
            </w:tcBorders>
            <w:shd w:val="clear" w:color="auto" w:fill="auto"/>
            <w:noWrap/>
            <w:vAlign w:val="center"/>
          </w:tcPr>
          <w:p w14:paraId="73D2A8D7">
            <w:pPr>
              <w:jc w:val="center"/>
              <w:rPr>
                <w:rFonts w:hint="default" w:ascii="Times New Roman" w:hAnsi="Times New Roman" w:eastAsia="宋体" w:cs="Times New Roman"/>
                <w:i w:val="0"/>
                <w:iCs w:val="0"/>
                <w:color w:val="auto"/>
                <w:sz w:val="20"/>
                <w:szCs w:val="20"/>
                <w:u w:val="none"/>
              </w:rPr>
            </w:pPr>
          </w:p>
        </w:tc>
        <w:tc>
          <w:tcPr>
            <w:tcW w:w="404" w:type="pct"/>
            <w:tcBorders>
              <w:top w:val="nil"/>
              <w:left w:val="nil"/>
              <w:bottom w:val="nil"/>
              <w:right w:val="nil"/>
            </w:tcBorders>
            <w:shd w:val="clear" w:color="auto" w:fill="auto"/>
            <w:noWrap/>
            <w:vAlign w:val="center"/>
          </w:tcPr>
          <w:p w14:paraId="389EE9FE">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1D7C672C">
            <w:pPr>
              <w:jc w:val="center"/>
              <w:rPr>
                <w:rFonts w:hint="default" w:ascii="Times New Roman" w:hAnsi="Times New Roman" w:eastAsia="宋体" w:cs="Times New Roman"/>
                <w:i w:val="0"/>
                <w:iCs w:val="0"/>
                <w:color w:val="auto"/>
                <w:sz w:val="20"/>
                <w:szCs w:val="20"/>
                <w:u w:val="none"/>
              </w:rPr>
            </w:pPr>
          </w:p>
        </w:tc>
        <w:tc>
          <w:tcPr>
            <w:tcW w:w="559" w:type="pct"/>
            <w:tcBorders>
              <w:top w:val="nil"/>
              <w:left w:val="nil"/>
              <w:bottom w:val="nil"/>
              <w:right w:val="nil"/>
            </w:tcBorders>
            <w:shd w:val="clear" w:color="auto" w:fill="auto"/>
            <w:noWrap/>
            <w:vAlign w:val="center"/>
          </w:tcPr>
          <w:p w14:paraId="67F69131">
            <w:pPr>
              <w:jc w:val="center"/>
              <w:rPr>
                <w:rFonts w:hint="default" w:ascii="Times New Roman" w:hAnsi="Times New Roman" w:eastAsia="宋体" w:cs="Times New Roman"/>
                <w:i w:val="0"/>
                <w:iCs w:val="0"/>
                <w:color w:val="auto"/>
                <w:sz w:val="20"/>
                <w:szCs w:val="20"/>
                <w:u w:val="none"/>
              </w:rPr>
            </w:pPr>
          </w:p>
        </w:tc>
        <w:tc>
          <w:tcPr>
            <w:tcW w:w="688" w:type="pct"/>
            <w:tcBorders>
              <w:top w:val="nil"/>
              <w:left w:val="nil"/>
              <w:bottom w:val="nil"/>
              <w:right w:val="nil"/>
            </w:tcBorders>
            <w:shd w:val="clear" w:color="auto" w:fill="auto"/>
            <w:noWrap/>
            <w:vAlign w:val="center"/>
          </w:tcPr>
          <w:p w14:paraId="4E49E37F">
            <w:pPr>
              <w:jc w:val="center"/>
              <w:rPr>
                <w:rFonts w:hint="default" w:ascii="Times New Roman" w:hAnsi="Times New Roman" w:eastAsia="宋体" w:cs="Times New Roman"/>
                <w:i w:val="0"/>
                <w:iCs w:val="0"/>
                <w:color w:val="auto"/>
                <w:sz w:val="20"/>
                <w:szCs w:val="20"/>
                <w:u w:val="none"/>
              </w:rPr>
            </w:pPr>
          </w:p>
        </w:tc>
        <w:tc>
          <w:tcPr>
            <w:tcW w:w="366" w:type="pct"/>
            <w:tcBorders>
              <w:top w:val="nil"/>
              <w:left w:val="nil"/>
              <w:bottom w:val="nil"/>
              <w:right w:val="nil"/>
            </w:tcBorders>
            <w:shd w:val="clear" w:color="auto" w:fill="auto"/>
            <w:noWrap/>
            <w:vAlign w:val="center"/>
          </w:tcPr>
          <w:p w14:paraId="6B8BB690">
            <w:pPr>
              <w:jc w:val="center"/>
              <w:rPr>
                <w:rFonts w:hint="default" w:ascii="Times New Roman" w:hAnsi="Times New Roman" w:eastAsia="宋体" w:cs="Times New Roman"/>
                <w:i w:val="0"/>
                <w:iCs w:val="0"/>
                <w:color w:val="auto"/>
                <w:sz w:val="20"/>
                <w:szCs w:val="20"/>
                <w:u w:val="none"/>
              </w:rPr>
            </w:pPr>
          </w:p>
        </w:tc>
        <w:tc>
          <w:tcPr>
            <w:tcW w:w="355" w:type="pct"/>
            <w:tcBorders>
              <w:top w:val="nil"/>
              <w:left w:val="nil"/>
              <w:bottom w:val="nil"/>
              <w:right w:val="nil"/>
            </w:tcBorders>
            <w:shd w:val="clear" w:color="auto" w:fill="auto"/>
            <w:noWrap/>
            <w:vAlign w:val="center"/>
          </w:tcPr>
          <w:p w14:paraId="0058DBA5">
            <w:pPr>
              <w:jc w:val="center"/>
              <w:rPr>
                <w:rFonts w:hint="default" w:ascii="Times New Roman" w:hAnsi="Times New Roman" w:eastAsia="宋体" w:cs="Times New Roman"/>
                <w:i w:val="0"/>
                <w:iCs w:val="0"/>
                <w:color w:val="auto"/>
                <w:sz w:val="20"/>
                <w:szCs w:val="20"/>
                <w:u w:val="none"/>
              </w:rPr>
            </w:pPr>
          </w:p>
        </w:tc>
        <w:tc>
          <w:tcPr>
            <w:tcW w:w="402" w:type="pct"/>
            <w:tcBorders>
              <w:top w:val="nil"/>
              <w:left w:val="nil"/>
              <w:bottom w:val="nil"/>
              <w:right w:val="nil"/>
            </w:tcBorders>
            <w:shd w:val="clear" w:color="auto" w:fill="auto"/>
            <w:noWrap/>
            <w:vAlign w:val="center"/>
          </w:tcPr>
          <w:p w14:paraId="7A5579C5">
            <w:pPr>
              <w:jc w:val="center"/>
              <w:rPr>
                <w:rFonts w:hint="default" w:ascii="Times New Roman" w:hAnsi="Times New Roman" w:eastAsia="宋体" w:cs="Times New Roman"/>
                <w:i w:val="0"/>
                <w:iCs w:val="0"/>
                <w:color w:val="auto"/>
                <w:sz w:val="20"/>
                <w:szCs w:val="20"/>
                <w:u w:val="none"/>
              </w:rPr>
            </w:pPr>
          </w:p>
        </w:tc>
        <w:tc>
          <w:tcPr>
            <w:tcW w:w="531" w:type="pct"/>
            <w:tcBorders>
              <w:top w:val="nil"/>
              <w:left w:val="nil"/>
              <w:bottom w:val="nil"/>
              <w:right w:val="nil"/>
            </w:tcBorders>
            <w:shd w:val="clear" w:color="auto" w:fill="auto"/>
            <w:noWrap/>
            <w:vAlign w:val="center"/>
          </w:tcPr>
          <w:p w14:paraId="493872E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0.744</w:t>
            </w:r>
          </w:p>
        </w:tc>
      </w:tr>
      <w:tr w14:paraId="15B62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nil"/>
              <w:right w:val="nil"/>
            </w:tcBorders>
            <w:shd w:val="clear" w:color="auto" w:fill="auto"/>
            <w:noWrap/>
            <w:vAlign w:val="center"/>
          </w:tcPr>
          <w:p w14:paraId="540B594B">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&lt;17.1 μmol/L</w:t>
            </w:r>
          </w:p>
        </w:tc>
        <w:tc>
          <w:tcPr>
            <w:tcW w:w="349" w:type="pct"/>
            <w:tcBorders>
              <w:top w:val="nil"/>
              <w:left w:val="nil"/>
              <w:bottom w:val="nil"/>
              <w:right w:val="nil"/>
            </w:tcBorders>
            <w:shd w:val="clear" w:color="auto" w:fill="auto"/>
            <w:noWrap/>
            <w:vAlign w:val="center"/>
          </w:tcPr>
          <w:p w14:paraId="1B791D8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872</w:t>
            </w:r>
          </w:p>
        </w:tc>
        <w:tc>
          <w:tcPr>
            <w:tcW w:w="404" w:type="pct"/>
            <w:tcBorders>
              <w:top w:val="nil"/>
              <w:left w:val="nil"/>
              <w:bottom w:val="nil"/>
              <w:right w:val="nil"/>
            </w:tcBorders>
            <w:shd w:val="clear" w:color="auto" w:fill="auto"/>
            <w:noWrap/>
            <w:vAlign w:val="center"/>
          </w:tcPr>
          <w:p w14:paraId="5F086EE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74.3</w:t>
            </w:r>
          </w:p>
        </w:tc>
        <w:tc>
          <w:tcPr>
            <w:tcW w:w="559" w:type="pct"/>
            <w:tcBorders>
              <w:top w:val="nil"/>
              <w:left w:val="nil"/>
              <w:bottom w:val="nil"/>
              <w:right w:val="nil"/>
            </w:tcBorders>
            <w:shd w:val="clear" w:color="auto" w:fill="auto"/>
            <w:noWrap/>
            <w:vAlign w:val="center"/>
          </w:tcPr>
          <w:p w14:paraId="68C0966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342</w:t>
            </w:r>
          </w:p>
        </w:tc>
        <w:tc>
          <w:tcPr>
            <w:tcW w:w="559" w:type="pct"/>
            <w:tcBorders>
              <w:top w:val="nil"/>
              <w:left w:val="nil"/>
              <w:bottom w:val="nil"/>
              <w:right w:val="nil"/>
            </w:tcBorders>
            <w:shd w:val="clear" w:color="auto" w:fill="auto"/>
            <w:noWrap/>
            <w:vAlign w:val="center"/>
          </w:tcPr>
          <w:p w14:paraId="00E075E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530</w:t>
            </w:r>
          </w:p>
        </w:tc>
        <w:tc>
          <w:tcPr>
            <w:tcW w:w="688" w:type="pct"/>
            <w:tcBorders>
              <w:top w:val="nil"/>
              <w:left w:val="nil"/>
              <w:bottom w:val="nil"/>
              <w:right w:val="nil"/>
            </w:tcBorders>
            <w:shd w:val="clear" w:color="auto" w:fill="auto"/>
            <w:noWrap/>
            <w:vAlign w:val="center"/>
          </w:tcPr>
          <w:p w14:paraId="558DE7B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1.64</w:t>
            </w:r>
          </w:p>
        </w:tc>
        <w:tc>
          <w:tcPr>
            <w:tcW w:w="366" w:type="pct"/>
            <w:tcBorders>
              <w:top w:val="nil"/>
              <w:left w:val="nil"/>
              <w:bottom w:val="nil"/>
              <w:right w:val="nil"/>
            </w:tcBorders>
            <w:shd w:val="clear" w:color="auto" w:fill="auto"/>
            <w:noWrap/>
            <w:vAlign w:val="center"/>
          </w:tcPr>
          <w:p w14:paraId="70BCB0A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1.36</w:t>
            </w:r>
          </w:p>
        </w:tc>
        <w:tc>
          <w:tcPr>
            <w:tcW w:w="355" w:type="pct"/>
            <w:tcBorders>
              <w:top w:val="nil"/>
              <w:left w:val="nil"/>
              <w:bottom w:val="nil"/>
              <w:right w:val="nil"/>
            </w:tcBorders>
            <w:shd w:val="clear" w:color="auto" w:fill="auto"/>
            <w:noWrap/>
            <w:vAlign w:val="center"/>
          </w:tcPr>
          <w:p w14:paraId="2688057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1.98</w:t>
            </w:r>
          </w:p>
        </w:tc>
        <w:tc>
          <w:tcPr>
            <w:tcW w:w="402" w:type="pct"/>
            <w:tcBorders>
              <w:top w:val="nil"/>
              <w:left w:val="nil"/>
              <w:bottom w:val="nil"/>
              <w:right w:val="nil"/>
            </w:tcBorders>
            <w:shd w:val="clear" w:color="auto" w:fill="auto"/>
            <w:noWrap/>
            <w:vAlign w:val="center"/>
          </w:tcPr>
          <w:p w14:paraId="3C1368A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531" w:type="pct"/>
            <w:tcBorders>
              <w:top w:val="nil"/>
              <w:left w:val="nil"/>
              <w:bottom w:val="nil"/>
              <w:right w:val="nil"/>
            </w:tcBorders>
            <w:shd w:val="clear" w:color="auto" w:fill="auto"/>
            <w:noWrap/>
            <w:vAlign w:val="center"/>
          </w:tcPr>
          <w:p w14:paraId="71AA20E4">
            <w:pPr>
              <w:jc w:val="center"/>
              <w:rPr>
                <w:rFonts w:hint="default" w:ascii="Times New Roman" w:hAnsi="Times New Roman" w:eastAsia="宋体" w:cs="Times New Roman"/>
                <w:i w:val="0"/>
                <w:iCs w:val="0"/>
                <w:color w:val="auto"/>
                <w:sz w:val="20"/>
                <w:szCs w:val="20"/>
                <w:u w:val="none"/>
              </w:rPr>
            </w:pPr>
          </w:p>
        </w:tc>
      </w:tr>
      <w:tr w14:paraId="44837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2" w:type="pct"/>
            <w:tcBorders>
              <w:top w:val="nil"/>
              <w:left w:val="nil"/>
              <w:bottom w:val="single" w:color="auto" w:sz="4" w:space="0"/>
              <w:right w:val="nil"/>
            </w:tcBorders>
            <w:shd w:val="clear" w:color="auto" w:fill="auto"/>
            <w:noWrap/>
            <w:vAlign w:val="center"/>
          </w:tcPr>
          <w:p w14:paraId="6CF59DD6">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≥17.1 μmol/L</w:t>
            </w:r>
          </w:p>
        </w:tc>
        <w:tc>
          <w:tcPr>
            <w:tcW w:w="349" w:type="pct"/>
            <w:tcBorders>
              <w:top w:val="nil"/>
              <w:left w:val="nil"/>
              <w:bottom w:val="single" w:color="auto" w:sz="4" w:space="0"/>
              <w:right w:val="nil"/>
            </w:tcBorders>
            <w:shd w:val="clear" w:color="auto" w:fill="auto"/>
            <w:noWrap/>
            <w:vAlign w:val="center"/>
          </w:tcPr>
          <w:p w14:paraId="7D33615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302</w:t>
            </w:r>
          </w:p>
        </w:tc>
        <w:tc>
          <w:tcPr>
            <w:tcW w:w="404" w:type="pct"/>
            <w:tcBorders>
              <w:top w:val="nil"/>
              <w:left w:val="nil"/>
              <w:bottom w:val="single" w:color="auto" w:sz="4" w:space="0"/>
              <w:right w:val="nil"/>
            </w:tcBorders>
            <w:shd w:val="clear" w:color="auto" w:fill="auto"/>
            <w:noWrap/>
            <w:vAlign w:val="center"/>
          </w:tcPr>
          <w:p w14:paraId="250F860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25.7</w:t>
            </w:r>
          </w:p>
        </w:tc>
        <w:tc>
          <w:tcPr>
            <w:tcW w:w="559" w:type="pct"/>
            <w:tcBorders>
              <w:top w:val="nil"/>
              <w:left w:val="nil"/>
              <w:bottom w:val="single" w:color="auto" w:sz="4" w:space="0"/>
              <w:right w:val="nil"/>
            </w:tcBorders>
            <w:shd w:val="clear" w:color="auto" w:fill="auto"/>
            <w:noWrap/>
            <w:vAlign w:val="center"/>
          </w:tcPr>
          <w:p w14:paraId="180627A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104</w:t>
            </w:r>
          </w:p>
        </w:tc>
        <w:tc>
          <w:tcPr>
            <w:tcW w:w="559" w:type="pct"/>
            <w:tcBorders>
              <w:top w:val="nil"/>
              <w:left w:val="nil"/>
              <w:bottom w:val="single" w:color="auto" w:sz="4" w:space="0"/>
              <w:right w:val="nil"/>
            </w:tcBorders>
            <w:shd w:val="clear" w:color="auto" w:fill="auto"/>
            <w:noWrap/>
            <w:vAlign w:val="center"/>
          </w:tcPr>
          <w:p w14:paraId="6049C8B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198</w:t>
            </w:r>
          </w:p>
        </w:tc>
        <w:tc>
          <w:tcPr>
            <w:tcW w:w="688" w:type="pct"/>
            <w:tcBorders>
              <w:top w:val="nil"/>
              <w:left w:val="nil"/>
              <w:bottom w:val="single" w:color="auto" w:sz="4" w:space="0"/>
              <w:right w:val="nil"/>
            </w:tcBorders>
            <w:shd w:val="clear" w:color="auto" w:fill="auto"/>
            <w:noWrap/>
            <w:vAlign w:val="center"/>
          </w:tcPr>
          <w:p w14:paraId="6C209AB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1.61</w:t>
            </w:r>
          </w:p>
        </w:tc>
        <w:tc>
          <w:tcPr>
            <w:tcW w:w="366" w:type="pct"/>
            <w:tcBorders>
              <w:top w:val="nil"/>
              <w:left w:val="nil"/>
              <w:bottom w:val="single" w:color="auto" w:sz="4" w:space="0"/>
              <w:right w:val="nil"/>
            </w:tcBorders>
            <w:shd w:val="clear" w:color="auto" w:fill="auto"/>
            <w:noWrap/>
            <w:vAlign w:val="center"/>
          </w:tcPr>
          <w:p w14:paraId="2216922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1.17</w:t>
            </w:r>
          </w:p>
        </w:tc>
        <w:tc>
          <w:tcPr>
            <w:tcW w:w="355" w:type="pct"/>
            <w:tcBorders>
              <w:top w:val="nil"/>
              <w:left w:val="nil"/>
              <w:bottom w:val="single" w:color="auto" w:sz="4" w:space="0"/>
              <w:right w:val="nil"/>
            </w:tcBorders>
            <w:shd w:val="clear" w:color="auto" w:fill="auto"/>
            <w:noWrap/>
            <w:vAlign w:val="center"/>
          </w:tcPr>
          <w:p w14:paraId="417347C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2.2</w:t>
            </w:r>
          </w:p>
        </w:tc>
        <w:tc>
          <w:tcPr>
            <w:tcW w:w="402" w:type="pct"/>
            <w:tcBorders>
              <w:top w:val="nil"/>
              <w:left w:val="nil"/>
              <w:bottom w:val="single" w:color="auto" w:sz="4" w:space="0"/>
              <w:right w:val="nil"/>
            </w:tcBorders>
            <w:shd w:val="clear" w:color="auto" w:fill="auto"/>
            <w:noWrap/>
            <w:vAlign w:val="center"/>
          </w:tcPr>
          <w:p w14:paraId="51AFDBA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0.003</w:t>
            </w:r>
          </w:p>
        </w:tc>
        <w:tc>
          <w:tcPr>
            <w:tcW w:w="531" w:type="pct"/>
            <w:tcBorders>
              <w:top w:val="nil"/>
              <w:left w:val="nil"/>
              <w:bottom w:val="single" w:color="auto" w:sz="4" w:space="0"/>
              <w:right w:val="nil"/>
            </w:tcBorders>
            <w:shd w:val="clear" w:color="auto" w:fill="auto"/>
            <w:noWrap/>
            <w:vAlign w:val="center"/>
          </w:tcPr>
          <w:p w14:paraId="312322ED">
            <w:pPr>
              <w:jc w:val="center"/>
              <w:rPr>
                <w:rFonts w:hint="default" w:ascii="Times New Roman" w:hAnsi="Times New Roman" w:eastAsia="宋体" w:cs="Times New Roman"/>
                <w:i w:val="0"/>
                <w:iCs w:val="0"/>
                <w:color w:val="auto"/>
                <w:sz w:val="20"/>
                <w:szCs w:val="20"/>
                <w:u w:val="none"/>
              </w:rPr>
            </w:pPr>
          </w:p>
        </w:tc>
      </w:tr>
    </w:tbl>
    <w:p w14:paraId="00124602">
      <w:pP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 xml:space="preserve">Abbreviations:HBsAg, hepatitis B surface antigen; AST, aspartate aminotransferase; ALT, alanine aminotransferase; </w:t>
      </w:r>
      <w:r>
        <w:rPr>
          <w:rFonts w:hint="eastAsia" w:ascii="Times New Roman" w:hAnsi="Times New Roman" w:eastAsia="宋体" w:cs="Times New Roman"/>
          <w:color w:val="auto"/>
          <w:sz w:val="20"/>
          <w:szCs w:val="20"/>
          <w:lang w:val="en-US" w:eastAsia="zh-CN"/>
        </w:rPr>
        <w:t xml:space="preserve">PLT, </w:t>
      </w:r>
      <w:r>
        <w:rPr>
          <w:rFonts w:hint="default" w:ascii="Times New Roman" w:hAnsi="Times New Roman" w:eastAsia="宋体" w:cs="Times New Roman"/>
          <w:color w:val="auto"/>
          <w:sz w:val="20"/>
          <w:szCs w:val="20"/>
        </w:rPr>
        <w:t>platelet</w:t>
      </w:r>
      <w:r>
        <w:rPr>
          <w:rFonts w:hint="eastAsia" w:ascii="Times New Roman" w:hAnsi="Times New Roman" w:eastAsia="宋体" w:cs="Times New Roman"/>
          <w:color w:val="auto"/>
          <w:sz w:val="20"/>
          <w:szCs w:val="20"/>
          <w:lang w:val="en-US" w:eastAsia="zh-CN"/>
        </w:rPr>
        <w:t xml:space="preserve">; </w:t>
      </w:r>
      <w:r>
        <w:rPr>
          <w:rFonts w:hint="default" w:ascii="Times New Roman" w:hAnsi="Times New Roman" w:eastAsia="宋体" w:cs="Times New Roman"/>
          <w:color w:val="auto"/>
          <w:sz w:val="20"/>
          <w:szCs w:val="20"/>
        </w:rPr>
        <w:t>APRI, aspartate aminotransferase to platelet ratio index.</w:t>
      </w:r>
    </w:p>
    <w:p w14:paraId="57170453">
      <w:pPr>
        <w:rPr>
          <w:rFonts w:ascii="Calibri" w:hAnsi="Calibri" w:eastAsia="宋体" w:cs="Times New Roman"/>
          <w:color w:val="auto"/>
        </w:rPr>
      </w:pPr>
    </w:p>
    <w:p w14:paraId="397002E4">
      <w:pPr>
        <w:rPr>
          <w:rFonts w:ascii="Calibri" w:hAnsi="Calibri" w:eastAsia="宋体" w:cs="Times New Roman"/>
          <w:color w:val="auto"/>
        </w:rPr>
      </w:pPr>
    </w:p>
    <w:p w14:paraId="1F3522CC">
      <w:pPr>
        <w:rPr>
          <w:rFonts w:ascii="Calibri" w:hAnsi="Calibri" w:eastAsia="宋体" w:cs="Times New Roman"/>
          <w:color w:val="auto"/>
        </w:rPr>
      </w:pPr>
    </w:p>
    <w:p w14:paraId="1D9E26D0">
      <w:pPr>
        <w:rPr>
          <w:rFonts w:ascii="Calibri" w:hAnsi="Calibri" w:eastAsia="宋体" w:cs="Times New Roman"/>
          <w:color w:val="auto"/>
        </w:rPr>
      </w:pPr>
    </w:p>
    <w:p w14:paraId="53065083">
      <w:pPr>
        <w:rPr>
          <w:rFonts w:ascii="Calibri" w:hAnsi="Calibri" w:eastAsia="宋体" w:cs="Times New Roman"/>
          <w:color w:val="auto"/>
        </w:rPr>
      </w:pPr>
    </w:p>
    <w:p w14:paraId="7EA04A42">
      <w:pPr>
        <w:rPr>
          <w:rFonts w:ascii="Calibri" w:hAnsi="Calibri" w:eastAsia="宋体" w:cs="Times New Roman"/>
          <w:color w:val="auto"/>
        </w:rPr>
      </w:pPr>
    </w:p>
    <w:p w14:paraId="60986B1E">
      <w:pPr>
        <w:rPr>
          <w:rFonts w:ascii="Calibri" w:hAnsi="Calibri" w:eastAsia="宋体" w:cs="Times New Roman"/>
          <w:color w:val="auto"/>
        </w:rPr>
      </w:pPr>
    </w:p>
    <w:p w14:paraId="76BEF54F">
      <w:pPr>
        <w:rPr>
          <w:rFonts w:ascii="Calibri" w:hAnsi="Calibri" w:eastAsia="宋体" w:cs="Times New Roman"/>
          <w:color w:val="auto"/>
        </w:rPr>
      </w:pPr>
    </w:p>
    <w:p w14:paraId="506311A0">
      <w:pPr>
        <w:rPr>
          <w:rFonts w:ascii="Calibri" w:hAnsi="Calibri" w:eastAsia="宋体" w:cs="Times New Roman"/>
          <w:color w:val="auto"/>
        </w:rPr>
      </w:pPr>
    </w:p>
    <w:p w14:paraId="7E2ADC76">
      <w:pP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lang w:val="en-US" w:eastAsia="zh-CN"/>
        </w:rPr>
        <w:t xml:space="preserve">Table </w:t>
      </w:r>
      <w:r>
        <w:rPr>
          <w:rFonts w:hint="eastAsia" w:ascii="Times New Roman" w:hAnsi="Times New Roman" w:eastAsia="宋体" w:cs="Times New Roman"/>
          <w:color w:val="auto"/>
          <w:sz w:val="20"/>
          <w:szCs w:val="20"/>
          <w:lang w:val="en-US" w:eastAsia="zh-CN"/>
        </w:rPr>
        <w:t>5</w:t>
      </w:r>
      <w:r>
        <w:rPr>
          <w:rFonts w:hint="default" w:ascii="Times New Roman" w:hAnsi="Times New Roman" w:eastAsia="宋体" w:cs="Times New Roman"/>
          <w:color w:val="auto"/>
          <w:sz w:val="20"/>
          <w:szCs w:val="20"/>
          <w:lang w:val="en-US" w:eastAsia="zh-CN"/>
        </w:rPr>
        <w:t>.</w:t>
      </w:r>
      <w:r>
        <w:rPr>
          <w:rFonts w:hint="default" w:ascii="Times New Roman" w:hAnsi="Times New Roman" w:eastAsia="宋体" w:cs="Times New Roman"/>
          <w:color w:val="auto"/>
          <w:sz w:val="20"/>
          <w:szCs w:val="20"/>
          <w:lang w:val="en-US" w:eastAsia="zh-CN"/>
        </w:rPr>
        <w:t>Overall survival of AFP-FIB-4 score 1 and AFP-FIB-4 score 2 groups stratified by different potential confounders.</w:t>
      </w:r>
    </w:p>
    <w:tbl>
      <w:tblPr>
        <w:tblStyle w:val="6"/>
        <w:tblW w:w="99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65"/>
        <w:gridCol w:w="705"/>
        <w:gridCol w:w="816"/>
        <w:gridCol w:w="1128"/>
        <w:gridCol w:w="1128"/>
        <w:gridCol w:w="1108"/>
        <w:gridCol w:w="738"/>
        <w:gridCol w:w="716"/>
        <w:gridCol w:w="779"/>
        <w:gridCol w:w="1205"/>
      </w:tblGrid>
      <w:tr w14:paraId="6A8F6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single" w:color="auto" w:sz="4" w:space="0"/>
              <w:left w:val="nil"/>
              <w:bottom w:val="single" w:color="auto" w:sz="4" w:space="0"/>
              <w:right w:val="nil"/>
            </w:tcBorders>
            <w:shd w:val="clear" w:color="auto" w:fill="auto"/>
            <w:noWrap/>
            <w:vAlign w:val="center"/>
          </w:tcPr>
          <w:p w14:paraId="67B287D2">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Variable</w:t>
            </w:r>
          </w:p>
        </w:tc>
        <w:tc>
          <w:tcPr>
            <w:tcW w:w="705" w:type="dxa"/>
            <w:tcBorders>
              <w:top w:val="single" w:color="auto" w:sz="4" w:space="0"/>
              <w:left w:val="nil"/>
              <w:bottom w:val="single" w:color="auto" w:sz="4" w:space="0"/>
              <w:right w:val="nil"/>
            </w:tcBorders>
            <w:shd w:val="clear" w:color="auto" w:fill="auto"/>
            <w:noWrap/>
            <w:vAlign w:val="center"/>
          </w:tcPr>
          <w:p w14:paraId="5508A6E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Count</w:t>
            </w:r>
          </w:p>
        </w:tc>
        <w:tc>
          <w:tcPr>
            <w:tcW w:w="816" w:type="dxa"/>
            <w:tcBorders>
              <w:top w:val="single" w:color="auto" w:sz="4" w:space="0"/>
              <w:left w:val="nil"/>
              <w:bottom w:val="single" w:color="auto" w:sz="4" w:space="0"/>
              <w:right w:val="nil"/>
            </w:tcBorders>
            <w:shd w:val="clear" w:color="auto" w:fill="auto"/>
            <w:noWrap/>
            <w:vAlign w:val="center"/>
          </w:tcPr>
          <w:p w14:paraId="5E4F6B8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Percent</w:t>
            </w:r>
          </w:p>
        </w:tc>
        <w:tc>
          <w:tcPr>
            <w:tcW w:w="1128" w:type="dxa"/>
            <w:tcBorders>
              <w:top w:val="single" w:color="auto" w:sz="4" w:space="0"/>
              <w:left w:val="nil"/>
              <w:bottom w:val="single" w:color="auto" w:sz="4" w:space="0"/>
              <w:right w:val="nil"/>
            </w:tcBorders>
            <w:shd w:val="clear" w:color="auto" w:fill="auto"/>
            <w:noWrap/>
            <w:vAlign w:val="center"/>
          </w:tcPr>
          <w:p w14:paraId="6E74CDAE">
            <w:pPr>
              <w:keepNext w:val="0"/>
              <w:keepLines w:val="0"/>
              <w:widowControl/>
              <w:suppressLineNumbers w:val="0"/>
              <w:jc w:val="left"/>
              <w:textAlignment w:val="center"/>
              <w:rPr>
                <w:rFonts w:hint="eastAsia"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 xml:space="preserve">AFP-FIB-4 </w:t>
            </w:r>
          </w:p>
          <w:p w14:paraId="26D3E5C5">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score 1</w:t>
            </w:r>
          </w:p>
        </w:tc>
        <w:tc>
          <w:tcPr>
            <w:tcW w:w="1128" w:type="dxa"/>
            <w:tcBorders>
              <w:top w:val="single" w:color="auto" w:sz="4" w:space="0"/>
              <w:left w:val="nil"/>
              <w:bottom w:val="single" w:color="auto" w:sz="4" w:space="0"/>
              <w:right w:val="nil"/>
            </w:tcBorders>
            <w:shd w:val="clear" w:color="auto" w:fill="auto"/>
            <w:noWrap/>
            <w:vAlign w:val="center"/>
          </w:tcPr>
          <w:p w14:paraId="30264849">
            <w:pPr>
              <w:keepNext w:val="0"/>
              <w:keepLines w:val="0"/>
              <w:widowControl/>
              <w:suppressLineNumbers w:val="0"/>
              <w:jc w:val="left"/>
              <w:textAlignment w:val="center"/>
              <w:rPr>
                <w:rFonts w:hint="eastAsia"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 xml:space="preserve">AFP-FIB-4 </w:t>
            </w:r>
          </w:p>
          <w:p w14:paraId="33A9DF73">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score 2</w:t>
            </w:r>
          </w:p>
        </w:tc>
        <w:tc>
          <w:tcPr>
            <w:tcW w:w="1108" w:type="dxa"/>
            <w:tcBorders>
              <w:top w:val="single" w:color="auto" w:sz="4" w:space="0"/>
              <w:left w:val="nil"/>
              <w:bottom w:val="single" w:color="auto" w:sz="4" w:space="0"/>
              <w:right w:val="nil"/>
            </w:tcBorders>
            <w:shd w:val="clear" w:color="auto" w:fill="auto"/>
            <w:noWrap/>
            <w:vAlign w:val="center"/>
          </w:tcPr>
          <w:p w14:paraId="4FE7884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eastAsia" w:ascii="Times New Roman" w:hAnsi="Times New Roman" w:eastAsia="宋体" w:cs="Times New Roman"/>
                <w:i w:val="0"/>
                <w:iCs w:val="0"/>
                <w:color w:val="auto"/>
                <w:kern w:val="0"/>
                <w:sz w:val="20"/>
                <w:szCs w:val="20"/>
                <w:u w:val="none"/>
                <w:lang w:val="en-US" w:eastAsia="zh-CN" w:bidi="ar"/>
              </w:rPr>
              <w:t>HR</w:t>
            </w:r>
          </w:p>
        </w:tc>
        <w:tc>
          <w:tcPr>
            <w:tcW w:w="738" w:type="dxa"/>
            <w:tcBorders>
              <w:top w:val="single" w:color="auto" w:sz="4" w:space="0"/>
              <w:left w:val="nil"/>
              <w:bottom w:val="single" w:color="auto" w:sz="4" w:space="0"/>
              <w:right w:val="nil"/>
            </w:tcBorders>
            <w:shd w:val="clear" w:color="auto" w:fill="auto"/>
            <w:noWrap/>
            <w:vAlign w:val="center"/>
          </w:tcPr>
          <w:p w14:paraId="4BA90B6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Lower</w:t>
            </w:r>
          </w:p>
        </w:tc>
        <w:tc>
          <w:tcPr>
            <w:tcW w:w="716" w:type="dxa"/>
            <w:tcBorders>
              <w:top w:val="single" w:color="auto" w:sz="4" w:space="0"/>
              <w:left w:val="nil"/>
              <w:bottom w:val="single" w:color="auto" w:sz="4" w:space="0"/>
              <w:right w:val="nil"/>
            </w:tcBorders>
            <w:shd w:val="clear" w:color="auto" w:fill="auto"/>
            <w:noWrap/>
            <w:vAlign w:val="center"/>
          </w:tcPr>
          <w:p w14:paraId="6CECEF4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Upper</w:t>
            </w:r>
          </w:p>
        </w:tc>
        <w:tc>
          <w:tcPr>
            <w:tcW w:w="779" w:type="dxa"/>
            <w:tcBorders>
              <w:top w:val="single" w:color="auto" w:sz="4" w:space="0"/>
              <w:left w:val="nil"/>
              <w:bottom w:val="single" w:color="auto" w:sz="4" w:space="0"/>
              <w:right w:val="nil"/>
            </w:tcBorders>
            <w:shd w:val="clear" w:color="auto" w:fill="auto"/>
            <w:noWrap/>
            <w:vAlign w:val="center"/>
          </w:tcPr>
          <w:p w14:paraId="09233DA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P value</w:t>
            </w:r>
          </w:p>
        </w:tc>
        <w:tc>
          <w:tcPr>
            <w:tcW w:w="1205" w:type="dxa"/>
            <w:tcBorders>
              <w:top w:val="single" w:color="auto" w:sz="4" w:space="0"/>
              <w:left w:val="nil"/>
              <w:bottom w:val="single" w:color="auto" w:sz="4" w:space="0"/>
              <w:right w:val="nil"/>
            </w:tcBorders>
            <w:shd w:val="clear" w:color="auto" w:fill="auto"/>
            <w:noWrap/>
            <w:vAlign w:val="center"/>
          </w:tcPr>
          <w:p w14:paraId="7D7A7B7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P for interaction</w:t>
            </w:r>
          </w:p>
        </w:tc>
      </w:tr>
      <w:tr w14:paraId="13F37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single" w:color="auto" w:sz="4" w:space="0"/>
              <w:left w:val="nil"/>
              <w:bottom w:val="nil"/>
              <w:right w:val="nil"/>
            </w:tcBorders>
            <w:shd w:val="clear" w:color="auto" w:fill="auto"/>
            <w:noWrap/>
            <w:vAlign w:val="center"/>
          </w:tcPr>
          <w:p w14:paraId="61856D2C">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Overall</w:t>
            </w:r>
          </w:p>
        </w:tc>
        <w:tc>
          <w:tcPr>
            <w:tcW w:w="705" w:type="dxa"/>
            <w:tcBorders>
              <w:top w:val="single" w:color="auto" w:sz="4" w:space="0"/>
              <w:left w:val="nil"/>
              <w:bottom w:val="nil"/>
              <w:right w:val="nil"/>
            </w:tcBorders>
            <w:shd w:val="clear" w:color="auto" w:fill="auto"/>
            <w:noWrap/>
            <w:vAlign w:val="center"/>
          </w:tcPr>
          <w:p w14:paraId="4FECDD8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1174</w:t>
            </w:r>
          </w:p>
        </w:tc>
        <w:tc>
          <w:tcPr>
            <w:tcW w:w="816" w:type="dxa"/>
            <w:tcBorders>
              <w:top w:val="single" w:color="auto" w:sz="4" w:space="0"/>
              <w:left w:val="nil"/>
              <w:bottom w:val="nil"/>
              <w:right w:val="nil"/>
            </w:tcBorders>
            <w:shd w:val="clear" w:color="auto" w:fill="auto"/>
            <w:noWrap/>
            <w:vAlign w:val="center"/>
          </w:tcPr>
          <w:p w14:paraId="3942025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100</w:t>
            </w:r>
          </w:p>
        </w:tc>
        <w:tc>
          <w:tcPr>
            <w:tcW w:w="1128" w:type="dxa"/>
            <w:tcBorders>
              <w:top w:val="single" w:color="auto" w:sz="4" w:space="0"/>
              <w:left w:val="nil"/>
              <w:bottom w:val="nil"/>
              <w:right w:val="nil"/>
            </w:tcBorders>
            <w:shd w:val="clear" w:color="auto" w:fill="auto"/>
            <w:noWrap/>
            <w:vAlign w:val="center"/>
          </w:tcPr>
          <w:p w14:paraId="3342AB8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446</w:t>
            </w:r>
          </w:p>
        </w:tc>
        <w:tc>
          <w:tcPr>
            <w:tcW w:w="1128" w:type="dxa"/>
            <w:tcBorders>
              <w:top w:val="single" w:color="auto" w:sz="4" w:space="0"/>
              <w:left w:val="nil"/>
              <w:bottom w:val="nil"/>
              <w:right w:val="nil"/>
            </w:tcBorders>
            <w:shd w:val="clear" w:color="auto" w:fill="auto"/>
            <w:noWrap/>
            <w:vAlign w:val="center"/>
          </w:tcPr>
          <w:p w14:paraId="42FF3CA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728</w:t>
            </w:r>
          </w:p>
        </w:tc>
        <w:tc>
          <w:tcPr>
            <w:tcW w:w="1108" w:type="dxa"/>
            <w:tcBorders>
              <w:top w:val="single" w:color="auto" w:sz="4" w:space="0"/>
              <w:left w:val="nil"/>
              <w:bottom w:val="nil"/>
              <w:right w:val="nil"/>
            </w:tcBorders>
            <w:shd w:val="clear" w:color="auto" w:fill="auto"/>
            <w:noWrap/>
            <w:vAlign w:val="center"/>
          </w:tcPr>
          <w:p w14:paraId="4D47523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1.63</w:t>
            </w:r>
          </w:p>
        </w:tc>
        <w:tc>
          <w:tcPr>
            <w:tcW w:w="738" w:type="dxa"/>
            <w:tcBorders>
              <w:top w:val="single" w:color="auto" w:sz="4" w:space="0"/>
              <w:left w:val="nil"/>
              <w:bottom w:val="nil"/>
              <w:right w:val="nil"/>
            </w:tcBorders>
            <w:shd w:val="clear" w:color="auto" w:fill="auto"/>
            <w:noWrap/>
            <w:vAlign w:val="center"/>
          </w:tcPr>
          <w:p w14:paraId="541ABFD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1.37</w:t>
            </w:r>
          </w:p>
        </w:tc>
        <w:tc>
          <w:tcPr>
            <w:tcW w:w="716" w:type="dxa"/>
            <w:tcBorders>
              <w:top w:val="single" w:color="auto" w:sz="4" w:space="0"/>
              <w:left w:val="nil"/>
              <w:bottom w:val="nil"/>
              <w:right w:val="nil"/>
            </w:tcBorders>
            <w:shd w:val="clear" w:color="auto" w:fill="auto"/>
            <w:noWrap/>
            <w:vAlign w:val="center"/>
          </w:tcPr>
          <w:p w14:paraId="09A416E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1.93</w:t>
            </w:r>
          </w:p>
        </w:tc>
        <w:tc>
          <w:tcPr>
            <w:tcW w:w="779" w:type="dxa"/>
            <w:tcBorders>
              <w:top w:val="single" w:color="auto" w:sz="4" w:space="0"/>
              <w:left w:val="nil"/>
              <w:bottom w:val="nil"/>
              <w:right w:val="nil"/>
            </w:tcBorders>
            <w:shd w:val="clear" w:color="auto" w:fill="auto"/>
            <w:noWrap/>
            <w:vAlign w:val="center"/>
          </w:tcPr>
          <w:p w14:paraId="1BA2078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1205" w:type="dxa"/>
            <w:tcBorders>
              <w:top w:val="single" w:color="auto" w:sz="4" w:space="0"/>
              <w:left w:val="nil"/>
              <w:bottom w:val="nil"/>
              <w:right w:val="nil"/>
            </w:tcBorders>
            <w:shd w:val="clear" w:color="auto" w:fill="auto"/>
            <w:noWrap/>
            <w:vAlign w:val="center"/>
          </w:tcPr>
          <w:p w14:paraId="1FB9AE68">
            <w:pPr>
              <w:jc w:val="center"/>
              <w:rPr>
                <w:rFonts w:hint="default" w:ascii="Times New Roman" w:hAnsi="Times New Roman" w:eastAsia="宋体" w:cs="Times New Roman"/>
                <w:i w:val="0"/>
                <w:iCs w:val="0"/>
                <w:color w:val="auto"/>
                <w:sz w:val="20"/>
                <w:szCs w:val="20"/>
                <w:u w:val="none"/>
              </w:rPr>
            </w:pPr>
          </w:p>
        </w:tc>
      </w:tr>
      <w:tr w14:paraId="3387B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19CA06D1">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Gender</w:t>
            </w:r>
          </w:p>
        </w:tc>
        <w:tc>
          <w:tcPr>
            <w:tcW w:w="705" w:type="dxa"/>
            <w:tcBorders>
              <w:top w:val="nil"/>
              <w:left w:val="nil"/>
              <w:bottom w:val="nil"/>
              <w:right w:val="nil"/>
            </w:tcBorders>
            <w:shd w:val="clear" w:color="auto" w:fill="auto"/>
            <w:noWrap/>
            <w:vAlign w:val="center"/>
          </w:tcPr>
          <w:p w14:paraId="7E5614B1">
            <w:pPr>
              <w:jc w:val="center"/>
              <w:rPr>
                <w:rFonts w:hint="default" w:ascii="Times New Roman" w:hAnsi="Times New Roman" w:eastAsia="宋体" w:cs="Times New Roman"/>
                <w:i w:val="0"/>
                <w:iCs w:val="0"/>
                <w:color w:val="auto"/>
                <w:sz w:val="20"/>
                <w:szCs w:val="20"/>
                <w:u w:val="none"/>
              </w:rPr>
            </w:pPr>
          </w:p>
        </w:tc>
        <w:tc>
          <w:tcPr>
            <w:tcW w:w="816" w:type="dxa"/>
            <w:tcBorders>
              <w:top w:val="nil"/>
              <w:left w:val="nil"/>
              <w:bottom w:val="nil"/>
              <w:right w:val="nil"/>
            </w:tcBorders>
            <w:shd w:val="clear" w:color="auto" w:fill="auto"/>
            <w:noWrap/>
            <w:vAlign w:val="center"/>
          </w:tcPr>
          <w:p w14:paraId="092E2B74">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06502B78">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1FEEC311">
            <w:pPr>
              <w:jc w:val="center"/>
              <w:rPr>
                <w:rFonts w:hint="default" w:ascii="Times New Roman" w:hAnsi="Times New Roman" w:eastAsia="宋体" w:cs="Times New Roman"/>
                <w:i w:val="0"/>
                <w:iCs w:val="0"/>
                <w:color w:val="auto"/>
                <w:sz w:val="20"/>
                <w:szCs w:val="20"/>
                <w:u w:val="none"/>
              </w:rPr>
            </w:pPr>
          </w:p>
        </w:tc>
        <w:tc>
          <w:tcPr>
            <w:tcW w:w="1108" w:type="dxa"/>
            <w:tcBorders>
              <w:top w:val="nil"/>
              <w:left w:val="nil"/>
              <w:bottom w:val="nil"/>
              <w:right w:val="nil"/>
            </w:tcBorders>
            <w:shd w:val="clear" w:color="auto" w:fill="auto"/>
            <w:noWrap/>
            <w:vAlign w:val="center"/>
          </w:tcPr>
          <w:p w14:paraId="68F5F0C5">
            <w:pPr>
              <w:jc w:val="center"/>
              <w:rPr>
                <w:rFonts w:hint="default" w:ascii="Times New Roman" w:hAnsi="Times New Roman" w:eastAsia="宋体" w:cs="Times New Roman"/>
                <w:i w:val="0"/>
                <w:iCs w:val="0"/>
                <w:color w:val="auto"/>
                <w:sz w:val="20"/>
                <w:szCs w:val="20"/>
                <w:u w:val="none"/>
              </w:rPr>
            </w:pPr>
          </w:p>
        </w:tc>
        <w:tc>
          <w:tcPr>
            <w:tcW w:w="738" w:type="dxa"/>
            <w:tcBorders>
              <w:top w:val="nil"/>
              <w:left w:val="nil"/>
              <w:bottom w:val="nil"/>
              <w:right w:val="nil"/>
            </w:tcBorders>
            <w:shd w:val="clear" w:color="auto" w:fill="auto"/>
            <w:noWrap/>
            <w:vAlign w:val="center"/>
          </w:tcPr>
          <w:p w14:paraId="250BBF93">
            <w:pPr>
              <w:jc w:val="center"/>
              <w:rPr>
                <w:rFonts w:hint="default" w:ascii="Times New Roman" w:hAnsi="Times New Roman" w:eastAsia="宋体" w:cs="Times New Roman"/>
                <w:i w:val="0"/>
                <w:iCs w:val="0"/>
                <w:color w:val="auto"/>
                <w:sz w:val="20"/>
                <w:szCs w:val="20"/>
                <w:u w:val="none"/>
              </w:rPr>
            </w:pPr>
          </w:p>
        </w:tc>
        <w:tc>
          <w:tcPr>
            <w:tcW w:w="716" w:type="dxa"/>
            <w:tcBorders>
              <w:top w:val="nil"/>
              <w:left w:val="nil"/>
              <w:bottom w:val="nil"/>
              <w:right w:val="nil"/>
            </w:tcBorders>
            <w:shd w:val="clear" w:color="auto" w:fill="auto"/>
            <w:noWrap/>
            <w:vAlign w:val="center"/>
          </w:tcPr>
          <w:p w14:paraId="2FD75A94">
            <w:pPr>
              <w:jc w:val="center"/>
              <w:rPr>
                <w:rFonts w:hint="default" w:ascii="Times New Roman" w:hAnsi="Times New Roman" w:eastAsia="宋体" w:cs="Times New Roman"/>
                <w:i w:val="0"/>
                <w:iCs w:val="0"/>
                <w:color w:val="auto"/>
                <w:sz w:val="20"/>
                <w:szCs w:val="20"/>
                <w:u w:val="none"/>
              </w:rPr>
            </w:pPr>
          </w:p>
        </w:tc>
        <w:tc>
          <w:tcPr>
            <w:tcW w:w="779" w:type="dxa"/>
            <w:tcBorders>
              <w:top w:val="nil"/>
              <w:left w:val="nil"/>
              <w:bottom w:val="nil"/>
              <w:right w:val="nil"/>
            </w:tcBorders>
            <w:shd w:val="clear" w:color="auto" w:fill="auto"/>
            <w:noWrap/>
            <w:vAlign w:val="center"/>
          </w:tcPr>
          <w:p w14:paraId="5F095F20">
            <w:pPr>
              <w:jc w:val="center"/>
              <w:rPr>
                <w:rFonts w:hint="default" w:ascii="Times New Roman" w:hAnsi="Times New Roman" w:eastAsia="宋体" w:cs="Times New Roman"/>
                <w:i w:val="0"/>
                <w:iCs w:val="0"/>
                <w:color w:val="auto"/>
                <w:sz w:val="20"/>
                <w:szCs w:val="20"/>
                <w:u w:val="none"/>
              </w:rPr>
            </w:pPr>
          </w:p>
        </w:tc>
        <w:tc>
          <w:tcPr>
            <w:tcW w:w="1205" w:type="dxa"/>
            <w:tcBorders>
              <w:top w:val="nil"/>
              <w:left w:val="nil"/>
              <w:bottom w:val="nil"/>
              <w:right w:val="nil"/>
            </w:tcBorders>
            <w:shd w:val="clear" w:color="auto" w:fill="auto"/>
            <w:noWrap/>
            <w:vAlign w:val="center"/>
          </w:tcPr>
          <w:p w14:paraId="79F874D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0.614</w:t>
            </w:r>
          </w:p>
        </w:tc>
      </w:tr>
      <w:tr w14:paraId="71B9E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1643EF0F">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Female</w:t>
            </w:r>
          </w:p>
        </w:tc>
        <w:tc>
          <w:tcPr>
            <w:tcW w:w="705" w:type="dxa"/>
            <w:tcBorders>
              <w:top w:val="nil"/>
              <w:left w:val="nil"/>
              <w:bottom w:val="nil"/>
              <w:right w:val="nil"/>
            </w:tcBorders>
            <w:shd w:val="clear" w:color="auto" w:fill="auto"/>
            <w:noWrap/>
            <w:vAlign w:val="center"/>
          </w:tcPr>
          <w:p w14:paraId="3EC5DAF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w:t>
            </w:r>
            <w:r>
              <w:rPr>
                <w:rFonts w:hint="eastAsia" w:ascii="Times New Roman" w:hAnsi="Times New Roman" w:eastAsia="宋体" w:cs="Times New Roman"/>
                <w:i w:val="0"/>
                <w:iCs w:val="0"/>
                <w:color w:val="auto"/>
                <w:kern w:val="0"/>
                <w:sz w:val="20"/>
                <w:szCs w:val="20"/>
                <w:u w:val="none"/>
                <w:lang w:val="en-US" w:eastAsia="zh-CN" w:bidi="ar"/>
              </w:rPr>
              <w:t>8</w:t>
            </w:r>
          </w:p>
        </w:tc>
        <w:tc>
          <w:tcPr>
            <w:tcW w:w="816" w:type="dxa"/>
            <w:tcBorders>
              <w:top w:val="nil"/>
              <w:left w:val="nil"/>
              <w:bottom w:val="nil"/>
              <w:right w:val="nil"/>
            </w:tcBorders>
            <w:shd w:val="clear" w:color="auto" w:fill="auto"/>
            <w:noWrap/>
            <w:vAlign w:val="center"/>
          </w:tcPr>
          <w:p w14:paraId="16A1AF7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12.</w:t>
            </w:r>
            <w:r>
              <w:rPr>
                <w:rFonts w:hint="eastAsia" w:ascii="Times New Roman" w:hAnsi="Times New Roman" w:eastAsia="宋体" w:cs="Times New Roman"/>
                <w:i w:val="0"/>
                <w:iCs w:val="0"/>
                <w:color w:val="auto"/>
                <w:kern w:val="0"/>
                <w:sz w:val="20"/>
                <w:szCs w:val="20"/>
                <w:u w:val="none"/>
                <w:lang w:val="en-US" w:eastAsia="zh-CN" w:bidi="ar"/>
              </w:rPr>
              <w:t>6</w:t>
            </w:r>
          </w:p>
        </w:tc>
        <w:tc>
          <w:tcPr>
            <w:tcW w:w="1128" w:type="dxa"/>
            <w:tcBorders>
              <w:top w:val="nil"/>
              <w:left w:val="nil"/>
              <w:bottom w:val="nil"/>
              <w:right w:val="nil"/>
            </w:tcBorders>
            <w:shd w:val="clear" w:color="auto" w:fill="auto"/>
            <w:noWrap/>
            <w:vAlign w:val="center"/>
          </w:tcPr>
          <w:p w14:paraId="0BE9637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50</w:t>
            </w:r>
          </w:p>
        </w:tc>
        <w:tc>
          <w:tcPr>
            <w:tcW w:w="1128" w:type="dxa"/>
            <w:tcBorders>
              <w:top w:val="nil"/>
              <w:left w:val="nil"/>
              <w:bottom w:val="nil"/>
              <w:right w:val="nil"/>
            </w:tcBorders>
            <w:shd w:val="clear" w:color="auto" w:fill="auto"/>
            <w:noWrap/>
            <w:vAlign w:val="center"/>
          </w:tcPr>
          <w:p w14:paraId="3FCF511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98</w:t>
            </w:r>
          </w:p>
        </w:tc>
        <w:tc>
          <w:tcPr>
            <w:tcW w:w="1108" w:type="dxa"/>
            <w:tcBorders>
              <w:top w:val="nil"/>
              <w:left w:val="nil"/>
              <w:bottom w:val="nil"/>
              <w:right w:val="nil"/>
            </w:tcBorders>
            <w:shd w:val="clear" w:color="auto" w:fill="auto"/>
            <w:noWrap/>
            <w:vAlign w:val="center"/>
          </w:tcPr>
          <w:p w14:paraId="5487C66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1.93</w:t>
            </w:r>
          </w:p>
        </w:tc>
        <w:tc>
          <w:tcPr>
            <w:tcW w:w="738" w:type="dxa"/>
            <w:tcBorders>
              <w:top w:val="nil"/>
              <w:left w:val="nil"/>
              <w:bottom w:val="nil"/>
              <w:right w:val="nil"/>
            </w:tcBorders>
            <w:shd w:val="clear" w:color="auto" w:fill="auto"/>
            <w:noWrap/>
            <w:vAlign w:val="center"/>
          </w:tcPr>
          <w:p w14:paraId="6739BA8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1.18</w:t>
            </w:r>
          </w:p>
        </w:tc>
        <w:tc>
          <w:tcPr>
            <w:tcW w:w="716" w:type="dxa"/>
            <w:tcBorders>
              <w:top w:val="nil"/>
              <w:left w:val="nil"/>
              <w:bottom w:val="nil"/>
              <w:right w:val="nil"/>
            </w:tcBorders>
            <w:shd w:val="clear" w:color="auto" w:fill="auto"/>
            <w:noWrap/>
            <w:vAlign w:val="center"/>
          </w:tcPr>
          <w:p w14:paraId="7E0BD40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3.16</w:t>
            </w:r>
          </w:p>
        </w:tc>
        <w:tc>
          <w:tcPr>
            <w:tcW w:w="779" w:type="dxa"/>
            <w:tcBorders>
              <w:top w:val="nil"/>
              <w:left w:val="nil"/>
              <w:bottom w:val="nil"/>
              <w:right w:val="nil"/>
            </w:tcBorders>
            <w:shd w:val="clear" w:color="auto" w:fill="auto"/>
            <w:noWrap/>
            <w:vAlign w:val="center"/>
          </w:tcPr>
          <w:p w14:paraId="182C747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0.009</w:t>
            </w:r>
          </w:p>
        </w:tc>
        <w:tc>
          <w:tcPr>
            <w:tcW w:w="1205" w:type="dxa"/>
            <w:tcBorders>
              <w:top w:val="nil"/>
              <w:left w:val="nil"/>
              <w:bottom w:val="nil"/>
              <w:right w:val="nil"/>
            </w:tcBorders>
            <w:shd w:val="clear" w:color="auto" w:fill="auto"/>
            <w:noWrap/>
            <w:vAlign w:val="center"/>
          </w:tcPr>
          <w:p w14:paraId="2EBDABE3">
            <w:pPr>
              <w:jc w:val="center"/>
              <w:rPr>
                <w:rFonts w:hint="default" w:ascii="Times New Roman" w:hAnsi="Times New Roman" w:eastAsia="宋体" w:cs="Times New Roman"/>
                <w:i w:val="0"/>
                <w:iCs w:val="0"/>
                <w:color w:val="auto"/>
                <w:sz w:val="20"/>
                <w:szCs w:val="20"/>
                <w:u w:val="none"/>
              </w:rPr>
            </w:pPr>
          </w:p>
        </w:tc>
      </w:tr>
      <w:tr w14:paraId="5454E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52549D9C">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Male</w:t>
            </w:r>
          </w:p>
        </w:tc>
        <w:tc>
          <w:tcPr>
            <w:tcW w:w="705" w:type="dxa"/>
            <w:tcBorders>
              <w:top w:val="nil"/>
              <w:left w:val="nil"/>
              <w:bottom w:val="nil"/>
              <w:right w:val="nil"/>
            </w:tcBorders>
            <w:shd w:val="clear" w:color="auto" w:fill="auto"/>
            <w:noWrap/>
            <w:vAlign w:val="center"/>
          </w:tcPr>
          <w:p w14:paraId="4DDA8B5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102</w:t>
            </w:r>
            <w:r>
              <w:rPr>
                <w:rFonts w:hint="eastAsia" w:ascii="Times New Roman" w:hAnsi="Times New Roman" w:eastAsia="宋体" w:cs="Times New Roman"/>
                <w:i w:val="0"/>
                <w:iCs w:val="0"/>
                <w:color w:val="auto"/>
                <w:kern w:val="0"/>
                <w:sz w:val="20"/>
                <w:szCs w:val="20"/>
                <w:u w:val="none"/>
                <w:lang w:val="en-US" w:eastAsia="zh-CN" w:bidi="ar"/>
              </w:rPr>
              <w:t>6</w:t>
            </w:r>
          </w:p>
        </w:tc>
        <w:tc>
          <w:tcPr>
            <w:tcW w:w="816" w:type="dxa"/>
            <w:tcBorders>
              <w:top w:val="nil"/>
              <w:left w:val="nil"/>
              <w:bottom w:val="nil"/>
              <w:right w:val="nil"/>
            </w:tcBorders>
            <w:shd w:val="clear" w:color="auto" w:fill="auto"/>
            <w:noWrap/>
            <w:vAlign w:val="center"/>
          </w:tcPr>
          <w:p w14:paraId="0F267B0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87.</w:t>
            </w:r>
            <w:r>
              <w:rPr>
                <w:rFonts w:hint="eastAsia" w:ascii="Times New Roman" w:hAnsi="Times New Roman" w:eastAsia="宋体" w:cs="Times New Roman"/>
                <w:i w:val="0"/>
                <w:iCs w:val="0"/>
                <w:color w:val="auto"/>
                <w:kern w:val="0"/>
                <w:sz w:val="20"/>
                <w:szCs w:val="20"/>
                <w:u w:val="none"/>
                <w:lang w:val="en-US" w:eastAsia="zh-CN" w:bidi="ar"/>
              </w:rPr>
              <w:t>4</w:t>
            </w:r>
          </w:p>
        </w:tc>
        <w:tc>
          <w:tcPr>
            <w:tcW w:w="1128" w:type="dxa"/>
            <w:tcBorders>
              <w:top w:val="nil"/>
              <w:left w:val="nil"/>
              <w:bottom w:val="nil"/>
              <w:right w:val="nil"/>
            </w:tcBorders>
            <w:shd w:val="clear" w:color="auto" w:fill="auto"/>
            <w:noWrap/>
            <w:vAlign w:val="center"/>
          </w:tcPr>
          <w:p w14:paraId="4C0FB22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396</w:t>
            </w:r>
          </w:p>
        </w:tc>
        <w:tc>
          <w:tcPr>
            <w:tcW w:w="1128" w:type="dxa"/>
            <w:tcBorders>
              <w:top w:val="nil"/>
              <w:left w:val="nil"/>
              <w:bottom w:val="nil"/>
              <w:right w:val="nil"/>
            </w:tcBorders>
            <w:shd w:val="clear" w:color="auto" w:fill="auto"/>
            <w:noWrap/>
            <w:vAlign w:val="center"/>
          </w:tcPr>
          <w:p w14:paraId="01E7FD6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630</w:t>
            </w:r>
          </w:p>
        </w:tc>
        <w:tc>
          <w:tcPr>
            <w:tcW w:w="1108" w:type="dxa"/>
            <w:tcBorders>
              <w:top w:val="nil"/>
              <w:left w:val="nil"/>
              <w:bottom w:val="nil"/>
              <w:right w:val="nil"/>
            </w:tcBorders>
            <w:shd w:val="clear" w:color="auto" w:fill="auto"/>
            <w:noWrap/>
            <w:vAlign w:val="center"/>
          </w:tcPr>
          <w:p w14:paraId="7B1B111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w:t>
            </w:r>
          </w:p>
        </w:tc>
        <w:tc>
          <w:tcPr>
            <w:tcW w:w="738" w:type="dxa"/>
            <w:tcBorders>
              <w:top w:val="nil"/>
              <w:left w:val="nil"/>
              <w:bottom w:val="nil"/>
              <w:right w:val="nil"/>
            </w:tcBorders>
            <w:shd w:val="clear" w:color="auto" w:fill="auto"/>
            <w:noWrap/>
            <w:vAlign w:val="center"/>
          </w:tcPr>
          <w:p w14:paraId="57232A8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1.33</w:t>
            </w:r>
          </w:p>
        </w:tc>
        <w:tc>
          <w:tcPr>
            <w:tcW w:w="716" w:type="dxa"/>
            <w:tcBorders>
              <w:top w:val="nil"/>
              <w:left w:val="nil"/>
              <w:bottom w:val="nil"/>
              <w:right w:val="nil"/>
            </w:tcBorders>
            <w:shd w:val="clear" w:color="auto" w:fill="auto"/>
            <w:noWrap/>
            <w:vAlign w:val="center"/>
          </w:tcPr>
          <w:p w14:paraId="2B4C622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1.92</w:t>
            </w:r>
          </w:p>
        </w:tc>
        <w:tc>
          <w:tcPr>
            <w:tcW w:w="779" w:type="dxa"/>
            <w:tcBorders>
              <w:top w:val="nil"/>
              <w:left w:val="nil"/>
              <w:bottom w:val="nil"/>
              <w:right w:val="nil"/>
            </w:tcBorders>
            <w:shd w:val="clear" w:color="auto" w:fill="auto"/>
            <w:noWrap/>
            <w:vAlign w:val="center"/>
          </w:tcPr>
          <w:p w14:paraId="119CD72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1205" w:type="dxa"/>
            <w:tcBorders>
              <w:top w:val="nil"/>
              <w:left w:val="nil"/>
              <w:bottom w:val="nil"/>
              <w:right w:val="nil"/>
            </w:tcBorders>
            <w:shd w:val="clear" w:color="auto" w:fill="auto"/>
            <w:noWrap/>
            <w:vAlign w:val="center"/>
          </w:tcPr>
          <w:p w14:paraId="30CE4445">
            <w:pPr>
              <w:jc w:val="center"/>
              <w:rPr>
                <w:rFonts w:hint="default" w:ascii="Times New Roman" w:hAnsi="Times New Roman" w:eastAsia="宋体" w:cs="Times New Roman"/>
                <w:i w:val="0"/>
                <w:iCs w:val="0"/>
                <w:color w:val="auto"/>
                <w:sz w:val="20"/>
                <w:szCs w:val="20"/>
                <w:u w:val="none"/>
              </w:rPr>
            </w:pPr>
          </w:p>
        </w:tc>
      </w:tr>
      <w:tr w14:paraId="07F02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6FE871A6">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Age</w:t>
            </w:r>
          </w:p>
        </w:tc>
        <w:tc>
          <w:tcPr>
            <w:tcW w:w="705" w:type="dxa"/>
            <w:tcBorders>
              <w:top w:val="nil"/>
              <w:left w:val="nil"/>
              <w:bottom w:val="nil"/>
              <w:right w:val="nil"/>
            </w:tcBorders>
            <w:shd w:val="clear" w:color="auto" w:fill="auto"/>
            <w:noWrap/>
            <w:vAlign w:val="center"/>
          </w:tcPr>
          <w:p w14:paraId="6B8675E8">
            <w:pPr>
              <w:jc w:val="center"/>
              <w:rPr>
                <w:rFonts w:hint="default" w:ascii="Times New Roman" w:hAnsi="Times New Roman" w:eastAsia="宋体" w:cs="Times New Roman"/>
                <w:i w:val="0"/>
                <w:iCs w:val="0"/>
                <w:color w:val="auto"/>
                <w:sz w:val="20"/>
                <w:szCs w:val="20"/>
                <w:u w:val="none"/>
              </w:rPr>
            </w:pPr>
          </w:p>
        </w:tc>
        <w:tc>
          <w:tcPr>
            <w:tcW w:w="816" w:type="dxa"/>
            <w:tcBorders>
              <w:top w:val="nil"/>
              <w:left w:val="nil"/>
              <w:bottom w:val="nil"/>
              <w:right w:val="nil"/>
            </w:tcBorders>
            <w:shd w:val="clear" w:color="auto" w:fill="auto"/>
            <w:noWrap/>
            <w:vAlign w:val="center"/>
          </w:tcPr>
          <w:p w14:paraId="39AEAF0A">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64E5FE60">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7E57B1B7">
            <w:pPr>
              <w:jc w:val="center"/>
              <w:rPr>
                <w:rFonts w:hint="default" w:ascii="Times New Roman" w:hAnsi="Times New Roman" w:eastAsia="宋体" w:cs="Times New Roman"/>
                <w:i w:val="0"/>
                <w:iCs w:val="0"/>
                <w:color w:val="auto"/>
                <w:sz w:val="20"/>
                <w:szCs w:val="20"/>
                <w:u w:val="none"/>
              </w:rPr>
            </w:pPr>
          </w:p>
        </w:tc>
        <w:tc>
          <w:tcPr>
            <w:tcW w:w="1108" w:type="dxa"/>
            <w:tcBorders>
              <w:top w:val="nil"/>
              <w:left w:val="nil"/>
              <w:bottom w:val="nil"/>
              <w:right w:val="nil"/>
            </w:tcBorders>
            <w:shd w:val="clear" w:color="auto" w:fill="auto"/>
            <w:noWrap/>
            <w:vAlign w:val="center"/>
          </w:tcPr>
          <w:p w14:paraId="072F7037">
            <w:pPr>
              <w:jc w:val="center"/>
              <w:rPr>
                <w:rFonts w:hint="default" w:ascii="Times New Roman" w:hAnsi="Times New Roman" w:eastAsia="宋体" w:cs="Times New Roman"/>
                <w:i w:val="0"/>
                <w:iCs w:val="0"/>
                <w:color w:val="auto"/>
                <w:sz w:val="20"/>
                <w:szCs w:val="20"/>
                <w:u w:val="none"/>
              </w:rPr>
            </w:pPr>
          </w:p>
        </w:tc>
        <w:tc>
          <w:tcPr>
            <w:tcW w:w="738" w:type="dxa"/>
            <w:tcBorders>
              <w:top w:val="nil"/>
              <w:left w:val="nil"/>
              <w:bottom w:val="nil"/>
              <w:right w:val="nil"/>
            </w:tcBorders>
            <w:shd w:val="clear" w:color="auto" w:fill="auto"/>
            <w:noWrap/>
            <w:vAlign w:val="center"/>
          </w:tcPr>
          <w:p w14:paraId="0D856A75">
            <w:pPr>
              <w:jc w:val="center"/>
              <w:rPr>
                <w:rFonts w:hint="default" w:ascii="Times New Roman" w:hAnsi="Times New Roman" w:eastAsia="宋体" w:cs="Times New Roman"/>
                <w:i w:val="0"/>
                <w:iCs w:val="0"/>
                <w:color w:val="auto"/>
                <w:sz w:val="20"/>
                <w:szCs w:val="20"/>
                <w:u w:val="none"/>
              </w:rPr>
            </w:pPr>
          </w:p>
        </w:tc>
        <w:tc>
          <w:tcPr>
            <w:tcW w:w="716" w:type="dxa"/>
            <w:tcBorders>
              <w:top w:val="nil"/>
              <w:left w:val="nil"/>
              <w:bottom w:val="nil"/>
              <w:right w:val="nil"/>
            </w:tcBorders>
            <w:shd w:val="clear" w:color="auto" w:fill="auto"/>
            <w:noWrap/>
            <w:vAlign w:val="center"/>
          </w:tcPr>
          <w:p w14:paraId="48F06826">
            <w:pPr>
              <w:jc w:val="center"/>
              <w:rPr>
                <w:rFonts w:hint="default" w:ascii="Times New Roman" w:hAnsi="Times New Roman" w:eastAsia="宋体" w:cs="Times New Roman"/>
                <w:i w:val="0"/>
                <w:iCs w:val="0"/>
                <w:color w:val="auto"/>
                <w:sz w:val="20"/>
                <w:szCs w:val="20"/>
                <w:u w:val="none"/>
              </w:rPr>
            </w:pPr>
          </w:p>
        </w:tc>
        <w:tc>
          <w:tcPr>
            <w:tcW w:w="779" w:type="dxa"/>
            <w:tcBorders>
              <w:top w:val="nil"/>
              <w:left w:val="nil"/>
              <w:bottom w:val="nil"/>
              <w:right w:val="nil"/>
            </w:tcBorders>
            <w:shd w:val="clear" w:color="auto" w:fill="auto"/>
            <w:noWrap/>
            <w:vAlign w:val="center"/>
          </w:tcPr>
          <w:p w14:paraId="5E7F67D5">
            <w:pPr>
              <w:jc w:val="center"/>
              <w:rPr>
                <w:rFonts w:hint="default" w:ascii="Times New Roman" w:hAnsi="Times New Roman" w:eastAsia="宋体" w:cs="Times New Roman"/>
                <w:i w:val="0"/>
                <w:iCs w:val="0"/>
                <w:color w:val="auto"/>
                <w:sz w:val="20"/>
                <w:szCs w:val="20"/>
                <w:u w:val="none"/>
              </w:rPr>
            </w:pPr>
          </w:p>
        </w:tc>
        <w:tc>
          <w:tcPr>
            <w:tcW w:w="1205" w:type="dxa"/>
            <w:tcBorders>
              <w:top w:val="nil"/>
              <w:left w:val="nil"/>
              <w:bottom w:val="nil"/>
              <w:right w:val="nil"/>
            </w:tcBorders>
            <w:shd w:val="clear" w:color="auto" w:fill="auto"/>
            <w:noWrap/>
            <w:vAlign w:val="center"/>
          </w:tcPr>
          <w:p w14:paraId="033C821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0.099</w:t>
            </w:r>
          </w:p>
        </w:tc>
      </w:tr>
      <w:tr w14:paraId="20211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26B9C115">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&lt;60 years</w:t>
            </w:r>
          </w:p>
        </w:tc>
        <w:tc>
          <w:tcPr>
            <w:tcW w:w="705" w:type="dxa"/>
            <w:tcBorders>
              <w:top w:val="nil"/>
              <w:left w:val="nil"/>
              <w:bottom w:val="nil"/>
              <w:right w:val="nil"/>
            </w:tcBorders>
            <w:shd w:val="clear" w:color="auto" w:fill="auto"/>
            <w:noWrap/>
            <w:vAlign w:val="center"/>
          </w:tcPr>
          <w:p w14:paraId="5D32B1A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1009</w:t>
            </w:r>
          </w:p>
        </w:tc>
        <w:tc>
          <w:tcPr>
            <w:tcW w:w="816" w:type="dxa"/>
            <w:tcBorders>
              <w:top w:val="nil"/>
              <w:left w:val="nil"/>
              <w:bottom w:val="nil"/>
              <w:right w:val="nil"/>
            </w:tcBorders>
            <w:shd w:val="clear" w:color="auto" w:fill="auto"/>
            <w:noWrap/>
            <w:vAlign w:val="center"/>
          </w:tcPr>
          <w:p w14:paraId="2C45FD5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85.9</w:t>
            </w:r>
          </w:p>
        </w:tc>
        <w:tc>
          <w:tcPr>
            <w:tcW w:w="1128" w:type="dxa"/>
            <w:tcBorders>
              <w:top w:val="nil"/>
              <w:left w:val="nil"/>
              <w:bottom w:val="nil"/>
              <w:right w:val="nil"/>
            </w:tcBorders>
            <w:shd w:val="clear" w:color="auto" w:fill="auto"/>
            <w:noWrap/>
            <w:vAlign w:val="center"/>
          </w:tcPr>
          <w:p w14:paraId="667FB6F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402</w:t>
            </w:r>
          </w:p>
        </w:tc>
        <w:tc>
          <w:tcPr>
            <w:tcW w:w="1128" w:type="dxa"/>
            <w:tcBorders>
              <w:top w:val="nil"/>
              <w:left w:val="nil"/>
              <w:bottom w:val="nil"/>
              <w:right w:val="nil"/>
            </w:tcBorders>
            <w:shd w:val="clear" w:color="auto" w:fill="auto"/>
            <w:noWrap/>
            <w:vAlign w:val="center"/>
          </w:tcPr>
          <w:p w14:paraId="5557FD2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607</w:t>
            </w:r>
          </w:p>
        </w:tc>
        <w:tc>
          <w:tcPr>
            <w:tcW w:w="1108" w:type="dxa"/>
            <w:tcBorders>
              <w:top w:val="nil"/>
              <w:left w:val="nil"/>
              <w:bottom w:val="nil"/>
              <w:right w:val="nil"/>
            </w:tcBorders>
            <w:shd w:val="clear" w:color="auto" w:fill="auto"/>
            <w:noWrap/>
            <w:vAlign w:val="center"/>
          </w:tcPr>
          <w:p w14:paraId="22D30E0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1.71</w:t>
            </w:r>
          </w:p>
        </w:tc>
        <w:tc>
          <w:tcPr>
            <w:tcW w:w="738" w:type="dxa"/>
            <w:tcBorders>
              <w:top w:val="nil"/>
              <w:left w:val="nil"/>
              <w:bottom w:val="nil"/>
              <w:right w:val="nil"/>
            </w:tcBorders>
            <w:shd w:val="clear" w:color="auto" w:fill="auto"/>
            <w:noWrap/>
            <w:vAlign w:val="center"/>
          </w:tcPr>
          <w:p w14:paraId="5B12104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1.42</w:t>
            </w:r>
          </w:p>
        </w:tc>
        <w:tc>
          <w:tcPr>
            <w:tcW w:w="716" w:type="dxa"/>
            <w:tcBorders>
              <w:top w:val="nil"/>
              <w:left w:val="nil"/>
              <w:bottom w:val="nil"/>
              <w:right w:val="nil"/>
            </w:tcBorders>
            <w:shd w:val="clear" w:color="auto" w:fill="auto"/>
            <w:noWrap/>
            <w:vAlign w:val="center"/>
          </w:tcPr>
          <w:p w14:paraId="730F0FE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2.05</w:t>
            </w:r>
          </w:p>
        </w:tc>
        <w:tc>
          <w:tcPr>
            <w:tcW w:w="779" w:type="dxa"/>
            <w:tcBorders>
              <w:top w:val="nil"/>
              <w:left w:val="nil"/>
              <w:bottom w:val="nil"/>
              <w:right w:val="nil"/>
            </w:tcBorders>
            <w:shd w:val="clear" w:color="auto" w:fill="auto"/>
            <w:noWrap/>
            <w:vAlign w:val="center"/>
          </w:tcPr>
          <w:p w14:paraId="4E07404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1205" w:type="dxa"/>
            <w:tcBorders>
              <w:top w:val="nil"/>
              <w:left w:val="nil"/>
              <w:bottom w:val="nil"/>
              <w:right w:val="nil"/>
            </w:tcBorders>
            <w:shd w:val="clear" w:color="auto" w:fill="auto"/>
            <w:noWrap/>
            <w:vAlign w:val="center"/>
          </w:tcPr>
          <w:p w14:paraId="1A807791">
            <w:pPr>
              <w:jc w:val="center"/>
              <w:rPr>
                <w:rFonts w:hint="default" w:ascii="Times New Roman" w:hAnsi="Times New Roman" w:eastAsia="宋体" w:cs="Times New Roman"/>
                <w:i w:val="0"/>
                <w:iCs w:val="0"/>
                <w:color w:val="auto"/>
                <w:sz w:val="20"/>
                <w:szCs w:val="20"/>
                <w:u w:val="none"/>
              </w:rPr>
            </w:pPr>
          </w:p>
        </w:tc>
      </w:tr>
      <w:tr w14:paraId="419A9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4930D54F">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≥60 years</w:t>
            </w:r>
          </w:p>
        </w:tc>
        <w:tc>
          <w:tcPr>
            <w:tcW w:w="705" w:type="dxa"/>
            <w:tcBorders>
              <w:top w:val="nil"/>
              <w:left w:val="nil"/>
              <w:bottom w:val="nil"/>
              <w:right w:val="nil"/>
            </w:tcBorders>
            <w:shd w:val="clear" w:color="auto" w:fill="auto"/>
            <w:noWrap/>
            <w:vAlign w:val="center"/>
          </w:tcPr>
          <w:p w14:paraId="2F75D0A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165</w:t>
            </w:r>
          </w:p>
        </w:tc>
        <w:tc>
          <w:tcPr>
            <w:tcW w:w="816" w:type="dxa"/>
            <w:tcBorders>
              <w:top w:val="nil"/>
              <w:left w:val="nil"/>
              <w:bottom w:val="nil"/>
              <w:right w:val="nil"/>
            </w:tcBorders>
            <w:shd w:val="clear" w:color="auto" w:fill="auto"/>
            <w:noWrap/>
            <w:vAlign w:val="center"/>
          </w:tcPr>
          <w:p w14:paraId="1E9C508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14.1</w:t>
            </w:r>
          </w:p>
        </w:tc>
        <w:tc>
          <w:tcPr>
            <w:tcW w:w="1128" w:type="dxa"/>
            <w:tcBorders>
              <w:top w:val="nil"/>
              <w:left w:val="nil"/>
              <w:bottom w:val="nil"/>
              <w:right w:val="nil"/>
            </w:tcBorders>
            <w:shd w:val="clear" w:color="auto" w:fill="auto"/>
            <w:noWrap/>
            <w:vAlign w:val="center"/>
          </w:tcPr>
          <w:p w14:paraId="7FA171D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44</w:t>
            </w:r>
          </w:p>
        </w:tc>
        <w:tc>
          <w:tcPr>
            <w:tcW w:w="1128" w:type="dxa"/>
            <w:tcBorders>
              <w:top w:val="nil"/>
              <w:left w:val="nil"/>
              <w:bottom w:val="nil"/>
              <w:right w:val="nil"/>
            </w:tcBorders>
            <w:shd w:val="clear" w:color="auto" w:fill="auto"/>
            <w:noWrap/>
            <w:vAlign w:val="center"/>
          </w:tcPr>
          <w:p w14:paraId="49A2895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121</w:t>
            </w:r>
          </w:p>
        </w:tc>
        <w:tc>
          <w:tcPr>
            <w:tcW w:w="1108" w:type="dxa"/>
            <w:tcBorders>
              <w:top w:val="nil"/>
              <w:left w:val="nil"/>
              <w:bottom w:val="nil"/>
              <w:right w:val="nil"/>
            </w:tcBorders>
            <w:shd w:val="clear" w:color="auto" w:fill="auto"/>
            <w:noWrap/>
            <w:vAlign w:val="center"/>
          </w:tcPr>
          <w:p w14:paraId="7E32818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1.2</w:t>
            </w:r>
          </w:p>
        </w:tc>
        <w:tc>
          <w:tcPr>
            <w:tcW w:w="738" w:type="dxa"/>
            <w:tcBorders>
              <w:top w:val="nil"/>
              <w:left w:val="nil"/>
              <w:bottom w:val="nil"/>
              <w:right w:val="nil"/>
            </w:tcBorders>
            <w:shd w:val="clear" w:color="auto" w:fill="auto"/>
            <w:noWrap/>
            <w:vAlign w:val="center"/>
          </w:tcPr>
          <w:p w14:paraId="28AF51B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0.74</w:t>
            </w:r>
          </w:p>
        </w:tc>
        <w:tc>
          <w:tcPr>
            <w:tcW w:w="716" w:type="dxa"/>
            <w:tcBorders>
              <w:top w:val="nil"/>
              <w:left w:val="nil"/>
              <w:bottom w:val="nil"/>
              <w:right w:val="nil"/>
            </w:tcBorders>
            <w:shd w:val="clear" w:color="auto" w:fill="auto"/>
            <w:noWrap/>
            <w:vAlign w:val="center"/>
          </w:tcPr>
          <w:p w14:paraId="3FFC2E7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1.93</w:t>
            </w:r>
          </w:p>
        </w:tc>
        <w:tc>
          <w:tcPr>
            <w:tcW w:w="779" w:type="dxa"/>
            <w:tcBorders>
              <w:top w:val="nil"/>
              <w:left w:val="nil"/>
              <w:bottom w:val="nil"/>
              <w:right w:val="nil"/>
            </w:tcBorders>
            <w:shd w:val="clear" w:color="auto" w:fill="auto"/>
            <w:noWrap/>
            <w:vAlign w:val="center"/>
          </w:tcPr>
          <w:p w14:paraId="4E0E886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0.465</w:t>
            </w:r>
          </w:p>
        </w:tc>
        <w:tc>
          <w:tcPr>
            <w:tcW w:w="1205" w:type="dxa"/>
            <w:tcBorders>
              <w:top w:val="nil"/>
              <w:left w:val="nil"/>
              <w:bottom w:val="nil"/>
              <w:right w:val="nil"/>
            </w:tcBorders>
            <w:shd w:val="clear" w:color="auto" w:fill="auto"/>
            <w:noWrap/>
            <w:vAlign w:val="center"/>
          </w:tcPr>
          <w:p w14:paraId="5481834B">
            <w:pPr>
              <w:jc w:val="center"/>
              <w:rPr>
                <w:rFonts w:hint="default" w:ascii="Times New Roman" w:hAnsi="Times New Roman" w:eastAsia="宋体" w:cs="Times New Roman"/>
                <w:i w:val="0"/>
                <w:iCs w:val="0"/>
                <w:color w:val="auto"/>
                <w:sz w:val="20"/>
                <w:szCs w:val="20"/>
                <w:u w:val="none"/>
              </w:rPr>
            </w:pPr>
          </w:p>
        </w:tc>
      </w:tr>
      <w:tr w14:paraId="7D438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2EF4F944">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HbsAg</w:t>
            </w:r>
          </w:p>
        </w:tc>
        <w:tc>
          <w:tcPr>
            <w:tcW w:w="705" w:type="dxa"/>
            <w:tcBorders>
              <w:top w:val="nil"/>
              <w:left w:val="nil"/>
              <w:bottom w:val="nil"/>
              <w:right w:val="nil"/>
            </w:tcBorders>
            <w:shd w:val="clear" w:color="auto" w:fill="auto"/>
            <w:noWrap/>
            <w:vAlign w:val="center"/>
          </w:tcPr>
          <w:p w14:paraId="5748F963">
            <w:pPr>
              <w:jc w:val="center"/>
              <w:rPr>
                <w:rFonts w:hint="default" w:ascii="Times New Roman" w:hAnsi="Times New Roman" w:eastAsia="宋体" w:cs="Times New Roman"/>
                <w:i w:val="0"/>
                <w:iCs w:val="0"/>
                <w:color w:val="auto"/>
                <w:sz w:val="20"/>
                <w:szCs w:val="20"/>
                <w:u w:val="none"/>
              </w:rPr>
            </w:pPr>
          </w:p>
        </w:tc>
        <w:tc>
          <w:tcPr>
            <w:tcW w:w="816" w:type="dxa"/>
            <w:tcBorders>
              <w:top w:val="nil"/>
              <w:left w:val="nil"/>
              <w:bottom w:val="nil"/>
              <w:right w:val="nil"/>
            </w:tcBorders>
            <w:shd w:val="clear" w:color="auto" w:fill="auto"/>
            <w:noWrap/>
            <w:vAlign w:val="center"/>
          </w:tcPr>
          <w:p w14:paraId="46C49845">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1707E66C">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4ED68FF8">
            <w:pPr>
              <w:jc w:val="center"/>
              <w:rPr>
                <w:rFonts w:hint="default" w:ascii="Times New Roman" w:hAnsi="Times New Roman" w:eastAsia="宋体" w:cs="Times New Roman"/>
                <w:i w:val="0"/>
                <w:iCs w:val="0"/>
                <w:color w:val="auto"/>
                <w:sz w:val="20"/>
                <w:szCs w:val="20"/>
                <w:u w:val="none"/>
              </w:rPr>
            </w:pPr>
          </w:p>
        </w:tc>
        <w:tc>
          <w:tcPr>
            <w:tcW w:w="1108" w:type="dxa"/>
            <w:tcBorders>
              <w:top w:val="nil"/>
              <w:left w:val="nil"/>
              <w:bottom w:val="nil"/>
              <w:right w:val="nil"/>
            </w:tcBorders>
            <w:shd w:val="clear" w:color="auto" w:fill="auto"/>
            <w:noWrap/>
            <w:vAlign w:val="center"/>
          </w:tcPr>
          <w:p w14:paraId="0AD120E3">
            <w:pPr>
              <w:jc w:val="center"/>
              <w:rPr>
                <w:rFonts w:hint="default" w:ascii="Times New Roman" w:hAnsi="Times New Roman" w:eastAsia="宋体" w:cs="Times New Roman"/>
                <w:i w:val="0"/>
                <w:iCs w:val="0"/>
                <w:color w:val="auto"/>
                <w:sz w:val="20"/>
                <w:szCs w:val="20"/>
                <w:u w:val="none"/>
              </w:rPr>
            </w:pPr>
          </w:p>
        </w:tc>
        <w:tc>
          <w:tcPr>
            <w:tcW w:w="738" w:type="dxa"/>
            <w:tcBorders>
              <w:top w:val="nil"/>
              <w:left w:val="nil"/>
              <w:bottom w:val="nil"/>
              <w:right w:val="nil"/>
            </w:tcBorders>
            <w:shd w:val="clear" w:color="auto" w:fill="auto"/>
            <w:noWrap/>
            <w:vAlign w:val="center"/>
          </w:tcPr>
          <w:p w14:paraId="701262AA">
            <w:pPr>
              <w:jc w:val="center"/>
              <w:rPr>
                <w:rFonts w:hint="default" w:ascii="Times New Roman" w:hAnsi="Times New Roman" w:eastAsia="宋体" w:cs="Times New Roman"/>
                <w:i w:val="0"/>
                <w:iCs w:val="0"/>
                <w:color w:val="auto"/>
                <w:sz w:val="20"/>
                <w:szCs w:val="20"/>
                <w:u w:val="none"/>
              </w:rPr>
            </w:pPr>
          </w:p>
        </w:tc>
        <w:tc>
          <w:tcPr>
            <w:tcW w:w="716" w:type="dxa"/>
            <w:tcBorders>
              <w:top w:val="nil"/>
              <w:left w:val="nil"/>
              <w:bottom w:val="nil"/>
              <w:right w:val="nil"/>
            </w:tcBorders>
            <w:shd w:val="clear" w:color="auto" w:fill="auto"/>
            <w:noWrap/>
            <w:vAlign w:val="center"/>
          </w:tcPr>
          <w:p w14:paraId="784AA430">
            <w:pPr>
              <w:jc w:val="center"/>
              <w:rPr>
                <w:rFonts w:hint="default" w:ascii="Times New Roman" w:hAnsi="Times New Roman" w:eastAsia="宋体" w:cs="Times New Roman"/>
                <w:i w:val="0"/>
                <w:iCs w:val="0"/>
                <w:color w:val="auto"/>
                <w:sz w:val="20"/>
                <w:szCs w:val="20"/>
                <w:u w:val="none"/>
              </w:rPr>
            </w:pPr>
          </w:p>
        </w:tc>
        <w:tc>
          <w:tcPr>
            <w:tcW w:w="779" w:type="dxa"/>
            <w:tcBorders>
              <w:top w:val="nil"/>
              <w:left w:val="nil"/>
              <w:bottom w:val="nil"/>
              <w:right w:val="nil"/>
            </w:tcBorders>
            <w:shd w:val="clear" w:color="auto" w:fill="auto"/>
            <w:noWrap/>
            <w:vAlign w:val="center"/>
          </w:tcPr>
          <w:p w14:paraId="5377A310">
            <w:pPr>
              <w:jc w:val="center"/>
              <w:rPr>
                <w:rFonts w:hint="default" w:ascii="Times New Roman" w:hAnsi="Times New Roman" w:eastAsia="宋体" w:cs="Times New Roman"/>
                <w:i w:val="0"/>
                <w:iCs w:val="0"/>
                <w:color w:val="auto"/>
                <w:sz w:val="20"/>
                <w:szCs w:val="20"/>
                <w:u w:val="none"/>
              </w:rPr>
            </w:pPr>
          </w:p>
        </w:tc>
        <w:tc>
          <w:tcPr>
            <w:tcW w:w="1205" w:type="dxa"/>
            <w:tcBorders>
              <w:top w:val="nil"/>
              <w:left w:val="nil"/>
              <w:bottom w:val="nil"/>
              <w:right w:val="nil"/>
            </w:tcBorders>
            <w:shd w:val="clear" w:color="auto" w:fill="auto"/>
            <w:noWrap/>
            <w:vAlign w:val="center"/>
          </w:tcPr>
          <w:p w14:paraId="0DA10A1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0.409</w:t>
            </w:r>
          </w:p>
        </w:tc>
      </w:tr>
      <w:tr w14:paraId="45A2F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41913E66">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Negative</w:t>
            </w:r>
          </w:p>
        </w:tc>
        <w:tc>
          <w:tcPr>
            <w:tcW w:w="705" w:type="dxa"/>
            <w:tcBorders>
              <w:top w:val="nil"/>
              <w:left w:val="nil"/>
              <w:bottom w:val="nil"/>
              <w:right w:val="nil"/>
            </w:tcBorders>
            <w:shd w:val="clear" w:color="auto" w:fill="auto"/>
            <w:noWrap/>
            <w:vAlign w:val="center"/>
          </w:tcPr>
          <w:p w14:paraId="470AF7F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169</w:t>
            </w:r>
          </w:p>
        </w:tc>
        <w:tc>
          <w:tcPr>
            <w:tcW w:w="816" w:type="dxa"/>
            <w:tcBorders>
              <w:top w:val="nil"/>
              <w:left w:val="nil"/>
              <w:bottom w:val="nil"/>
              <w:right w:val="nil"/>
            </w:tcBorders>
            <w:shd w:val="clear" w:color="auto" w:fill="auto"/>
            <w:noWrap/>
            <w:vAlign w:val="center"/>
          </w:tcPr>
          <w:p w14:paraId="06FECB2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14.4</w:t>
            </w:r>
          </w:p>
        </w:tc>
        <w:tc>
          <w:tcPr>
            <w:tcW w:w="1128" w:type="dxa"/>
            <w:tcBorders>
              <w:top w:val="nil"/>
              <w:left w:val="nil"/>
              <w:bottom w:val="nil"/>
              <w:right w:val="nil"/>
            </w:tcBorders>
            <w:shd w:val="clear" w:color="auto" w:fill="auto"/>
            <w:noWrap/>
            <w:vAlign w:val="center"/>
          </w:tcPr>
          <w:p w14:paraId="33C7A80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67</w:t>
            </w:r>
          </w:p>
        </w:tc>
        <w:tc>
          <w:tcPr>
            <w:tcW w:w="1128" w:type="dxa"/>
            <w:tcBorders>
              <w:top w:val="nil"/>
              <w:left w:val="nil"/>
              <w:bottom w:val="nil"/>
              <w:right w:val="nil"/>
            </w:tcBorders>
            <w:shd w:val="clear" w:color="auto" w:fill="auto"/>
            <w:noWrap/>
            <w:vAlign w:val="center"/>
          </w:tcPr>
          <w:p w14:paraId="564C389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102</w:t>
            </w:r>
          </w:p>
        </w:tc>
        <w:tc>
          <w:tcPr>
            <w:tcW w:w="1108" w:type="dxa"/>
            <w:tcBorders>
              <w:top w:val="nil"/>
              <w:left w:val="nil"/>
              <w:bottom w:val="nil"/>
              <w:right w:val="nil"/>
            </w:tcBorders>
            <w:shd w:val="clear" w:color="auto" w:fill="auto"/>
            <w:noWrap/>
            <w:vAlign w:val="center"/>
          </w:tcPr>
          <w:p w14:paraId="173D943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1.38</w:t>
            </w:r>
          </w:p>
        </w:tc>
        <w:tc>
          <w:tcPr>
            <w:tcW w:w="738" w:type="dxa"/>
            <w:tcBorders>
              <w:top w:val="nil"/>
              <w:left w:val="nil"/>
              <w:bottom w:val="nil"/>
              <w:right w:val="nil"/>
            </w:tcBorders>
            <w:shd w:val="clear" w:color="auto" w:fill="auto"/>
            <w:noWrap/>
            <w:vAlign w:val="center"/>
          </w:tcPr>
          <w:p w14:paraId="5261CFC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0.86</w:t>
            </w:r>
          </w:p>
        </w:tc>
        <w:tc>
          <w:tcPr>
            <w:tcW w:w="716" w:type="dxa"/>
            <w:tcBorders>
              <w:top w:val="nil"/>
              <w:left w:val="nil"/>
              <w:bottom w:val="nil"/>
              <w:right w:val="nil"/>
            </w:tcBorders>
            <w:shd w:val="clear" w:color="auto" w:fill="auto"/>
            <w:noWrap/>
            <w:vAlign w:val="center"/>
          </w:tcPr>
          <w:p w14:paraId="2E0342D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2.2</w:t>
            </w:r>
          </w:p>
        </w:tc>
        <w:tc>
          <w:tcPr>
            <w:tcW w:w="779" w:type="dxa"/>
            <w:tcBorders>
              <w:top w:val="nil"/>
              <w:left w:val="nil"/>
              <w:bottom w:val="nil"/>
              <w:right w:val="nil"/>
            </w:tcBorders>
            <w:shd w:val="clear" w:color="auto" w:fill="auto"/>
            <w:noWrap/>
            <w:vAlign w:val="center"/>
          </w:tcPr>
          <w:p w14:paraId="2950070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0.184</w:t>
            </w:r>
          </w:p>
        </w:tc>
        <w:tc>
          <w:tcPr>
            <w:tcW w:w="1205" w:type="dxa"/>
            <w:tcBorders>
              <w:top w:val="nil"/>
              <w:left w:val="nil"/>
              <w:bottom w:val="nil"/>
              <w:right w:val="nil"/>
            </w:tcBorders>
            <w:shd w:val="clear" w:color="auto" w:fill="auto"/>
            <w:noWrap/>
            <w:vAlign w:val="center"/>
          </w:tcPr>
          <w:p w14:paraId="537BD9B0">
            <w:pPr>
              <w:jc w:val="center"/>
              <w:rPr>
                <w:rFonts w:hint="default" w:ascii="Times New Roman" w:hAnsi="Times New Roman" w:eastAsia="宋体" w:cs="Times New Roman"/>
                <w:i w:val="0"/>
                <w:iCs w:val="0"/>
                <w:color w:val="auto"/>
                <w:sz w:val="20"/>
                <w:szCs w:val="20"/>
                <w:u w:val="none"/>
              </w:rPr>
            </w:pPr>
          </w:p>
        </w:tc>
      </w:tr>
      <w:tr w14:paraId="2FC1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547DB7D1">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Positive</w:t>
            </w:r>
          </w:p>
        </w:tc>
        <w:tc>
          <w:tcPr>
            <w:tcW w:w="705" w:type="dxa"/>
            <w:tcBorders>
              <w:top w:val="nil"/>
              <w:left w:val="nil"/>
              <w:bottom w:val="nil"/>
              <w:right w:val="nil"/>
            </w:tcBorders>
            <w:shd w:val="clear" w:color="auto" w:fill="auto"/>
            <w:noWrap/>
            <w:vAlign w:val="center"/>
          </w:tcPr>
          <w:p w14:paraId="7201B3C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1005</w:t>
            </w:r>
          </w:p>
        </w:tc>
        <w:tc>
          <w:tcPr>
            <w:tcW w:w="816" w:type="dxa"/>
            <w:tcBorders>
              <w:top w:val="nil"/>
              <w:left w:val="nil"/>
              <w:bottom w:val="nil"/>
              <w:right w:val="nil"/>
            </w:tcBorders>
            <w:shd w:val="clear" w:color="auto" w:fill="auto"/>
            <w:noWrap/>
            <w:vAlign w:val="center"/>
          </w:tcPr>
          <w:p w14:paraId="1324DBB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85.6</w:t>
            </w:r>
          </w:p>
        </w:tc>
        <w:tc>
          <w:tcPr>
            <w:tcW w:w="1128" w:type="dxa"/>
            <w:tcBorders>
              <w:top w:val="nil"/>
              <w:left w:val="nil"/>
              <w:bottom w:val="nil"/>
              <w:right w:val="nil"/>
            </w:tcBorders>
            <w:shd w:val="clear" w:color="auto" w:fill="auto"/>
            <w:noWrap/>
            <w:vAlign w:val="center"/>
          </w:tcPr>
          <w:p w14:paraId="742B7EB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379</w:t>
            </w:r>
          </w:p>
        </w:tc>
        <w:tc>
          <w:tcPr>
            <w:tcW w:w="1128" w:type="dxa"/>
            <w:tcBorders>
              <w:top w:val="nil"/>
              <w:left w:val="nil"/>
              <w:bottom w:val="nil"/>
              <w:right w:val="nil"/>
            </w:tcBorders>
            <w:shd w:val="clear" w:color="auto" w:fill="auto"/>
            <w:noWrap/>
            <w:vAlign w:val="center"/>
          </w:tcPr>
          <w:p w14:paraId="6C98042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626</w:t>
            </w:r>
          </w:p>
        </w:tc>
        <w:tc>
          <w:tcPr>
            <w:tcW w:w="1108" w:type="dxa"/>
            <w:tcBorders>
              <w:top w:val="nil"/>
              <w:left w:val="nil"/>
              <w:bottom w:val="nil"/>
              <w:right w:val="nil"/>
            </w:tcBorders>
            <w:shd w:val="clear" w:color="auto" w:fill="auto"/>
            <w:noWrap/>
            <w:vAlign w:val="center"/>
          </w:tcPr>
          <w:p w14:paraId="1AA5599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1.67</w:t>
            </w:r>
          </w:p>
        </w:tc>
        <w:tc>
          <w:tcPr>
            <w:tcW w:w="738" w:type="dxa"/>
            <w:tcBorders>
              <w:top w:val="nil"/>
              <w:left w:val="nil"/>
              <w:bottom w:val="nil"/>
              <w:right w:val="nil"/>
            </w:tcBorders>
            <w:shd w:val="clear" w:color="auto" w:fill="auto"/>
            <w:noWrap/>
            <w:vAlign w:val="center"/>
          </w:tcPr>
          <w:p w14:paraId="2285851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1.39</w:t>
            </w:r>
          </w:p>
        </w:tc>
        <w:tc>
          <w:tcPr>
            <w:tcW w:w="716" w:type="dxa"/>
            <w:tcBorders>
              <w:top w:val="nil"/>
              <w:left w:val="nil"/>
              <w:bottom w:val="nil"/>
              <w:right w:val="nil"/>
            </w:tcBorders>
            <w:shd w:val="clear" w:color="auto" w:fill="auto"/>
            <w:noWrap/>
            <w:vAlign w:val="center"/>
          </w:tcPr>
          <w:p w14:paraId="194EA8C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2.01</w:t>
            </w:r>
          </w:p>
        </w:tc>
        <w:tc>
          <w:tcPr>
            <w:tcW w:w="779" w:type="dxa"/>
            <w:tcBorders>
              <w:top w:val="nil"/>
              <w:left w:val="nil"/>
              <w:bottom w:val="nil"/>
              <w:right w:val="nil"/>
            </w:tcBorders>
            <w:shd w:val="clear" w:color="auto" w:fill="auto"/>
            <w:noWrap/>
            <w:vAlign w:val="center"/>
          </w:tcPr>
          <w:p w14:paraId="7D26FBA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1205" w:type="dxa"/>
            <w:tcBorders>
              <w:top w:val="nil"/>
              <w:left w:val="nil"/>
              <w:bottom w:val="nil"/>
              <w:right w:val="nil"/>
            </w:tcBorders>
            <w:shd w:val="clear" w:color="auto" w:fill="auto"/>
            <w:noWrap/>
            <w:vAlign w:val="center"/>
          </w:tcPr>
          <w:p w14:paraId="632BEA58">
            <w:pPr>
              <w:jc w:val="center"/>
              <w:rPr>
                <w:rFonts w:hint="default" w:ascii="Times New Roman" w:hAnsi="Times New Roman" w:eastAsia="宋体" w:cs="Times New Roman"/>
                <w:i w:val="0"/>
                <w:iCs w:val="0"/>
                <w:color w:val="auto"/>
                <w:sz w:val="20"/>
                <w:szCs w:val="20"/>
                <w:u w:val="none"/>
              </w:rPr>
            </w:pPr>
          </w:p>
        </w:tc>
      </w:tr>
      <w:tr w14:paraId="47105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3E4E1981">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Liver cirrhosis</w:t>
            </w:r>
          </w:p>
        </w:tc>
        <w:tc>
          <w:tcPr>
            <w:tcW w:w="705" w:type="dxa"/>
            <w:tcBorders>
              <w:top w:val="nil"/>
              <w:left w:val="nil"/>
              <w:bottom w:val="nil"/>
              <w:right w:val="nil"/>
            </w:tcBorders>
            <w:shd w:val="clear" w:color="auto" w:fill="auto"/>
            <w:noWrap/>
            <w:vAlign w:val="center"/>
          </w:tcPr>
          <w:p w14:paraId="04388E9E">
            <w:pPr>
              <w:jc w:val="center"/>
              <w:rPr>
                <w:rFonts w:hint="default" w:ascii="Times New Roman" w:hAnsi="Times New Roman" w:eastAsia="宋体" w:cs="Times New Roman"/>
                <w:i w:val="0"/>
                <w:iCs w:val="0"/>
                <w:color w:val="auto"/>
                <w:sz w:val="20"/>
                <w:szCs w:val="20"/>
                <w:u w:val="none"/>
              </w:rPr>
            </w:pPr>
          </w:p>
        </w:tc>
        <w:tc>
          <w:tcPr>
            <w:tcW w:w="816" w:type="dxa"/>
            <w:tcBorders>
              <w:top w:val="nil"/>
              <w:left w:val="nil"/>
              <w:bottom w:val="nil"/>
              <w:right w:val="nil"/>
            </w:tcBorders>
            <w:shd w:val="clear" w:color="auto" w:fill="auto"/>
            <w:noWrap/>
            <w:vAlign w:val="center"/>
          </w:tcPr>
          <w:p w14:paraId="3D9E2A3E">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49EC85C4">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276CF70C">
            <w:pPr>
              <w:jc w:val="center"/>
              <w:rPr>
                <w:rFonts w:hint="default" w:ascii="Times New Roman" w:hAnsi="Times New Roman" w:eastAsia="宋体" w:cs="Times New Roman"/>
                <w:i w:val="0"/>
                <w:iCs w:val="0"/>
                <w:color w:val="auto"/>
                <w:sz w:val="20"/>
                <w:szCs w:val="20"/>
                <w:u w:val="none"/>
              </w:rPr>
            </w:pPr>
          </w:p>
        </w:tc>
        <w:tc>
          <w:tcPr>
            <w:tcW w:w="1108" w:type="dxa"/>
            <w:tcBorders>
              <w:top w:val="nil"/>
              <w:left w:val="nil"/>
              <w:bottom w:val="nil"/>
              <w:right w:val="nil"/>
            </w:tcBorders>
            <w:shd w:val="clear" w:color="auto" w:fill="auto"/>
            <w:noWrap/>
            <w:vAlign w:val="center"/>
          </w:tcPr>
          <w:p w14:paraId="35F45AE4">
            <w:pPr>
              <w:jc w:val="center"/>
              <w:rPr>
                <w:rFonts w:hint="default" w:ascii="Times New Roman" w:hAnsi="Times New Roman" w:eastAsia="宋体" w:cs="Times New Roman"/>
                <w:i w:val="0"/>
                <w:iCs w:val="0"/>
                <w:color w:val="auto"/>
                <w:sz w:val="20"/>
                <w:szCs w:val="20"/>
                <w:u w:val="none"/>
              </w:rPr>
            </w:pPr>
          </w:p>
        </w:tc>
        <w:tc>
          <w:tcPr>
            <w:tcW w:w="738" w:type="dxa"/>
            <w:tcBorders>
              <w:top w:val="nil"/>
              <w:left w:val="nil"/>
              <w:bottom w:val="nil"/>
              <w:right w:val="nil"/>
            </w:tcBorders>
            <w:shd w:val="clear" w:color="auto" w:fill="auto"/>
            <w:noWrap/>
            <w:vAlign w:val="center"/>
          </w:tcPr>
          <w:p w14:paraId="11443016">
            <w:pPr>
              <w:jc w:val="center"/>
              <w:rPr>
                <w:rFonts w:hint="default" w:ascii="Times New Roman" w:hAnsi="Times New Roman" w:eastAsia="宋体" w:cs="Times New Roman"/>
                <w:i w:val="0"/>
                <w:iCs w:val="0"/>
                <w:color w:val="auto"/>
                <w:sz w:val="20"/>
                <w:szCs w:val="20"/>
                <w:u w:val="none"/>
              </w:rPr>
            </w:pPr>
          </w:p>
        </w:tc>
        <w:tc>
          <w:tcPr>
            <w:tcW w:w="716" w:type="dxa"/>
            <w:tcBorders>
              <w:top w:val="nil"/>
              <w:left w:val="nil"/>
              <w:bottom w:val="nil"/>
              <w:right w:val="nil"/>
            </w:tcBorders>
            <w:shd w:val="clear" w:color="auto" w:fill="auto"/>
            <w:noWrap/>
            <w:vAlign w:val="center"/>
          </w:tcPr>
          <w:p w14:paraId="55ABDEC4">
            <w:pPr>
              <w:jc w:val="center"/>
              <w:rPr>
                <w:rFonts w:hint="default" w:ascii="Times New Roman" w:hAnsi="Times New Roman" w:eastAsia="宋体" w:cs="Times New Roman"/>
                <w:i w:val="0"/>
                <w:iCs w:val="0"/>
                <w:color w:val="auto"/>
                <w:sz w:val="20"/>
                <w:szCs w:val="20"/>
                <w:u w:val="none"/>
              </w:rPr>
            </w:pPr>
          </w:p>
        </w:tc>
        <w:tc>
          <w:tcPr>
            <w:tcW w:w="779" w:type="dxa"/>
            <w:tcBorders>
              <w:top w:val="nil"/>
              <w:left w:val="nil"/>
              <w:bottom w:val="nil"/>
              <w:right w:val="nil"/>
            </w:tcBorders>
            <w:shd w:val="clear" w:color="auto" w:fill="auto"/>
            <w:noWrap/>
            <w:vAlign w:val="center"/>
          </w:tcPr>
          <w:p w14:paraId="71D86C34">
            <w:pPr>
              <w:jc w:val="center"/>
              <w:rPr>
                <w:rFonts w:hint="default" w:ascii="Times New Roman" w:hAnsi="Times New Roman" w:eastAsia="宋体" w:cs="Times New Roman"/>
                <w:i w:val="0"/>
                <w:iCs w:val="0"/>
                <w:color w:val="auto"/>
                <w:sz w:val="20"/>
                <w:szCs w:val="20"/>
                <w:u w:val="none"/>
              </w:rPr>
            </w:pPr>
          </w:p>
        </w:tc>
        <w:tc>
          <w:tcPr>
            <w:tcW w:w="1205" w:type="dxa"/>
            <w:tcBorders>
              <w:top w:val="nil"/>
              <w:left w:val="nil"/>
              <w:bottom w:val="nil"/>
              <w:right w:val="nil"/>
            </w:tcBorders>
            <w:shd w:val="clear" w:color="auto" w:fill="auto"/>
            <w:noWrap/>
            <w:vAlign w:val="center"/>
          </w:tcPr>
          <w:p w14:paraId="0C53C31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0.619</w:t>
            </w:r>
          </w:p>
        </w:tc>
      </w:tr>
      <w:tr w14:paraId="5B12C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09FEBAF7">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No</w:t>
            </w:r>
          </w:p>
        </w:tc>
        <w:tc>
          <w:tcPr>
            <w:tcW w:w="705" w:type="dxa"/>
            <w:tcBorders>
              <w:top w:val="nil"/>
              <w:left w:val="nil"/>
              <w:bottom w:val="nil"/>
              <w:right w:val="nil"/>
            </w:tcBorders>
            <w:shd w:val="clear" w:color="auto" w:fill="auto"/>
            <w:noWrap/>
            <w:vAlign w:val="center"/>
          </w:tcPr>
          <w:p w14:paraId="0D57F54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198</w:t>
            </w:r>
          </w:p>
        </w:tc>
        <w:tc>
          <w:tcPr>
            <w:tcW w:w="816" w:type="dxa"/>
            <w:tcBorders>
              <w:top w:val="nil"/>
              <w:left w:val="nil"/>
              <w:bottom w:val="nil"/>
              <w:right w:val="nil"/>
            </w:tcBorders>
            <w:shd w:val="clear" w:color="auto" w:fill="auto"/>
            <w:noWrap/>
            <w:vAlign w:val="center"/>
          </w:tcPr>
          <w:p w14:paraId="63BA0E9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16.9</w:t>
            </w:r>
          </w:p>
        </w:tc>
        <w:tc>
          <w:tcPr>
            <w:tcW w:w="1128" w:type="dxa"/>
            <w:tcBorders>
              <w:top w:val="nil"/>
              <w:left w:val="nil"/>
              <w:bottom w:val="nil"/>
              <w:right w:val="nil"/>
            </w:tcBorders>
            <w:shd w:val="clear" w:color="auto" w:fill="auto"/>
            <w:noWrap/>
            <w:vAlign w:val="center"/>
          </w:tcPr>
          <w:p w14:paraId="5FD9B66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96</w:t>
            </w:r>
          </w:p>
        </w:tc>
        <w:tc>
          <w:tcPr>
            <w:tcW w:w="1128" w:type="dxa"/>
            <w:tcBorders>
              <w:top w:val="nil"/>
              <w:left w:val="nil"/>
              <w:bottom w:val="nil"/>
              <w:right w:val="nil"/>
            </w:tcBorders>
            <w:shd w:val="clear" w:color="auto" w:fill="auto"/>
            <w:noWrap/>
            <w:vAlign w:val="center"/>
          </w:tcPr>
          <w:p w14:paraId="76EE02D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102</w:t>
            </w:r>
          </w:p>
        </w:tc>
        <w:tc>
          <w:tcPr>
            <w:tcW w:w="1108" w:type="dxa"/>
            <w:tcBorders>
              <w:top w:val="nil"/>
              <w:left w:val="nil"/>
              <w:bottom w:val="nil"/>
              <w:right w:val="nil"/>
            </w:tcBorders>
            <w:shd w:val="clear" w:color="auto" w:fill="auto"/>
            <w:noWrap/>
            <w:vAlign w:val="center"/>
          </w:tcPr>
          <w:p w14:paraId="14CFF02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1.81</w:t>
            </w:r>
          </w:p>
        </w:tc>
        <w:tc>
          <w:tcPr>
            <w:tcW w:w="738" w:type="dxa"/>
            <w:tcBorders>
              <w:top w:val="nil"/>
              <w:left w:val="nil"/>
              <w:bottom w:val="nil"/>
              <w:right w:val="nil"/>
            </w:tcBorders>
            <w:shd w:val="clear" w:color="auto" w:fill="auto"/>
            <w:noWrap/>
            <w:vAlign w:val="center"/>
          </w:tcPr>
          <w:p w14:paraId="3F4F47D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1.19</w:t>
            </w:r>
          </w:p>
        </w:tc>
        <w:tc>
          <w:tcPr>
            <w:tcW w:w="716" w:type="dxa"/>
            <w:tcBorders>
              <w:top w:val="nil"/>
              <w:left w:val="nil"/>
              <w:bottom w:val="nil"/>
              <w:right w:val="nil"/>
            </w:tcBorders>
            <w:shd w:val="clear" w:color="auto" w:fill="auto"/>
            <w:noWrap/>
            <w:vAlign w:val="center"/>
          </w:tcPr>
          <w:p w14:paraId="28426D1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2.74</w:t>
            </w:r>
          </w:p>
        </w:tc>
        <w:tc>
          <w:tcPr>
            <w:tcW w:w="779" w:type="dxa"/>
            <w:tcBorders>
              <w:top w:val="nil"/>
              <w:left w:val="nil"/>
              <w:bottom w:val="nil"/>
              <w:right w:val="nil"/>
            </w:tcBorders>
            <w:shd w:val="clear" w:color="auto" w:fill="auto"/>
            <w:noWrap/>
            <w:vAlign w:val="center"/>
          </w:tcPr>
          <w:p w14:paraId="292CD61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0.005</w:t>
            </w:r>
          </w:p>
        </w:tc>
        <w:tc>
          <w:tcPr>
            <w:tcW w:w="1205" w:type="dxa"/>
            <w:tcBorders>
              <w:top w:val="nil"/>
              <w:left w:val="nil"/>
              <w:bottom w:val="nil"/>
              <w:right w:val="nil"/>
            </w:tcBorders>
            <w:shd w:val="clear" w:color="auto" w:fill="auto"/>
            <w:noWrap/>
            <w:vAlign w:val="center"/>
          </w:tcPr>
          <w:p w14:paraId="78E0391F">
            <w:pPr>
              <w:jc w:val="center"/>
              <w:rPr>
                <w:rFonts w:hint="default" w:ascii="Times New Roman" w:hAnsi="Times New Roman" w:eastAsia="宋体" w:cs="Times New Roman"/>
                <w:i w:val="0"/>
                <w:iCs w:val="0"/>
                <w:color w:val="auto"/>
                <w:sz w:val="20"/>
                <w:szCs w:val="20"/>
                <w:u w:val="none"/>
              </w:rPr>
            </w:pPr>
          </w:p>
        </w:tc>
      </w:tr>
      <w:tr w14:paraId="0A3D8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3DF9EFAF">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Yes</w:t>
            </w:r>
          </w:p>
        </w:tc>
        <w:tc>
          <w:tcPr>
            <w:tcW w:w="705" w:type="dxa"/>
            <w:tcBorders>
              <w:top w:val="nil"/>
              <w:left w:val="nil"/>
              <w:bottom w:val="nil"/>
              <w:right w:val="nil"/>
            </w:tcBorders>
            <w:shd w:val="clear" w:color="auto" w:fill="auto"/>
            <w:noWrap/>
            <w:vAlign w:val="center"/>
          </w:tcPr>
          <w:p w14:paraId="40E2555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976</w:t>
            </w:r>
          </w:p>
        </w:tc>
        <w:tc>
          <w:tcPr>
            <w:tcW w:w="816" w:type="dxa"/>
            <w:tcBorders>
              <w:top w:val="nil"/>
              <w:left w:val="nil"/>
              <w:bottom w:val="nil"/>
              <w:right w:val="nil"/>
            </w:tcBorders>
            <w:shd w:val="clear" w:color="auto" w:fill="auto"/>
            <w:noWrap/>
            <w:vAlign w:val="center"/>
          </w:tcPr>
          <w:p w14:paraId="14103A1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83.1</w:t>
            </w:r>
          </w:p>
        </w:tc>
        <w:tc>
          <w:tcPr>
            <w:tcW w:w="1128" w:type="dxa"/>
            <w:tcBorders>
              <w:top w:val="nil"/>
              <w:left w:val="nil"/>
              <w:bottom w:val="nil"/>
              <w:right w:val="nil"/>
            </w:tcBorders>
            <w:shd w:val="clear" w:color="auto" w:fill="auto"/>
            <w:noWrap/>
            <w:vAlign w:val="center"/>
          </w:tcPr>
          <w:p w14:paraId="388FE2D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350</w:t>
            </w:r>
          </w:p>
        </w:tc>
        <w:tc>
          <w:tcPr>
            <w:tcW w:w="1128" w:type="dxa"/>
            <w:tcBorders>
              <w:top w:val="nil"/>
              <w:left w:val="nil"/>
              <w:bottom w:val="nil"/>
              <w:right w:val="nil"/>
            </w:tcBorders>
            <w:shd w:val="clear" w:color="auto" w:fill="auto"/>
            <w:noWrap/>
            <w:vAlign w:val="center"/>
          </w:tcPr>
          <w:p w14:paraId="093486A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626</w:t>
            </w:r>
          </w:p>
        </w:tc>
        <w:tc>
          <w:tcPr>
            <w:tcW w:w="1108" w:type="dxa"/>
            <w:tcBorders>
              <w:top w:val="nil"/>
              <w:left w:val="nil"/>
              <w:bottom w:val="nil"/>
              <w:right w:val="nil"/>
            </w:tcBorders>
            <w:shd w:val="clear" w:color="auto" w:fill="auto"/>
            <w:noWrap/>
            <w:vAlign w:val="center"/>
          </w:tcPr>
          <w:p w14:paraId="31AE6B3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1.58</w:t>
            </w:r>
          </w:p>
        </w:tc>
        <w:tc>
          <w:tcPr>
            <w:tcW w:w="738" w:type="dxa"/>
            <w:tcBorders>
              <w:top w:val="nil"/>
              <w:left w:val="nil"/>
              <w:bottom w:val="nil"/>
              <w:right w:val="nil"/>
            </w:tcBorders>
            <w:shd w:val="clear" w:color="auto" w:fill="auto"/>
            <w:noWrap/>
            <w:vAlign w:val="center"/>
          </w:tcPr>
          <w:p w14:paraId="2FC26EC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1.31</w:t>
            </w:r>
          </w:p>
        </w:tc>
        <w:tc>
          <w:tcPr>
            <w:tcW w:w="716" w:type="dxa"/>
            <w:tcBorders>
              <w:top w:val="nil"/>
              <w:left w:val="nil"/>
              <w:bottom w:val="nil"/>
              <w:right w:val="nil"/>
            </w:tcBorders>
            <w:shd w:val="clear" w:color="auto" w:fill="auto"/>
            <w:noWrap/>
            <w:vAlign w:val="center"/>
          </w:tcPr>
          <w:p w14:paraId="030BDB7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1.91</w:t>
            </w:r>
          </w:p>
        </w:tc>
        <w:tc>
          <w:tcPr>
            <w:tcW w:w="779" w:type="dxa"/>
            <w:tcBorders>
              <w:top w:val="nil"/>
              <w:left w:val="nil"/>
              <w:bottom w:val="nil"/>
              <w:right w:val="nil"/>
            </w:tcBorders>
            <w:shd w:val="clear" w:color="auto" w:fill="auto"/>
            <w:noWrap/>
            <w:vAlign w:val="center"/>
          </w:tcPr>
          <w:p w14:paraId="6AABC50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1205" w:type="dxa"/>
            <w:tcBorders>
              <w:top w:val="nil"/>
              <w:left w:val="nil"/>
              <w:bottom w:val="nil"/>
              <w:right w:val="nil"/>
            </w:tcBorders>
            <w:shd w:val="clear" w:color="auto" w:fill="auto"/>
            <w:noWrap/>
            <w:vAlign w:val="center"/>
          </w:tcPr>
          <w:p w14:paraId="4355C250">
            <w:pPr>
              <w:jc w:val="center"/>
              <w:rPr>
                <w:rFonts w:hint="default" w:ascii="Times New Roman" w:hAnsi="Times New Roman" w:eastAsia="宋体" w:cs="Times New Roman"/>
                <w:i w:val="0"/>
                <w:iCs w:val="0"/>
                <w:color w:val="auto"/>
                <w:sz w:val="20"/>
                <w:szCs w:val="20"/>
                <w:u w:val="none"/>
              </w:rPr>
            </w:pPr>
          </w:p>
        </w:tc>
      </w:tr>
      <w:tr w14:paraId="02E7B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50C223C9">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Tumour number</w:t>
            </w:r>
          </w:p>
        </w:tc>
        <w:tc>
          <w:tcPr>
            <w:tcW w:w="705" w:type="dxa"/>
            <w:tcBorders>
              <w:top w:val="nil"/>
              <w:left w:val="nil"/>
              <w:bottom w:val="nil"/>
              <w:right w:val="nil"/>
            </w:tcBorders>
            <w:shd w:val="clear" w:color="auto" w:fill="auto"/>
            <w:noWrap/>
            <w:vAlign w:val="center"/>
          </w:tcPr>
          <w:p w14:paraId="5AFD7381">
            <w:pPr>
              <w:jc w:val="center"/>
              <w:rPr>
                <w:rFonts w:hint="default" w:ascii="Times New Roman" w:hAnsi="Times New Roman" w:eastAsia="宋体" w:cs="Times New Roman"/>
                <w:i w:val="0"/>
                <w:iCs w:val="0"/>
                <w:color w:val="auto"/>
                <w:sz w:val="20"/>
                <w:szCs w:val="20"/>
                <w:u w:val="none"/>
              </w:rPr>
            </w:pPr>
          </w:p>
        </w:tc>
        <w:tc>
          <w:tcPr>
            <w:tcW w:w="816" w:type="dxa"/>
            <w:tcBorders>
              <w:top w:val="nil"/>
              <w:left w:val="nil"/>
              <w:bottom w:val="nil"/>
              <w:right w:val="nil"/>
            </w:tcBorders>
            <w:shd w:val="clear" w:color="auto" w:fill="auto"/>
            <w:noWrap/>
            <w:vAlign w:val="center"/>
          </w:tcPr>
          <w:p w14:paraId="7745517A">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09479158">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323F14D8">
            <w:pPr>
              <w:jc w:val="center"/>
              <w:rPr>
                <w:rFonts w:hint="default" w:ascii="Times New Roman" w:hAnsi="Times New Roman" w:eastAsia="宋体" w:cs="Times New Roman"/>
                <w:i w:val="0"/>
                <w:iCs w:val="0"/>
                <w:color w:val="auto"/>
                <w:sz w:val="20"/>
                <w:szCs w:val="20"/>
                <w:u w:val="none"/>
              </w:rPr>
            </w:pPr>
          </w:p>
        </w:tc>
        <w:tc>
          <w:tcPr>
            <w:tcW w:w="1108" w:type="dxa"/>
            <w:tcBorders>
              <w:top w:val="nil"/>
              <w:left w:val="nil"/>
              <w:bottom w:val="nil"/>
              <w:right w:val="nil"/>
            </w:tcBorders>
            <w:shd w:val="clear" w:color="auto" w:fill="auto"/>
            <w:noWrap/>
            <w:vAlign w:val="center"/>
          </w:tcPr>
          <w:p w14:paraId="3FF4ADC2">
            <w:pPr>
              <w:jc w:val="center"/>
              <w:rPr>
                <w:rFonts w:hint="default" w:ascii="Times New Roman" w:hAnsi="Times New Roman" w:eastAsia="宋体" w:cs="Times New Roman"/>
                <w:i w:val="0"/>
                <w:iCs w:val="0"/>
                <w:color w:val="auto"/>
                <w:sz w:val="20"/>
                <w:szCs w:val="20"/>
                <w:u w:val="none"/>
              </w:rPr>
            </w:pPr>
          </w:p>
        </w:tc>
        <w:tc>
          <w:tcPr>
            <w:tcW w:w="738" w:type="dxa"/>
            <w:tcBorders>
              <w:top w:val="nil"/>
              <w:left w:val="nil"/>
              <w:bottom w:val="nil"/>
              <w:right w:val="nil"/>
            </w:tcBorders>
            <w:shd w:val="clear" w:color="auto" w:fill="auto"/>
            <w:noWrap/>
            <w:vAlign w:val="center"/>
          </w:tcPr>
          <w:p w14:paraId="643791CB">
            <w:pPr>
              <w:jc w:val="center"/>
              <w:rPr>
                <w:rFonts w:hint="default" w:ascii="Times New Roman" w:hAnsi="Times New Roman" w:eastAsia="宋体" w:cs="Times New Roman"/>
                <w:i w:val="0"/>
                <w:iCs w:val="0"/>
                <w:color w:val="auto"/>
                <w:sz w:val="20"/>
                <w:szCs w:val="20"/>
                <w:u w:val="none"/>
              </w:rPr>
            </w:pPr>
          </w:p>
        </w:tc>
        <w:tc>
          <w:tcPr>
            <w:tcW w:w="716" w:type="dxa"/>
            <w:tcBorders>
              <w:top w:val="nil"/>
              <w:left w:val="nil"/>
              <w:bottom w:val="nil"/>
              <w:right w:val="nil"/>
            </w:tcBorders>
            <w:shd w:val="clear" w:color="auto" w:fill="auto"/>
            <w:noWrap/>
            <w:vAlign w:val="center"/>
          </w:tcPr>
          <w:p w14:paraId="3E66F16C">
            <w:pPr>
              <w:jc w:val="center"/>
              <w:rPr>
                <w:rFonts w:hint="default" w:ascii="Times New Roman" w:hAnsi="Times New Roman" w:eastAsia="宋体" w:cs="Times New Roman"/>
                <w:i w:val="0"/>
                <w:iCs w:val="0"/>
                <w:color w:val="auto"/>
                <w:sz w:val="20"/>
                <w:szCs w:val="20"/>
                <w:u w:val="none"/>
              </w:rPr>
            </w:pPr>
          </w:p>
        </w:tc>
        <w:tc>
          <w:tcPr>
            <w:tcW w:w="779" w:type="dxa"/>
            <w:tcBorders>
              <w:top w:val="nil"/>
              <w:left w:val="nil"/>
              <w:bottom w:val="nil"/>
              <w:right w:val="nil"/>
            </w:tcBorders>
            <w:shd w:val="clear" w:color="auto" w:fill="auto"/>
            <w:noWrap/>
            <w:vAlign w:val="center"/>
          </w:tcPr>
          <w:p w14:paraId="2BA157DA">
            <w:pPr>
              <w:jc w:val="center"/>
              <w:rPr>
                <w:rFonts w:hint="default" w:ascii="Times New Roman" w:hAnsi="Times New Roman" w:eastAsia="宋体" w:cs="Times New Roman"/>
                <w:i w:val="0"/>
                <w:iCs w:val="0"/>
                <w:color w:val="auto"/>
                <w:sz w:val="20"/>
                <w:szCs w:val="20"/>
                <w:u w:val="none"/>
              </w:rPr>
            </w:pPr>
          </w:p>
        </w:tc>
        <w:tc>
          <w:tcPr>
            <w:tcW w:w="1205" w:type="dxa"/>
            <w:tcBorders>
              <w:top w:val="nil"/>
              <w:left w:val="nil"/>
              <w:bottom w:val="nil"/>
              <w:right w:val="nil"/>
            </w:tcBorders>
            <w:shd w:val="clear" w:color="auto" w:fill="auto"/>
            <w:noWrap/>
            <w:vAlign w:val="center"/>
          </w:tcPr>
          <w:p w14:paraId="4C38EA1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0.0</w:t>
            </w:r>
            <w:r>
              <w:rPr>
                <w:rFonts w:hint="eastAsia" w:ascii="Times New Roman" w:hAnsi="Times New Roman" w:eastAsia="宋体" w:cs="Times New Roman"/>
                <w:i w:val="0"/>
                <w:iCs w:val="0"/>
                <w:color w:val="auto"/>
                <w:kern w:val="0"/>
                <w:sz w:val="20"/>
                <w:szCs w:val="20"/>
                <w:u w:val="none"/>
                <w:lang w:val="en-US" w:eastAsia="zh-CN" w:bidi="ar"/>
              </w:rPr>
              <w:t>5</w:t>
            </w:r>
            <w:r>
              <w:rPr>
                <w:rFonts w:hint="default" w:ascii="Times New Roman" w:hAnsi="Times New Roman" w:eastAsia="宋体" w:cs="Times New Roman"/>
                <w:i w:val="0"/>
                <w:iCs w:val="0"/>
                <w:color w:val="auto"/>
                <w:kern w:val="0"/>
                <w:sz w:val="20"/>
                <w:szCs w:val="20"/>
                <w:u w:val="none"/>
                <w:lang w:val="en-US" w:eastAsia="zh-CN" w:bidi="ar"/>
              </w:rPr>
              <w:t>3</w:t>
            </w:r>
          </w:p>
        </w:tc>
      </w:tr>
      <w:tr w14:paraId="4E9D9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3ED19198">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&lt;2</w:t>
            </w:r>
          </w:p>
        </w:tc>
        <w:tc>
          <w:tcPr>
            <w:tcW w:w="705" w:type="dxa"/>
            <w:tcBorders>
              <w:top w:val="nil"/>
              <w:left w:val="nil"/>
              <w:bottom w:val="nil"/>
              <w:right w:val="nil"/>
            </w:tcBorders>
            <w:shd w:val="clear" w:color="auto" w:fill="auto"/>
            <w:noWrap/>
            <w:vAlign w:val="center"/>
          </w:tcPr>
          <w:p w14:paraId="2872B74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832</w:t>
            </w:r>
          </w:p>
        </w:tc>
        <w:tc>
          <w:tcPr>
            <w:tcW w:w="816" w:type="dxa"/>
            <w:tcBorders>
              <w:top w:val="nil"/>
              <w:left w:val="nil"/>
              <w:bottom w:val="nil"/>
              <w:right w:val="nil"/>
            </w:tcBorders>
            <w:shd w:val="clear" w:color="auto" w:fill="auto"/>
            <w:noWrap/>
            <w:vAlign w:val="center"/>
          </w:tcPr>
          <w:p w14:paraId="369C44F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70.9</w:t>
            </w:r>
          </w:p>
        </w:tc>
        <w:tc>
          <w:tcPr>
            <w:tcW w:w="1128" w:type="dxa"/>
            <w:tcBorders>
              <w:top w:val="nil"/>
              <w:left w:val="nil"/>
              <w:bottom w:val="nil"/>
              <w:right w:val="nil"/>
            </w:tcBorders>
            <w:shd w:val="clear" w:color="auto" w:fill="auto"/>
            <w:noWrap/>
            <w:vAlign w:val="center"/>
          </w:tcPr>
          <w:p w14:paraId="7E851BD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333</w:t>
            </w:r>
          </w:p>
        </w:tc>
        <w:tc>
          <w:tcPr>
            <w:tcW w:w="1128" w:type="dxa"/>
            <w:tcBorders>
              <w:top w:val="nil"/>
              <w:left w:val="nil"/>
              <w:bottom w:val="nil"/>
              <w:right w:val="nil"/>
            </w:tcBorders>
            <w:shd w:val="clear" w:color="auto" w:fill="auto"/>
            <w:noWrap/>
            <w:vAlign w:val="center"/>
          </w:tcPr>
          <w:p w14:paraId="221D648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499</w:t>
            </w:r>
          </w:p>
        </w:tc>
        <w:tc>
          <w:tcPr>
            <w:tcW w:w="1108" w:type="dxa"/>
            <w:tcBorders>
              <w:top w:val="nil"/>
              <w:left w:val="nil"/>
              <w:bottom w:val="nil"/>
              <w:right w:val="nil"/>
            </w:tcBorders>
            <w:shd w:val="clear" w:color="auto" w:fill="auto"/>
            <w:noWrap/>
            <w:vAlign w:val="center"/>
          </w:tcPr>
          <w:p w14:paraId="58B8BD9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1.86</w:t>
            </w:r>
          </w:p>
        </w:tc>
        <w:tc>
          <w:tcPr>
            <w:tcW w:w="738" w:type="dxa"/>
            <w:tcBorders>
              <w:top w:val="nil"/>
              <w:left w:val="nil"/>
              <w:bottom w:val="nil"/>
              <w:right w:val="nil"/>
            </w:tcBorders>
            <w:shd w:val="clear" w:color="auto" w:fill="auto"/>
            <w:noWrap/>
            <w:vAlign w:val="center"/>
          </w:tcPr>
          <w:p w14:paraId="1BB529C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1.5</w:t>
            </w:r>
          </w:p>
        </w:tc>
        <w:tc>
          <w:tcPr>
            <w:tcW w:w="716" w:type="dxa"/>
            <w:tcBorders>
              <w:top w:val="nil"/>
              <w:left w:val="nil"/>
              <w:bottom w:val="nil"/>
              <w:right w:val="nil"/>
            </w:tcBorders>
            <w:shd w:val="clear" w:color="auto" w:fill="auto"/>
            <w:noWrap/>
            <w:vAlign w:val="center"/>
          </w:tcPr>
          <w:p w14:paraId="77CA87E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2.31</w:t>
            </w:r>
          </w:p>
        </w:tc>
        <w:tc>
          <w:tcPr>
            <w:tcW w:w="779" w:type="dxa"/>
            <w:tcBorders>
              <w:top w:val="nil"/>
              <w:left w:val="nil"/>
              <w:bottom w:val="nil"/>
              <w:right w:val="nil"/>
            </w:tcBorders>
            <w:shd w:val="clear" w:color="auto" w:fill="auto"/>
            <w:noWrap/>
            <w:vAlign w:val="center"/>
          </w:tcPr>
          <w:p w14:paraId="3F33A0A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1205" w:type="dxa"/>
            <w:tcBorders>
              <w:top w:val="nil"/>
              <w:left w:val="nil"/>
              <w:bottom w:val="nil"/>
              <w:right w:val="nil"/>
            </w:tcBorders>
            <w:shd w:val="clear" w:color="auto" w:fill="auto"/>
            <w:noWrap/>
            <w:vAlign w:val="center"/>
          </w:tcPr>
          <w:p w14:paraId="32CC2EE0">
            <w:pPr>
              <w:jc w:val="center"/>
              <w:rPr>
                <w:rFonts w:hint="default" w:ascii="Times New Roman" w:hAnsi="Times New Roman" w:eastAsia="宋体" w:cs="Times New Roman"/>
                <w:i w:val="0"/>
                <w:iCs w:val="0"/>
                <w:color w:val="auto"/>
                <w:sz w:val="20"/>
                <w:szCs w:val="20"/>
                <w:u w:val="none"/>
              </w:rPr>
            </w:pPr>
          </w:p>
        </w:tc>
      </w:tr>
      <w:tr w14:paraId="697BB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08DD73FC">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≥2</w:t>
            </w:r>
          </w:p>
        </w:tc>
        <w:tc>
          <w:tcPr>
            <w:tcW w:w="705" w:type="dxa"/>
            <w:tcBorders>
              <w:top w:val="nil"/>
              <w:left w:val="nil"/>
              <w:bottom w:val="nil"/>
              <w:right w:val="nil"/>
            </w:tcBorders>
            <w:shd w:val="clear" w:color="auto" w:fill="auto"/>
            <w:noWrap/>
            <w:vAlign w:val="center"/>
          </w:tcPr>
          <w:p w14:paraId="43E1776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342</w:t>
            </w:r>
          </w:p>
        </w:tc>
        <w:tc>
          <w:tcPr>
            <w:tcW w:w="816" w:type="dxa"/>
            <w:tcBorders>
              <w:top w:val="nil"/>
              <w:left w:val="nil"/>
              <w:bottom w:val="nil"/>
              <w:right w:val="nil"/>
            </w:tcBorders>
            <w:shd w:val="clear" w:color="auto" w:fill="auto"/>
            <w:noWrap/>
            <w:vAlign w:val="center"/>
          </w:tcPr>
          <w:p w14:paraId="26B95BF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29.1</w:t>
            </w:r>
          </w:p>
        </w:tc>
        <w:tc>
          <w:tcPr>
            <w:tcW w:w="1128" w:type="dxa"/>
            <w:tcBorders>
              <w:top w:val="nil"/>
              <w:left w:val="nil"/>
              <w:bottom w:val="nil"/>
              <w:right w:val="nil"/>
            </w:tcBorders>
            <w:shd w:val="clear" w:color="auto" w:fill="auto"/>
            <w:noWrap/>
            <w:vAlign w:val="center"/>
          </w:tcPr>
          <w:p w14:paraId="2837E03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113</w:t>
            </w:r>
          </w:p>
        </w:tc>
        <w:tc>
          <w:tcPr>
            <w:tcW w:w="1128" w:type="dxa"/>
            <w:tcBorders>
              <w:top w:val="nil"/>
              <w:left w:val="nil"/>
              <w:bottom w:val="nil"/>
              <w:right w:val="nil"/>
            </w:tcBorders>
            <w:shd w:val="clear" w:color="auto" w:fill="auto"/>
            <w:noWrap/>
            <w:vAlign w:val="center"/>
          </w:tcPr>
          <w:p w14:paraId="2C83346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229</w:t>
            </w:r>
          </w:p>
        </w:tc>
        <w:tc>
          <w:tcPr>
            <w:tcW w:w="1108" w:type="dxa"/>
            <w:tcBorders>
              <w:top w:val="nil"/>
              <w:left w:val="nil"/>
              <w:bottom w:val="nil"/>
              <w:right w:val="nil"/>
            </w:tcBorders>
            <w:shd w:val="clear" w:color="auto" w:fill="auto"/>
            <w:noWrap/>
            <w:vAlign w:val="center"/>
          </w:tcPr>
          <w:p w14:paraId="5CFE7E6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1.09</w:t>
            </w:r>
          </w:p>
        </w:tc>
        <w:tc>
          <w:tcPr>
            <w:tcW w:w="738" w:type="dxa"/>
            <w:tcBorders>
              <w:top w:val="nil"/>
              <w:left w:val="nil"/>
              <w:bottom w:val="nil"/>
              <w:right w:val="nil"/>
            </w:tcBorders>
            <w:shd w:val="clear" w:color="auto" w:fill="auto"/>
            <w:noWrap/>
            <w:vAlign w:val="center"/>
          </w:tcPr>
          <w:p w14:paraId="40DBF87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0.83</w:t>
            </w:r>
          </w:p>
        </w:tc>
        <w:tc>
          <w:tcPr>
            <w:tcW w:w="716" w:type="dxa"/>
            <w:tcBorders>
              <w:top w:val="nil"/>
              <w:left w:val="nil"/>
              <w:bottom w:val="nil"/>
              <w:right w:val="nil"/>
            </w:tcBorders>
            <w:shd w:val="clear" w:color="auto" w:fill="auto"/>
            <w:noWrap/>
            <w:vAlign w:val="center"/>
          </w:tcPr>
          <w:p w14:paraId="2A6CA0E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1.43</w:t>
            </w:r>
          </w:p>
        </w:tc>
        <w:tc>
          <w:tcPr>
            <w:tcW w:w="779" w:type="dxa"/>
            <w:tcBorders>
              <w:top w:val="nil"/>
              <w:left w:val="nil"/>
              <w:bottom w:val="nil"/>
              <w:right w:val="nil"/>
            </w:tcBorders>
            <w:shd w:val="clear" w:color="auto" w:fill="auto"/>
            <w:noWrap/>
            <w:vAlign w:val="center"/>
          </w:tcPr>
          <w:p w14:paraId="058C812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0.545</w:t>
            </w:r>
          </w:p>
        </w:tc>
        <w:tc>
          <w:tcPr>
            <w:tcW w:w="1205" w:type="dxa"/>
            <w:tcBorders>
              <w:top w:val="nil"/>
              <w:left w:val="nil"/>
              <w:bottom w:val="nil"/>
              <w:right w:val="nil"/>
            </w:tcBorders>
            <w:shd w:val="clear" w:color="auto" w:fill="auto"/>
            <w:noWrap/>
            <w:vAlign w:val="center"/>
          </w:tcPr>
          <w:p w14:paraId="4E857811">
            <w:pPr>
              <w:jc w:val="center"/>
              <w:rPr>
                <w:rFonts w:hint="default" w:ascii="Times New Roman" w:hAnsi="Times New Roman" w:eastAsia="宋体" w:cs="Times New Roman"/>
                <w:i w:val="0"/>
                <w:iCs w:val="0"/>
                <w:color w:val="auto"/>
                <w:sz w:val="20"/>
                <w:szCs w:val="20"/>
                <w:u w:val="none"/>
              </w:rPr>
            </w:pPr>
          </w:p>
        </w:tc>
      </w:tr>
      <w:tr w14:paraId="1F86F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3A8A1F18">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Tumour size</w:t>
            </w:r>
          </w:p>
        </w:tc>
        <w:tc>
          <w:tcPr>
            <w:tcW w:w="705" w:type="dxa"/>
            <w:tcBorders>
              <w:top w:val="nil"/>
              <w:left w:val="nil"/>
              <w:bottom w:val="nil"/>
              <w:right w:val="nil"/>
            </w:tcBorders>
            <w:shd w:val="clear" w:color="auto" w:fill="auto"/>
            <w:noWrap/>
            <w:vAlign w:val="center"/>
          </w:tcPr>
          <w:p w14:paraId="68C85097">
            <w:pPr>
              <w:jc w:val="center"/>
              <w:rPr>
                <w:rFonts w:hint="default" w:ascii="Times New Roman" w:hAnsi="Times New Roman" w:eastAsia="宋体" w:cs="Times New Roman"/>
                <w:i w:val="0"/>
                <w:iCs w:val="0"/>
                <w:color w:val="auto"/>
                <w:sz w:val="20"/>
                <w:szCs w:val="20"/>
                <w:u w:val="none"/>
              </w:rPr>
            </w:pPr>
          </w:p>
        </w:tc>
        <w:tc>
          <w:tcPr>
            <w:tcW w:w="816" w:type="dxa"/>
            <w:tcBorders>
              <w:top w:val="nil"/>
              <w:left w:val="nil"/>
              <w:bottom w:val="nil"/>
              <w:right w:val="nil"/>
            </w:tcBorders>
            <w:shd w:val="clear" w:color="auto" w:fill="auto"/>
            <w:noWrap/>
            <w:vAlign w:val="center"/>
          </w:tcPr>
          <w:p w14:paraId="21C24767">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7089DBF8">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35EF91D9">
            <w:pPr>
              <w:jc w:val="center"/>
              <w:rPr>
                <w:rFonts w:hint="default" w:ascii="Times New Roman" w:hAnsi="Times New Roman" w:eastAsia="宋体" w:cs="Times New Roman"/>
                <w:i w:val="0"/>
                <w:iCs w:val="0"/>
                <w:color w:val="auto"/>
                <w:sz w:val="20"/>
                <w:szCs w:val="20"/>
                <w:u w:val="none"/>
              </w:rPr>
            </w:pPr>
          </w:p>
        </w:tc>
        <w:tc>
          <w:tcPr>
            <w:tcW w:w="1108" w:type="dxa"/>
            <w:tcBorders>
              <w:top w:val="nil"/>
              <w:left w:val="nil"/>
              <w:bottom w:val="nil"/>
              <w:right w:val="nil"/>
            </w:tcBorders>
            <w:shd w:val="clear" w:color="auto" w:fill="auto"/>
            <w:noWrap/>
            <w:vAlign w:val="center"/>
          </w:tcPr>
          <w:p w14:paraId="25E56032">
            <w:pPr>
              <w:jc w:val="center"/>
              <w:rPr>
                <w:rFonts w:hint="default" w:ascii="Times New Roman" w:hAnsi="Times New Roman" w:eastAsia="宋体" w:cs="Times New Roman"/>
                <w:i w:val="0"/>
                <w:iCs w:val="0"/>
                <w:color w:val="auto"/>
                <w:sz w:val="20"/>
                <w:szCs w:val="20"/>
                <w:u w:val="none"/>
              </w:rPr>
            </w:pPr>
          </w:p>
        </w:tc>
        <w:tc>
          <w:tcPr>
            <w:tcW w:w="738" w:type="dxa"/>
            <w:tcBorders>
              <w:top w:val="nil"/>
              <w:left w:val="nil"/>
              <w:bottom w:val="nil"/>
              <w:right w:val="nil"/>
            </w:tcBorders>
            <w:shd w:val="clear" w:color="auto" w:fill="auto"/>
            <w:noWrap/>
            <w:vAlign w:val="center"/>
          </w:tcPr>
          <w:p w14:paraId="19887F95">
            <w:pPr>
              <w:jc w:val="center"/>
              <w:rPr>
                <w:rFonts w:hint="default" w:ascii="Times New Roman" w:hAnsi="Times New Roman" w:eastAsia="宋体" w:cs="Times New Roman"/>
                <w:i w:val="0"/>
                <w:iCs w:val="0"/>
                <w:color w:val="auto"/>
                <w:sz w:val="20"/>
                <w:szCs w:val="20"/>
                <w:u w:val="none"/>
              </w:rPr>
            </w:pPr>
          </w:p>
        </w:tc>
        <w:tc>
          <w:tcPr>
            <w:tcW w:w="716" w:type="dxa"/>
            <w:tcBorders>
              <w:top w:val="nil"/>
              <w:left w:val="nil"/>
              <w:bottom w:val="nil"/>
              <w:right w:val="nil"/>
            </w:tcBorders>
            <w:shd w:val="clear" w:color="auto" w:fill="auto"/>
            <w:noWrap/>
            <w:vAlign w:val="center"/>
          </w:tcPr>
          <w:p w14:paraId="193284C9">
            <w:pPr>
              <w:jc w:val="center"/>
              <w:rPr>
                <w:rFonts w:hint="default" w:ascii="Times New Roman" w:hAnsi="Times New Roman" w:eastAsia="宋体" w:cs="Times New Roman"/>
                <w:i w:val="0"/>
                <w:iCs w:val="0"/>
                <w:color w:val="auto"/>
                <w:sz w:val="20"/>
                <w:szCs w:val="20"/>
                <w:u w:val="none"/>
              </w:rPr>
            </w:pPr>
          </w:p>
        </w:tc>
        <w:tc>
          <w:tcPr>
            <w:tcW w:w="779" w:type="dxa"/>
            <w:tcBorders>
              <w:top w:val="nil"/>
              <w:left w:val="nil"/>
              <w:bottom w:val="nil"/>
              <w:right w:val="nil"/>
            </w:tcBorders>
            <w:shd w:val="clear" w:color="auto" w:fill="auto"/>
            <w:noWrap/>
            <w:vAlign w:val="center"/>
          </w:tcPr>
          <w:p w14:paraId="2329EA10">
            <w:pPr>
              <w:jc w:val="center"/>
              <w:rPr>
                <w:rFonts w:hint="default" w:ascii="Times New Roman" w:hAnsi="Times New Roman" w:eastAsia="宋体" w:cs="Times New Roman"/>
                <w:i w:val="0"/>
                <w:iCs w:val="0"/>
                <w:color w:val="auto"/>
                <w:sz w:val="20"/>
                <w:szCs w:val="20"/>
                <w:u w:val="none"/>
              </w:rPr>
            </w:pPr>
          </w:p>
        </w:tc>
        <w:tc>
          <w:tcPr>
            <w:tcW w:w="1205" w:type="dxa"/>
            <w:tcBorders>
              <w:top w:val="nil"/>
              <w:left w:val="nil"/>
              <w:bottom w:val="nil"/>
              <w:right w:val="nil"/>
            </w:tcBorders>
            <w:shd w:val="clear" w:color="auto" w:fill="auto"/>
            <w:noWrap/>
            <w:vAlign w:val="center"/>
          </w:tcPr>
          <w:p w14:paraId="666AA0B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0.903</w:t>
            </w:r>
          </w:p>
        </w:tc>
      </w:tr>
      <w:tr w14:paraId="52E48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3896723A">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&lt;5 cm</w:t>
            </w:r>
          </w:p>
        </w:tc>
        <w:tc>
          <w:tcPr>
            <w:tcW w:w="705" w:type="dxa"/>
            <w:tcBorders>
              <w:top w:val="nil"/>
              <w:left w:val="nil"/>
              <w:bottom w:val="nil"/>
              <w:right w:val="nil"/>
            </w:tcBorders>
            <w:shd w:val="clear" w:color="auto" w:fill="auto"/>
            <w:noWrap/>
            <w:vAlign w:val="center"/>
          </w:tcPr>
          <w:p w14:paraId="3939850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382</w:t>
            </w:r>
          </w:p>
        </w:tc>
        <w:tc>
          <w:tcPr>
            <w:tcW w:w="816" w:type="dxa"/>
            <w:tcBorders>
              <w:top w:val="nil"/>
              <w:left w:val="nil"/>
              <w:bottom w:val="nil"/>
              <w:right w:val="nil"/>
            </w:tcBorders>
            <w:shd w:val="clear" w:color="auto" w:fill="auto"/>
            <w:noWrap/>
            <w:vAlign w:val="center"/>
          </w:tcPr>
          <w:p w14:paraId="0164728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32.5</w:t>
            </w:r>
          </w:p>
        </w:tc>
        <w:tc>
          <w:tcPr>
            <w:tcW w:w="1128" w:type="dxa"/>
            <w:tcBorders>
              <w:top w:val="nil"/>
              <w:left w:val="nil"/>
              <w:bottom w:val="nil"/>
              <w:right w:val="nil"/>
            </w:tcBorders>
            <w:shd w:val="clear" w:color="auto" w:fill="auto"/>
            <w:noWrap/>
            <w:vAlign w:val="center"/>
          </w:tcPr>
          <w:p w14:paraId="77E7114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185</w:t>
            </w:r>
          </w:p>
        </w:tc>
        <w:tc>
          <w:tcPr>
            <w:tcW w:w="1128" w:type="dxa"/>
            <w:tcBorders>
              <w:top w:val="nil"/>
              <w:left w:val="nil"/>
              <w:bottom w:val="nil"/>
              <w:right w:val="nil"/>
            </w:tcBorders>
            <w:shd w:val="clear" w:color="auto" w:fill="auto"/>
            <w:noWrap/>
            <w:vAlign w:val="center"/>
          </w:tcPr>
          <w:p w14:paraId="0EA984A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197</w:t>
            </w:r>
          </w:p>
        </w:tc>
        <w:tc>
          <w:tcPr>
            <w:tcW w:w="1108" w:type="dxa"/>
            <w:tcBorders>
              <w:top w:val="nil"/>
              <w:left w:val="nil"/>
              <w:bottom w:val="nil"/>
              <w:right w:val="nil"/>
            </w:tcBorders>
            <w:shd w:val="clear" w:color="auto" w:fill="auto"/>
            <w:noWrap/>
            <w:vAlign w:val="center"/>
          </w:tcPr>
          <w:p w14:paraId="7CAED08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1.44</w:t>
            </w:r>
          </w:p>
        </w:tc>
        <w:tc>
          <w:tcPr>
            <w:tcW w:w="738" w:type="dxa"/>
            <w:tcBorders>
              <w:top w:val="nil"/>
              <w:left w:val="nil"/>
              <w:bottom w:val="nil"/>
              <w:right w:val="nil"/>
            </w:tcBorders>
            <w:shd w:val="clear" w:color="auto" w:fill="auto"/>
            <w:noWrap/>
            <w:vAlign w:val="center"/>
          </w:tcPr>
          <w:p w14:paraId="0AACFE0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1.04</w:t>
            </w:r>
          </w:p>
        </w:tc>
        <w:tc>
          <w:tcPr>
            <w:tcW w:w="716" w:type="dxa"/>
            <w:tcBorders>
              <w:top w:val="nil"/>
              <w:left w:val="nil"/>
              <w:bottom w:val="nil"/>
              <w:right w:val="nil"/>
            </w:tcBorders>
            <w:shd w:val="clear" w:color="auto" w:fill="auto"/>
            <w:noWrap/>
            <w:vAlign w:val="center"/>
          </w:tcPr>
          <w:p w14:paraId="0A545C9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w:t>
            </w:r>
          </w:p>
        </w:tc>
        <w:tc>
          <w:tcPr>
            <w:tcW w:w="779" w:type="dxa"/>
            <w:tcBorders>
              <w:top w:val="nil"/>
              <w:left w:val="nil"/>
              <w:bottom w:val="nil"/>
              <w:right w:val="nil"/>
            </w:tcBorders>
            <w:shd w:val="clear" w:color="auto" w:fill="auto"/>
            <w:noWrap/>
            <w:vAlign w:val="center"/>
          </w:tcPr>
          <w:p w14:paraId="67734A8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0.029</w:t>
            </w:r>
          </w:p>
        </w:tc>
        <w:tc>
          <w:tcPr>
            <w:tcW w:w="1205" w:type="dxa"/>
            <w:tcBorders>
              <w:top w:val="nil"/>
              <w:left w:val="nil"/>
              <w:bottom w:val="nil"/>
              <w:right w:val="nil"/>
            </w:tcBorders>
            <w:shd w:val="clear" w:color="auto" w:fill="auto"/>
            <w:noWrap/>
            <w:vAlign w:val="center"/>
          </w:tcPr>
          <w:p w14:paraId="43ED3259">
            <w:pPr>
              <w:jc w:val="center"/>
              <w:rPr>
                <w:rFonts w:hint="default" w:ascii="Times New Roman" w:hAnsi="Times New Roman" w:eastAsia="宋体" w:cs="Times New Roman"/>
                <w:i w:val="0"/>
                <w:iCs w:val="0"/>
                <w:color w:val="auto"/>
                <w:sz w:val="20"/>
                <w:szCs w:val="20"/>
                <w:u w:val="none"/>
              </w:rPr>
            </w:pPr>
          </w:p>
        </w:tc>
      </w:tr>
      <w:tr w14:paraId="09734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4299104B">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≥5 cm</w:t>
            </w:r>
          </w:p>
        </w:tc>
        <w:tc>
          <w:tcPr>
            <w:tcW w:w="705" w:type="dxa"/>
            <w:tcBorders>
              <w:top w:val="nil"/>
              <w:left w:val="nil"/>
              <w:bottom w:val="nil"/>
              <w:right w:val="nil"/>
            </w:tcBorders>
            <w:shd w:val="clear" w:color="auto" w:fill="auto"/>
            <w:noWrap/>
            <w:vAlign w:val="center"/>
          </w:tcPr>
          <w:p w14:paraId="20A1575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792</w:t>
            </w:r>
          </w:p>
        </w:tc>
        <w:tc>
          <w:tcPr>
            <w:tcW w:w="816" w:type="dxa"/>
            <w:tcBorders>
              <w:top w:val="nil"/>
              <w:left w:val="nil"/>
              <w:bottom w:val="nil"/>
              <w:right w:val="nil"/>
            </w:tcBorders>
            <w:shd w:val="clear" w:color="auto" w:fill="auto"/>
            <w:noWrap/>
            <w:vAlign w:val="center"/>
          </w:tcPr>
          <w:p w14:paraId="1F1A0E7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67.5</w:t>
            </w:r>
          </w:p>
        </w:tc>
        <w:tc>
          <w:tcPr>
            <w:tcW w:w="1128" w:type="dxa"/>
            <w:tcBorders>
              <w:top w:val="nil"/>
              <w:left w:val="nil"/>
              <w:bottom w:val="nil"/>
              <w:right w:val="nil"/>
            </w:tcBorders>
            <w:shd w:val="clear" w:color="auto" w:fill="auto"/>
            <w:noWrap/>
            <w:vAlign w:val="center"/>
          </w:tcPr>
          <w:p w14:paraId="753FFED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261</w:t>
            </w:r>
          </w:p>
        </w:tc>
        <w:tc>
          <w:tcPr>
            <w:tcW w:w="1128" w:type="dxa"/>
            <w:tcBorders>
              <w:top w:val="nil"/>
              <w:left w:val="nil"/>
              <w:bottom w:val="nil"/>
              <w:right w:val="nil"/>
            </w:tcBorders>
            <w:shd w:val="clear" w:color="auto" w:fill="auto"/>
            <w:noWrap/>
            <w:vAlign w:val="center"/>
          </w:tcPr>
          <w:p w14:paraId="7CA4800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531</w:t>
            </w:r>
          </w:p>
        </w:tc>
        <w:tc>
          <w:tcPr>
            <w:tcW w:w="1108" w:type="dxa"/>
            <w:tcBorders>
              <w:top w:val="nil"/>
              <w:left w:val="nil"/>
              <w:bottom w:val="nil"/>
              <w:right w:val="nil"/>
            </w:tcBorders>
            <w:shd w:val="clear" w:color="auto" w:fill="auto"/>
            <w:noWrap/>
            <w:vAlign w:val="center"/>
          </w:tcPr>
          <w:p w14:paraId="0EC9181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1.48</w:t>
            </w:r>
          </w:p>
        </w:tc>
        <w:tc>
          <w:tcPr>
            <w:tcW w:w="738" w:type="dxa"/>
            <w:tcBorders>
              <w:top w:val="nil"/>
              <w:left w:val="nil"/>
              <w:bottom w:val="nil"/>
              <w:right w:val="nil"/>
            </w:tcBorders>
            <w:shd w:val="clear" w:color="auto" w:fill="auto"/>
            <w:noWrap/>
            <w:vAlign w:val="center"/>
          </w:tcPr>
          <w:p w14:paraId="450679A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1.21</w:t>
            </w:r>
          </w:p>
        </w:tc>
        <w:tc>
          <w:tcPr>
            <w:tcW w:w="716" w:type="dxa"/>
            <w:tcBorders>
              <w:top w:val="nil"/>
              <w:left w:val="nil"/>
              <w:bottom w:val="nil"/>
              <w:right w:val="nil"/>
            </w:tcBorders>
            <w:shd w:val="clear" w:color="auto" w:fill="auto"/>
            <w:noWrap/>
            <w:vAlign w:val="center"/>
          </w:tcPr>
          <w:p w14:paraId="0CFE805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1.81</w:t>
            </w:r>
          </w:p>
        </w:tc>
        <w:tc>
          <w:tcPr>
            <w:tcW w:w="779" w:type="dxa"/>
            <w:tcBorders>
              <w:top w:val="nil"/>
              <w:left w:val="nil"/>
              <w:bottom w:val="nil"/>
              <w:right w:val="nil"/>
            </w:tcBorders>
            <w:shd w:val="clear" w:color="auto" w:fill="auto"/>
            <w:noWrap/>
            <w:vAlign w:val="center"/>
          </w:tcPr>
          <w:p w14:paraId="24E7082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1205" w:type="dxa"/>
            <w:tcBorders>
              <w:top w:val="nil"/>
              <w:left w:val="nil"/>
              <w:bottom w:val="nil"/>
              <w:right w:val="nil"/>
            </w:tcBorders>
            <w:shd w:val="clear" w:color="auto" w:fill="auto"/>
            <w:noWrap/>
            <w:vAlign w:val="center"/>
          </w:tcPr>
          <w:p w14:paraId="422D4677">
            <w:pPr>
              <w:jc w:val="center"/>
              <w:rPr>
                <w:rFonts w:hint="default" w:ascii="Times New Roman" w:hAnsi="Times New Roman" w:eastAsia="宋体" w:cs="Times New Roman"/>
                <w:i w:val="0"/>
                <w:iCs w:val="0"/>
                <w:color w:val="auto"/>
                <w:sz w:val="20"/>
                <w:szCs w:val="20"/>
                <w:u w:val="none"/>
              </w:rPr>
            </w:pPr>
          </w:p>
        </w:tc>
      </w:tr>
      <w:tr w14:paraId="3D8B1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16818724">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Child-Pugh class</w:t>
            </w:r>
          </w:p>
        </w:tc>
        <w:tc>
          <w:tcPr>
            <w:tcW w:w="705" w:type="dxa"/>
            <w:tcBorders>
              <w:top w:val="nil"/>
              <w:left w:val="nil"/>
              <w:bottom w:val="nil"/>
              <w:right w:val="nil"/>
            </w:tcBorders>
            <w:shd w:val="clear" w:color="auto" w:fill="auto"/>
            <w:noWrap/>
            <w:vAlign w:val="center"/>
          </w:tcPr>
          <w:p w14:paraId="59D88511">
            <w:pPr>
              <w:jc w:val="center"/>
              <w:rPr>
                <w:rFonts w:hint="default" w:ascii="Times New Roman" w:hAnsi="Times New Roman" w:eastAsia="宋体" w:cs="Times New Roman"/>
                <w:i w:val="0"/>
                <w:iCs w:val="0"/>
                <w:color w:val="auto"/>
                <w:sz w:val="20"/>
                <w:szCs w:val="20"/>
                <w:u w:val="none"/>
              </w:rPr>
            </w:pPr>
          </w:p>
        </w:tc>
        <w:tc>
          <w:tcPr>
            <w:tcW w:w="816" w:type="dxa"/>
            <w:tcBorders>
              <w:top w:val="nil"/>
              <w:left w:val="nil"/>
              <w:bottom w:val="nil"/>
              <w:right w:val="nil"/>
            </w:tcBorders>
            <w:shd w:val="clear" w:color="auto" w:fill="auto"/>
            <w:noWrap/>
            <w:vAlign w:val="center"/>
          </w:tcPr>
          <w:p w14:paraId="3BC6CCF1">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3CF5CA74">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1463B51A">
            <w:pPr>
              <w:jc w:val="center"/>
              <w:rPr>
                <w:rFonts w:hint="default" w:ascii="Times New Roman" w:hAnsi="Times New Roman" w:eastAsia="宋体" w:cs="Times New Roman"/>
                <w:i w:val="0"/>
                <w:iCs w:val="0"/>
                <w:color w:val="auto"/>
                <w:sz w:val="20"/>
                <w:szCs w:val="20"/>
                <w:u w:val="none"/>
              </w:rPr>
            </w:pPr>
          </w:p>
        </w:tc>
        <w:tc>
          <w:tcPr>
            <w:tcW w:w="1108" w:type="dxa"/>
            <w:tcBorders>
              <w:top w:val="nil"/>
              <w:left w:val="nil"/>
              <w:bottom w:val="nil"/>
              <w:right w:val="nil"/>
            </w:tcBorders>
            <w:shd w:val="clear" w:color="auto" w:fill="auto"/>
            <w:noWrap/>
            <w:vAlign w:val="center"/>
          </w:tcPr>
          <w:p w14:paraId="50A3E51E">
            <w:pPr>
              <w:jc w:val="center"/>
              <w:rPr>
                <w:rFonts w:hint="default" w:ascii="Times New Roman" w:hAnsi="Times New Roman" w:eastAsia="宋体" w:cs="Times New Roman"/>
                <w:i w:val="0"/>
                <w:iCs w:val="0"/>
                <w:color w:val="auto"/>
                <w:sz w:val="20"/>
                <w:szCs w:val="20"/>
                <w:u w:val="none"/>
              </w:rPr>
            </w:pPr>
          </w:p>
        </w:tc>
        <w:tc>
          <w:tcPr>
            <w:tcW w:w="738" w:type="dxa"/>
            <w:tcBorders>
              <w:top w:val="nil"/>
              <w:left w:val="nil"/>
              <w:bottom w:val="nil"/>
              <w:right w:val="nil"/>
            </w:tcBorders>
            <w:shd w:val="clear" w:color="auto" w:fill="auto"/>
            <w:noWrap/>
            <w:vAlign w:val="center"/>
          </w:tcPr>
          <w:p w14:paraId="749E0014">
            <w:pPr>
              <w:jc w:val="center"/>
              <w:rPr>
                <w:rFonts w:hint="default" w:ascii="Times New Roman" w:hAnsi="Times New Roman" w:eastAsia="宋体" w:cs="Times New Roman"/>
                <w:i w:val="0"/>
                <w:iCs w:val="0"/>
                <w:color w:val="auto"/>
                <w:sz w:val="20"/>
                <w:szCs w:val="20"/>
                <w:u w:val="none"/>
              </w:rPr>
            </w:pPr>
          </w:p>
        </w:tc>
        <w:tc>
          <w:tcPr>
            <w:tcW w:w="716" w:type="dxa"/>
            <w:tcBorders>
              <w:top w:val="nil"/>
              <w:left w:val="nil"/>
              <w:bottom w:val="nil"/>
              <w:right w:val="nil"/>
            </w:tcBorders>
            <w:shd w:val="clear" w:color="auto" w:fill="auto"/>
            <w:noWrap/>
            <w:vAlign w:val="center"/>
          </w:tcPr>
          <w:p w14:paraId="736D47CE">
            <w:pPr>
              <w:jc w:val="center"/>
              <w:rPr>
                <w:rFonts w:hint="default" w:ascii="Times New Roman" w:hAnsi="Times New Roman" w:eastAsia="宋体" w:cs="Times New Roman"/>
                <w:i w:val="0"/>
                <w:iCs w:val="0"/>
                <w:color w:val="auto"/>
                <w:sz w:val="20"/>
                <w:szCs w:val="20"/>
                <w:u w:val="none"/>
              </w:rPr>
            </w:pPr>
          </w:p>
        </w:tc>
        <w:tc>
          <w:tcPr>
            <w:tcW w:w="779" w:type="dxa"/>
            <w:tcBorders>
              <w:top w:val="nil"/>
              <w:left w:val="nil"/>
              <w:bottom w:val="nil"/>
              <w:right w:val="nil"/>
            </w:tcBorders>
            <w:shd w:val="clear" w:color="auto" w:fill="auto"/>
            <w:noWrap/>
            <w:vAlign w:val="center"/>
          </w:tcPr>
          <w:p w14:paraId="16AEAFB5">
            <w:pPr>
              <w:jc w:val="center"/>
              <w:rPr>
                <w:rFonts w:hint="default" w:ascii="Times New Roman" w:hAnsi="Times New Roman" w:eastAsia="宋体" w:cs="Times New Roman"/>
                <w:i w:val="0"/>
                <w:iCs w:val="0"/>
                <w:color w:val="auto"/>
                <w:sz w:val="20"/>
                <w:szCs w:val="20"/>
                <w:u w:val="none"/>
              </w:rPr>
            </w:pPr>
          </w:p>
        </w:tc>
        <w:tc>
          <w:tcPr>
            <w:tcW w:w="1205" w:type="dxa"/>
            <w:tcBorders>
              <w:top w:val="nil"/>
              <w:left w:val="nil"/>
              <w:bottom w:val="nil"/>
              <w:right w:val="nil"/>
            </w:tcBorders>
            <w:shd w:val="clear" w:color="auto" w:fill="auto"/>
            <w:noWrap/>
            <w:vAlign w:val="center"/>
          </w:tcPr>
          <w:p w14:paraId="3EF9933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0.733</w:t>
            </w:r>
          </w:p>
        </w:tc>
      </w:tr>
      <w:tr w14:paraId="5B171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7EED99C9">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A</w:t>
            </w:r>
          </w:p>
        </w:tc>
        <w:tc>
          <w:tcPr>
            <w:tcW w:w="705" w:type="dxa"/>
            <w:tcBorders>
              <w:top w:val="nil"/>
              <w:left w:val="nil"/>
              <w:bottom w:val="nil"/>
              <w:right w:val="nil"/>
            </w:tcBorders>
            <w:shd w:val="clear" w:color="auto" w:fill="auto"/>
            <w:noWrap/>
            <w:vAlign w:val="center"/>
          </w:tcPr>
          <w:p w14:paraId="4421065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1116</w:t>
            </w:r>
          </w:p>
        </w:tc>
        <w:tc>
          <w:tcPr>
            <w:tcW w:w="816" w:type="dxa"/>
            <w:tcBorders>
              <w:top w:val="nil"/>
              <w:left w:val="nil"/>
              <w:bottom w:val="nil"/>
              <w:right w:val="nil"/>
            </w:tcBorders>
            <w:shd w:val="clear" w:color="auto" w:fill="auto"/>
            <w:noWrap/>
            <w:vAlign w:val="center"/>
          </w:tcPr>
          <w:p w14:paraId="7685A9E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95.1</w:t>
            </w:r>
          </w:p>
        </w:tc>
        <w:tc>
          <w:tcPr>
            <w:tcW w:w="1128" w:type="dxa"/>
            <w:tcBorders>
              <w:top w:val="nil"/>
              <w:left w:val="nil"/>
              <w:bottom w:val="nil"/>
              <w:right w:val="nil"/>
            </w:tcBorders>
            <w:shd w:val="clear" w:color="auto" w:fill="auto"/>
            <w:noWrap/>
            <w:vAlign w:val="center"/>
          </w:tcPr>
          <w:p w14:paraId="0407050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424</w:t>
            </w:r>
          </w:p>
        </w:tc>
        <w:tc>
          <w:tcPr>
            <w:tcW w:w="1128" w:type="dxa"/>
            <w:tcBorders>
              <w:top w:val="nil"/>
              <w:left w:val="nil"/>
              <w:bottom w:val="nil"/>
              <w:right w:val="nil"/>
            </w:tcBorders>
            <w:shd w:val="clear" w:color="auto" w:fill="auto"/>
            <w:noWrap/>
            <w:vAlign w:val="center"/>
          </w:tcPr>
          <w:p w14:paraId="7D832BD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692</w:t>
            </w:r>
          </w:p>
        </w:tc>
        <w:tc>
          <w:tcPr>
            <w:tcW w:w="1108" w:type="dxa"/>
            <w:tcBorders>
              <w:top w:val="nil"/>
              <w:left w:val="nil"/>
              <w:bottom w:val="nil"/>
              <w:right w:val="nil"/>
            </w:tcBorders>
            <w:shd w:val="clear" w:color="auto" w:fill="auto"/>
            <w:noWrap/>
            <w:vAlign w:val="center"/>
          </w:tcPr>
          <w:p w14:paraId="05E3955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1.64</w:t>
            </w:r>
          </w:p>
        </w:tc>
        <w:tc>
          <w:tcPr>
            <w:tcW w:w="738" w:type="dxa"/>
            <w:tcBorders>
              <w:top w:val="nil"/>
              <w:left w:val="nil"/>
              <w:bottom w:val="nil"/>
              <w:right w:val="nil"/>
            </w:tcBorders>
            <w:shd w:val="clear" w:color="auto" w:fill="auto"/>
            <w:noWrap/>
            <w:vAlign w:val="center"/>
          </w:tcPr>
          <w:p w14:paraId="58D203F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1.38</w:t>
            </w:r>
          </w:p>
        </w:tc>
        <w:tc>
          <w:tcPr>
            <w:tcW w:w="716" w:type="dxa"/>
            <w:tcBorders>
              <w:top w:val="nil"/>
              <w:left w:val="nil"/>
              <w:bottom w:val="nil"/>
              <w:right w:val="nil"/>
            </w:tcBorders>
            <w:shd w:val="clear" w:color="auto" w:fill="auto"/>
            <w:noWrap/>
            <w:vAlign w:val="center"/>
          </w:tcPr>
          <w:p w14:paraId="3B2295A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1.95</w:t>
            </w:r>
          </w:p>
        </w:tc>
        <w:tc>
          <w:tcPr>
            <w:tcW w:w="779" w:type="dxa"/>
            <w:tcBorders>
              <w:top w:val="nil"/>
              <w:left w:val="nil"/>
              <w:bottom w:val="nil"/>
              <w:right w:val="nil"/>
            </w:tcBorders>
            <w:shd w:val="clear" w:color="auto" w:fill="auto"/>
            <w:noWrap/>
            <w:vAlign w:val="center"/>
          </w:tcPr>
          <w:p w14:paraId="4669B0C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1205" w:type="dxa"/>
            <w:tcBorders>
              <w:top w:val="nil"/>
              <w:left w:val="nil"/>
              <w:bottom w:val="nil"/>
              <w:right w:val="nil"/>
            </w:tcBorders>
            <w:shd w:val="clear" w:color="auto" w:fill="auto"/>
            <w:noWrap/>
            <w:vAlign w:val="center"/>
          </w:tcPr>
          <w:p w14:paraId="49C39F94">
            <w:pPr>
              <w:jc w:val="center"/>
              <w:rPr>
                <w:rFonts w:hint="default" w:ascii="Times New Roman" w:hAnsi="Times New Roman" w:eastAsia="宋体" w:cs="Times New Roman"/>
                <w:i w:val="0"/>
                <w:iCs w:val="0"/>
                <w:color w:val="auto"/>
                <w:sz w:val="20"/>
                <w:szCs w:val="20"/>
                <w:u w:val="none"/>
              </w:rPr>
            </w:pPr>
          </w:p>
        </w:tc>
      </w:tr>
      <w:tr w14:paraId="6D836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3A128833">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B</w:t>
            </w:r>
          </w:p>
        </w:tc>
        <w:tc>
          <w:tcPr>
            <w:tcW w:w="705" w:type="dxa"/>
            <w:tcBorders>
              <w:top w:val="nil"/>
              <w:left w:val="nil"/>
              <w:bottom w:val="nil"/>
              <w:right w:val="nil"/>
            </w:tcBorders>
            <w:shd w:val="clear" w:color="auto" w:fill="auto"/>
            <w:noWrap/>
            <w:vAlign w:val="center"/>
          </w:tcPr>
          <w:p w14:paraId="0260196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58</w:t>
            </w:r>
          </w:p>
        </w:tc>
        <w:tc>
          <w:tcPr>
            <w:tcW w:w="816" w:type="dxa"/>
            <w:tcBorders>
              <w:top w:val="nil"/>
              <w:left w:val="nil"/>
              <w:bottom w:val="nil"/>
              <w:right w:val="nil"/>
            </w:tcBorders>
            <w:shd w:val="clear" w:color="auto" w:fill="auto"/>
            <w:noWrap/>
            <w:vAlign w:val="center"/>
          </w:tcPr>
          <w:p w14:paraId="0B974B3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4.9</w:t>
            </w:r>
          </w:p>
        </w:tc>
        <w:tc>
          <w:tcPr>
            <w:tcW w:w="1128" w:type="dxa"/>
            <w:tcBorders>
              <w:top w:val="nil"/>
              <w:left w:val="nil"/>
              <w:bottom w:val="nil"/>
              <w:right w:val="nil"/>
            </w:tcBorders>
            <w:shd w:val="clear" w:color="auto" w:fill="auto"/>
            <w:noWrap/>
            <w:vAlign w:val="center"/>
          </w:tcPr>
          <w:p w14:paraId="1E001AE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22</w:t>
            </w:r>
          </w:p>
        </w:tc>
        <w:tc>
          <w:tcPr>
            <w:tcW w:w="1128" w:type="dxa"/>
            <w:tcBorders>
              <w:top w:val="nil"/>
              <w:left w:val="nil"/>
              <w:bottom w:val="nil"/>
              <w:right w:val="nil"/>
            </w:tcBorders>
            <w:shd w:val="clear" w:color="auto" w:fill="auto"/>
            <w:noWrap/>
            <w:vAlign w:val="center"/>
          </w:tcPr>
          <w:p w14:paraId="78E1E7F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36</w:t>
            </w:r>
          </w:p>
        </w:tc>
        <w:tc>
          <w:tcPr>
            <w:tcW w:w="1108" w:type="dxa"/>
            <w:tcBorders>
              <w:top w:val="nil"/>
              <w:left w:val="nil"/>
              <w:bottom w:val="nil"/>
              <w:right w:val="nil"/>
            </w:tcBorders>
            <w:shd w:val="clear" w:color="auto" w:fill="auto"/>
            <w:noWrap/>
            <w:vAlign w:val="center"/>
          </w:tcPr>
          <w:p w14:paraId="0F38A4E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1.29</w:t>
            </w:r>
          </w:p>
        </w:tc>
        <w:tc>
          <w:tcPr>
            <w:tcW w:w="738" w:type="dxa"/>
            <w:tcBorders>
              <w:top w:val="nil"/>
              <w:left w:val="nil"/>
              <w:bottom w:val="nil"/>
              <w:right w:val="nil"/>
            </w:tcBorders>
            <w:shd w:val="clear" w:color="auto" w:fill="auto"/>
            <w:noWrap/>
            <w:vAlign w:val="center"/>
          </w:tcPr>
          <w:p w14:paraId="7209B0A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0.63</w:t>
            </w:r>
          </w:p>
        </w:tc>
        <w:tc>
          <w:tcPr>
            <w:tcW w:w="716" w:type="dxa"/>
            <w:tcBorders>
              <w:top w:val="nil"/>
              <w:left w:val="nil"/>
              <w:bottom w:val="nil"/>
              <w:right w:val="nil"/>
            </w:tcBorders>
            <w:shd w:val="clear" w:color="auto" w:fill="auto"/>
            <w:noWrap/>
            <w:vAlign w:val="center"/>
          </w:tcPr>
          <w:p w14:paraId="3D082AB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2.66</w:t>
            </w:r>
          </w:p>
        </w:tc>
        <w:tc>
          <w:tcPr>
            <w:tcW w:w="779" w:type="dxa"/>
            <w:tcBorders>
              <w:top w:val="nil"/>
              <w:left w:val="nil"/>
              <w:bottom w:val="nil"/>
              <w:right w:val="nil"/>
            </w:tcBorders>
            <w:shd w:val="clear" w:color="auto" w:fill="auto"/>
            <w:noWrap/>
            <w:vAlign w:val="center"/>
          </w:tcPr>
          <w:p w14:paraId="5B022F2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0.49</w:t>
            </w:r>
          </w:p>
        </w:tc>
        <w:tc>
          <w:tcPr>
            <w:tcW w:w="1205" w:type="dxa"/>
            <w:tcBorders>
              <w:top w:val="nil"/>
              <w:left w:val="nil"/>
              <w:bottom w:val="nil"/>
              <w:right w:val="nil"/>
            </w:tcBorders>
            <w:shd w:val="clear" w:color="auto" w:fill="auto"/>
            <w:noWrap/>
            <w:vAlign w:val="center"/>
          </w:tcPr>
          <w:p w14:paraId="6E197DE7">
            <w:pPr>
              <w:jc w:val="center"/>
              <w:rPr>
                <w:rFonts w:hint="default" w:ascii="Times New Roman" w:hAnsi="Times New Roman" w:eastAsia="宋体" w:cs="Times New Roman"/>
                <w:i w:val="0"/>
                <w:iCs w:val="0"/>
                <w:color w:val="auto"/>
                <w:sz w:val="20"/>
                <w:szCs w:val="20"/>
                <w:u w:val="none"/>
              </w:rPr>
            </w:pPr>
          </w:p>
        </w:tc>
      </w:tr>
      <w:tr w14:paraId="1C54A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47354672">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Tumor capsule</w:t>
            </w:r>
          </w:p>
        </w:tc>
        <w:tc>
          <w:tcPr>
            <w:tcW w:w="705" w:type="dxa"/>
            <w:tcBorders>
              <w:top w:val="nil"/>
              <w:left w:val="nil"/>
              <w:bottom w:val="nil"/>
              <w:right w:val="nil"/>
            </w:tcBorders>
            <w:shd w:val="clear" w:color="auto" w:fill="auto"/>
            <w:noWrap/>
            <w:vAlign w:val="center"/>
          </w:tcPr>
          <w:p w14:paraId="4BC0CCFF">
            <w:pPr>
              <w:jc w:val="center"/>
              <w:rPr>
                <w:rFonts w:hint="default" w:ascii="Times New Roman" w:hAnsi="Times New Roman" w:eastAsia="宋体" w:cs="Times New Roman"/>
                <w:i w:val="0"/>
                <w:iCs w:val="0"/>
                <w:color w:val="auto"/>
                <w:sz w:val="20"/>
                <w:szCs w:val="20"/>
                <w:u w:val="none"/>
              </w:rPr>
            </w:pPr>
          </w:p>
        </w:tc>
        <w:tc>
          <w:tcPr>
            <w:tcW w:w="816" w:type="dxa"/>
            <w:tcBorders>
              <w:top w:val="nil"/>
              <w:left w:val="nil"/>
              <w:bottom w:val="nil"/>
              <w:right w:val="nil"/>
            </w:tcBorders>
            <w:shd w:val="clear" w:color="auto" w:fill="auto"/>
            <w:noWrap/>
            <w:vAlign w:val="center"/>
          </w:tcPr>
          <w:p w14:paraId="312ADE0A">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241A4EE5">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2406BB0A">
            <w:pPr>
              <w:jc w:val="center"/>
              <w:rPr>
                <w:rFonts w:hint="default" w:ascii="Times New Roman" w:hAnsi="Times New Roman" w:eastAsia="宋体" w:cs="Times New Roman"/>
                <w:i w:val="0"/>
                <w:iCs w:val="0"/>
                <w:color w:val="auto"/>
                <w:sz w:val="20"/>
                <w:szCs w:val="20"/>
                <w:u w:val="none"/>
              </w:rPr>
            </w:pPr>
          </w:p>
        </w:tc>
        <w:tc>
          <w:tcPr>
            <w:tcW w:w="1108" w:type="dxa"/>
            <w:tcBorders>
              <w:top w:val="nil"/>
              <w:left w:val="nil"/>
              <w:bottom w:val="nil"/>
              <w:right w:val="nil"/>
            </w:tcBorders>
            <w:shd w:val="clear" w:color="auto" w:fill="auto"/>
            <w:noWrap/>
            <w:vAlign w:val="center"/>
          </w:tcPr>
          <w:p w14:paraId="3472FD50">
            <w:pPr>
              <w:jc w:val="center"/>
              <w:rPr>
                <w:rFonts w:hint="default" w:ascii="Times New Roman" w:hAnsi="Times New Roman" w:eastAsia="宋体" w:cs="Times New Roman"/>
                <w:i w:val="0"/>
                <w:iCs w:val="0"/>
                <w:color w:val="auto"/>
                <w:sz w:val="20"/>
                <w:szCs w:val="20"/>
                <w:u w:val="none"/>
              </w:rPr>
            </w:pPr>
          </w:p>
        </w:tc>
        <w:tc>
          <w:tcPr>
            <w:tcW w:w="738" w:type="dxa"/>
            <w:tcBorders>
              <w:top w:val="nil"/>
              <w:left w:val="nil"/>
              <w:bottom w:val="nil"/>
              <w:right w:val="nil"/>
            </w:tcBorders>
            <w:shd w:val="clear" w:color="auto" w:fill="auto"/>
            <w:noWrap/>
            <w:vAlign w:val="center"/>
          </w:tcPr>
          <w:p w14:paraId="44EF5651">
            <w:pPr>
              <w:jc w:val="center"/>
              <w:rPr>
                <w:rFonts w:hint="default" w:ascii="Times New Roman" w:hAnsi="Times New Roman" w:eastAsia="宋体" w:cs="Times New Roman"/>
                <w:i w:val="0"/>
                <w:iCs w:val="0"/>
                <w:color w:val="auto"/>
                <w:sz w:val="20"/>
                <w:szCs w:val="20"/>
                <w:u w:val="none"/>
              </w:rPr>
            </w:pPr>
          </w:p>
        </w:tc>
        <w:tc>
          <w:tcPr>
            <w:tcW w:w="716" w:type="dxa"/>
            <w:tcBorders>
              <w:top w:val="nil"/>
              <w:left w:val="nil"/>
              <w:bottom w:val="nil"/>
              <w:right w:val="nil"/>
            </w:tcBorders>
            <w:shd w:val="clear" w:color="auto" w:fill="auto"/>
            <w:noWrap/>
            <w:vAlign w:val="center"/>
          </w:tcPr>
          <w:p w14:paraId="272A94FD">
            <w:pPr>
              <w:jc w:val="center"/>
              <w:rPr>
                <w:rFonts w:hint="default" w:ascii="Times New Roman" w:hAnsi="Times New Roman" w:eastAsia="宋体" w:cs="Times New Roman"/>
                <w:i w:val="0"/>
                <w:iCs w:val="0"/>
                <w:color w:val="auto"/>
                <w:sz w:val="20"/>
                <w:szCs w:val="20"/>
                <w:u w:val="none"/>
              </w:rPr>
            </w:pPr>
          </w:p>
        </w:tc>
        <w:tc>
          <w:tcPr>
            <w:tcW w:w="779" w:type="dxa"/>
            <w:tcBorders>
              <w:top w:val="nil"/>
              <w:left w:val="nil"/>
              <w:bottom w:val="nil"/>
              <w:right w:val="nil"/>
            </w:tcBorders>
            <w:shd w:val="clear" w:color="auto" w:fill="auto"/>
            <w:noWrap/>
            <w:vAlign w:val="center"/>
          </w:tcPr>
          <w:p w14:paraId="1EBFAAC1">
            <w:pPr>
              <w:jc w:val="center"/>
              <w:rPr>
                <w:rFonts w:hint="default" w:ascii="Times New Roman" w:hAnsi="Times New Roman" w:eastAsia="宋体" w:cs="Times New Roman"/>
                <w:i w:val="0"/>
                <w:iCs w:val="0"/>
                <w:color w:val="auto"/>
                <w:sz w:val="20"/>
                <w:szCs w:val="20"/>
                <w:u w:val="none"/>
              </w:rPr>
            </w:pPr>
          </w:p>
        </w:tc>
        <w:tc>
          <w:tcPr>
            <w:tcW w:w="1205" w:type="dxa"/>
            <w:tcBorders>
              <w:top w:val="nil"/>
              <w:left w:val="nil"/>
              <w:bottom w:val="nil"/>
              <w:right w:val="nil"/>
            </w:tcBorders>
            <w:shd w:val="clear" w:color="auto" w:fill="auto"/>
            <w:noWrap/>
            <w:vAlign w:val="center"/>
          </w:tcPr>
          <w:p w14:paraId="3743247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0.727</w:t>
            </w:r>
          </w:p>
        </w:tc>
      </w:tr>
      <w:tr w14:paraId="10A32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0CEC14D0">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Complete</w:t>
            </w:r>
          </w:p>
        </w:tc>
        <w:tc>
          <w:tcPr>
            <w:tcW w:w="705" w:type="dxa"/>
            <w:tcBorders>
              <w:top w:val="nil"/>
              <w:left w:val="nil"/>
              <w:bottom w:val="nil"/>
              <w:right w:val="nil"/>
            </w:tcBorders>
            <w:shd w:val="clear" w:color="auto" w:fill="auto"/>
            <w:noWrap/>
            <w:vAlign w:val="center"/>
          </w:tcPr>
          <w:p w14:paraId="031CA23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480</w:t>
            </w:r>
          </w:p>
        </w:tc>
        <w:tc>
          <w:tcPr>
            <w:tcW w:w="816" w:type="dxa"/>
            <w:tcBorders>
              <w:top w:val="nil"/>
              <w:left w:val="nil"/>
              <w:bottom w:val="nil"/>
              <w:right w:val="nil"/>
            </w:tcBorders>
            <w:shd w:val="clear" w:color="auto" w:fill="auto"/>
            <w:noWrap/>
            <w:vAlign w:val="center"/>
          </w:tcPr>
          <w:p w14:paraId="3F35E51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40.9</w:t>
            </w:r>
          </w:p>
        </w:tc>
        <w:tc>
          <w:tcPr>
            <w:tcW w:w="1128" w:type="dxa"/>
            <w:tcBorders>
              <w:top w:val="nil"/>
              <w:left w:val="nil"/>
              <w:bottom w:val="nil"/>
              <w:right w:val="nil"/>
            </w:tcBorders>
            <w:shd w:val="clear" w:color="auto" w:fill="auto"/>
            <w:noWrap/>
            <w:vAlign w:val="center"/>
          </w:tcPr>
          <w:p w14:paraId="04FB645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202</w:t>
            </w:r>
          </w:p>
        </w:tc>
        <w:tc>
          <w:tcPr>
            <w:tcW w:w="1128" w:type="dxa"/>
            <w:tcBorders>
              <w:top w:val="nil"/>
              <w:left w:val="nil"/>
              <w:bottom w:val="nil"/>
              <w:right w:val="nil"/>
            </w:tcBorders>
            <w:shd w:val="clear" w:color="auto" w:fill="auto"/>
            <w:noWrap/>
            <w:vAlign w:val="center"/>
          </w:tcPr>
          <w:p w14:paraId="78B076F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278</w:t>
            </w:r>
          </w:p>
        </w:tc>
        <w:tc>
          <w:tcPr>
            <w:tcW w:w="1108" w:type="dxa"/>
            <w:tcBorders>
              <w:top w:val="nil"/>
              <w:left w:val="nil"/>
              <w:bottom w:val="nil"/>
              <w:right w:val="nil"/>
            </w:tcBorders>
            <w:shd w:val="clear" w:color="auto" w:fill="auto"/>
            <w:noWrap/>
            <w:vAlign w:val="center"/>
          </w:tcPr>
          <w:p w14:paraId="6AE783C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1.5</w:t>
            </w:r>
          </w:p>
        </w:tc>
        <w:tc>
          <w:tcPr>
            <w:tcW w:w="738" w:type="dxa"/>
            <w:tcBorders>
              <w:top w:val="nil"/>
              <w:left w:val="nil"/>
              <w:bottom w:val="nil"/>
              <w:right w:val="nil"/>
            </w:tcBorders>
            <w:shd w:val="clear" w:color="auto" w:fill="auto"/>
            <w:noWrap/>
            <w:vAlign w:val="center"/>
          </w:tcPr>
          <w:p w14:paraId="27689EC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1.11</w:t>
            </w:r>
          </w:p>
        </w:tc>
        <w:tc>
          <w:tcPr>
            <w:tcW w:w="716" w:type="dxa"/>
            <w:tcBorders>
              <w:top w:val="nil"/>
              <w:left w:val="nil"/>
              <w:bottom w:val="nil"/>
              <w:right w:val="nil"/>
            </w:tcBorders>
            <w:shd w:val="clear" w:color="auto" w:fill="auto"/>
            <w:noWrap/>
            <w:vAlign w:val="center"/>
          </w:tcPr>
          <w:p w14:paraId="0D5AF84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2.01</w:t>
            </w:r>
          </w:p>
        </w:tc>
        <w:tc>
          <w:tcPr>
            <w:tcW w:w="779" w:type="dxa"/>
            <w:tcBorders>
              <w:top w:val="nil"/>
              <w:left w:val="nil"/>
              <w:bottom w:val="nil"/>
              <w:right w:val="nil"/>
            </w:tcBorders>
            <w:shd w:val="clear" w:color="auto" w:fill="auto"/>
            <w:noWrap/>
            <w:vAlign w:val="center"/>
          </w:tcPr>
          <w:p w14:paraId="3DA2B1A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0.008</w:t>
            </w:r>
          </w:p>
        </w:tc>
        <w:tc>
          <w:tcPr>
            <w:tcW w:w="1205" w:type="dxa"/>
            <w:tcBorders>
              <w:top w:val="nil"/>
              <w:left w:val="nil"/>
              <w:bottom w:val="nil"/>
              <w:right w:val="nil"/>
            </w:tcBorders>
            <w:shd w:val="clear" w:color="auto" w:fill="auto"/>
            <w:noWrap/>
            <w:vAlign w:val="center"/>
          </w:tcPr>
          <w:p w14:paraId="5BCD50DC">
            <w:pPr>
              <w:jc w:val="center"/>
              <w:rPr>
                <w:rFonts w:hint="default" w:ascii="Times New Roman" w:hAnsi="Times New Roman" w:eastAsia="宋体" w:cs="Times New Roman"/>
                <w:i w:val="0"/>
                <w:iCs w:val="0"/>
                <w:color w:val="auto"/>
                <w:sz w:val="20"/>
                <w:szCs w:val="20"/>
                <w:u w:val="none"/>
              </w:rPr>
            </w:pPr>
          </w:p>
        </w:tc>
      </w:tr>
      <w:tr w14:paraId="192BC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63F89F37">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Incomplete</w:t>
            </w:r>
          </w:p>
        </w:tc>
        <w:tc>
          <w:tcPr>
            <w:tcW w:w="705" w:type="dxa"/>
            <w:tcBorders>
              <w:top w:val="nil"/>
              <w:left w:val="nil"/>
              <w:bottom w:val="nil"/>
              <w:right w:val="nil"/>
            </w:tcBorders>
            <w:shd w:val="clear" w:color="auto" w:fill="auto"/>
            <w:noWrap/>
            <w:vAlign w:val="center"/>
          </w:tcPr>
          <w:p w14:paraId="734FB48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694</w:t>
            </w:r>
          </w:p>
        </w:tc>
        <w:tc>
          <w:tcPr>
            <w:tcW w:w="816" w:type="dxa"/>
            <w:tcBorders>
              <w:top w:val="nil"/>
              <w:left w:val="nil"/>
              <w:bottom w:val="nil"/>
              <w:right w:val="nil"/>
            </w:tcBorders>
            <w:shd w:val="clear" w:color="auto" w:fill="auto"/>
            <w:noWrap/>
            <w:vAlign w:val="center"/>
          </w:tcPr>
          <w:p w14:paraId="0C3F7BE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59.1</w:t>
            </w:r>
          </w:p>
        </w:tc>
        <w:tc>
          <w:tcPr>
            <w:tcW w:w="1128" w:type="dxa"/>
            <w:tcBorders>
              <w:top w:val="nil"/>
              <w:left w:val="nil"/>
              <w:bottom w:val="nil"/>
              <w:right w:val="nil"/>
            </w:tcBorders>
            <w:shd w:val="clear" w:color="auto" w:fill="auto"/>
            <w:noWrap/>
            <w:vAlign w:val="center"/>
          </w:tcPr>
          <w:p w14:paraId="7C386E2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244</w:t>
            </w:r>
          </w:p>
        </w:tc>
        <w:tc>
          <w:tcPr>
            <w:tcW w:w="1128" w:type="dxa"/>
            <w:tcBorders>
              <w:top w:val="nil"/>
              <w:left w:val="nil"/>
              <w:bottom w:val="nil"/>
              <w:right w:val="nil"/>
            </w:tcBorders>
            <w:shd w:val="clear" w:color="auto" w:fill="auto"/>
            <w:noWrap/>
            <w:vAlign w:val="center"/>
          </w:tcPr>
          <w:p w14:paraId="081505A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450</w:t>
            </w:r>
          </w:p>
        </w:tc>
        <w:tc>
          <w:tcPr>
            <w:tcW w:w="1108" w:type="dxa"/>
            <w:tcBorders>
              <w:top w:val="nil"/>
              <w:left w:val="nil"/>
              <w:bottom w:val="nil"/>
              <w:right w:val="nil"/>
            </w:tcBorders>
            <w:shd w:val="clear" w:color="auto" w:fill="auto"/>
            <w:noWrap/>
            <w:vAlign w:val="center"/>
          </w:tcPr>
          <w:p w14:paraId="6581F5D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1.61</w:t>
            </w:r>
          </w:p>
        </w:tc>
        <w:tc>
          <w:tcPr>
            <w:tcW w:w="738" w:type="dxa"/>
            <w:tcBorders>
              <w:top w:val="nil"/>
              <w:left w:val="nil"/>
              <w:bottom w:val="nil"/>
              <w:right w:val="nil"/>
            </w:tcBorders>
            <w:shd w:val="clear" w:color="auto" w:fill="auto"/>
            <w:noWrap/>
            <w:vAlign w:val="center"/>
          </w:tcPr>
          <w:p w14:paraId="23E8DCC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1.31</w:t>
            </w:r>
          </w:p>
        </w:tc>
        <w:tc>
          <w:tcPr>
            <w:tcW w:w="716" w:type="dxa"/>
            <w:tcBorders>
              <w:top w:val="nil"/>
              <w:left w:val="nil"/>
              <w:bottom w:val="nil"/>
              <w:right w:val="nil"/>
            </w:tcBorders>
            <w:shd w:val="clear" w:color="auto" w:fill="auto"/>
            <w:noWrap/>
            <w:vAlign w:val="center"/>
          </w:tcPr>
          <w:p w14:paraId="65F7EEF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1.99</w:t>
            </w:r>
          </w:p>
        </w:tc>
        <w:tc>
          <w:tcPr>
            <w:tcW w:w="779" w:type="dxa"/>
            <w:tcBorders>
              <w:top w:val="nil"/>
              <w:left w:val="nil"/>
              <w:bottom w:val="nil"/>
              <w:right w:val="nil"/>
            </w:tcBorders>
            <w:shd w:val="clear" w:color="auto" w:fill="auto"/>
            <w:noWrap/>
            <w:vAlign w:val="center"/>
          </w:tcPr>
          <w:p w14:paraId="6CD0B24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1205" w:type="dxa"/>
            <w:tcBorders>
              <w:top w:val="nil"/>
              <w:left w:val="nil"/>
              <w:bottom w:val="nil"/>
              <w:right w:val="nil"/>
            </w:tcBorders>
            <w:shd w:val="clear" w:color="auto" w:fill="auto"/>
            <w:noWrap/>
            <w:vAlign w:val="center"/>
          </w:tcPr>
          <w:p w14:paraId="5BC032F7">
            <w:pPr>
              <w:jc w:val="center"/>
              <w:rPr>
                <w:rFonts w:hint="default" w:ascii="Times New Roman" w:hAnsi="Times New Roman" w:eastAsia="宋体" w:cs="Times New Roman"/>
                <w:i w:val="0"/>
                <w:iCs w:val="0"/>
                <w:color w:val="auto"/>
                <w:sz w:val="20"/>
                <w:szCs w:val="20"/>
                <w:u w:val="none"/>
              </w:rPr>
            </w:pPr>
          </w:p>
        </w:tc>
      </w:tr>
      <w:tr w14:paraId="13568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4BF2853B">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Albumin</w:t>
            </w:r>
          </w:p>
        </w:tc>
        <w:tc>
          <w:tcPr>
            <w:tcW w:w="705" w:type="dxa"/>
            <w:tcBorders>
              <w:top w:val="nil"/>
              <w:left w:val="nil"/>
              <w:bottom w:val="nil"/>
              <w:right w:val="nil"/>
            </w:tcBorders>
            <w:shd w:val="clear" w:color="auto" w:fill="auto"/>
            <w:noWrap/>
            <w:vAlign w:val="center"/>
          </w:tcPr>
          <w:p w14:paraId="4F734155">
            <w:pPr>
              <w:jc w:val="center"/>
              <w:rPr>
                <w:rFonts w:hint="default" w:ascii="Times New Roman" w:hAnsi="Times New Roman" w:eastAsia="宋体" w:cs="Times New Roman"/>
                <w:i w:val="0"/>
                <w:iCs w:val="0"/>
                <w:color w:val="auto"/>
                <w:sz w:val="20"/>
                <w:szCs w:val="20"/>
                <w:u w:val="none"/>
              </w:rPr>
            </w:pPr>
          </w:p>
        </w:tc>
        <w:tc>
          <w:tcPr>
            <w:tcW w:w="816" w:type="dxa"/>
            <w:tcBorders>
              <w:top w:val="nil"/>
              <w:left w:val="nil"/>
              <w:bottom w:val="nil"/>
              <w:right w:val="nil"/>
            </w:tcBorders>
            <w:shd w:val="clear" w:color="auto" w:fill="auto"/>
            <w:noWrap/>
            <w:vAlign w:val="center"/>
          </w:tcPr>
          <w:p w14:paraId="0D7CA016">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1189ADC9">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5DA8FC98">
            <w:pPr>
              <w:jc w:val="center"/>
              <w:rPr>
                <w:rFonts w:hint="default" w:ascii="Times New Roman" w:hAnsi="Times New Roman" w:eastAsia="宋体" w:cs="Times New Roman"/>
                <w:i w:val="0"/>
                <w:iCs w:val="0"/>
                <w:color w:val="auto"/>
                <w:sz w:val="20"/>
                <w:szCs w:val="20"/>
                <w:u w:val="none"/>
              </w:rPr>
            </w:pPr>
          </w:p>
        </w:tc>
        <w:tc>
          <w:tcPr>
            <w:tcW w:w="1108" w:type="dxa"/>
            <w:tcBorders>
              <w:top w:val="nil"/>
              <w:left w:val="nil"/>
              <w:bottom w:val="nil"/>
              <w:right w:val="nil"/>
            </w:tcBorders>
            <w:shd w:val="clear" w:color="auto" w:fill="auto"/>
            <w:noWrap/>
            <w:vAlign w:val="center"/>
          </w:tcPr>
          <w:p w14:paraId="7D90BEE3">
            <w:pPr>
              <w:jc w:val="center"/>
              <w:rPr>
                <w:rFonts w:hint="default" w:ascii="Times New Roman" w:hAnsi="Times New Roman" w:eastAsia="宋体" w:cs="Times New Roman"/>
                <w:i w:val="0"/>
                <w:iCs w:val="0"/>
                <w:color w:val="auto"/>
                <w:sz w:val="20"/>
                <w:szCs w:val="20"/>
                <w:u w:val="none"/>
              </w:rPr>
            </w:pPr>
          </w:p>
        </w:tc>
        <w:tc>
          <w:tcPr>
            <w:tcW w:w="738" w:type="dxa"/>
            <w:tcBorders>
              <w:top w:val="nil"/>
              <w:left w:val="nil"/>
              <w:bottom w:val="nil"/>
              <w:right w:val="nil"/>
            </w:tcBorders>
            <w:shd w:val="clear" w:color="auto" w:fill="auto"/>
            <w:noWrap/>
            <w:vAlign w:val="center"/>
          </w:tcPr>
          <w:p w14:paraId="3BD64FD4">
            <w:pPr>
              <w:jc w:val="center"/>
              <w:rPr>
                <w:rFonts w:hint="default" w:ascii="Times New Roman" w:hAnsi="Times New Roman" w:eastAsia="宋体" w:cs="Times New Roman"/>
                <w:i w:val="0"/>
                <w:iCs w:val="0"/>
                <w:color w:val="auto"/>
                <w:sz w:val="20"/>
                <w:szCs w:val="20"/>
                <w:u w:val="none"/>
              </w:rPr>
            </w:pPr>
          </w:p>
        </w:tc>
        <w:tc>
          <w:tcPr>
            <w:tcW w:w="716" w:type="dxa"/>
            <w:tcBorders>
              <w:top w:val="nil"/>
              <w:left w:val="nil"/>
              <w:bottom w:val="nil"/>
              <w:right w:val="nil"/>
            </w:tcBorders>
            <w:shd w:val="clear" w:color="auto" w:fill="auto"/>
            <w:noWrap/>
            <w:vAlign w:val="center"/>
          </w:tcPr>
          <w:p w14:paraId="6BCB6167">
            <w:pPr>
              <w:jc w:val="center"/>
              <w:rPr>
                <w:rFonts w:hint="default" w:ascii="Times New Roman" w:hAnsi="Times New Roman" w:eastAsia="宋体" w:cs="Times New Roman"/>
                <w:i w:val="0"/>
                <w:iCs w:val="0"/>
                <w:color w:val="auto"/>
                <w:sz w:val="20"/>
                <w:szCs w:val="20"/>
                <w:u w:val="none"/>
              </w:rPr>
            </w:pPr>
          </w:p>
        </w:tc>
        <w:tc>
          <w:tcPr>
            <w:tcW w:w="779" w:type="dxa"/>
            <w:tcBorders>
              <w:top w:val="nil"/>
              <w:left w:val="nil"/>
              <w:bottom w:val="nil"/>
              <w:right w:val="nil"/>
            </w:tcBorders>
            <w:shd w:val="clear" w:color="auto" w:fill="auto"/>
            <w:noWrap/>
            <w:vAlign w:val="center"/>
          </w:tcPr>
          <w:p w14:paraId="277E13F7">
            <w:pPr>
              <w:jc w:val="center"/>
              <w:rPr>
                <w:rFonts w:hint="default" w:ascii="Times New Roman" w:hAnsi="Times New Roman" w:eastAsia="宋体" w:cs="Times New Roman"/>
                <w:i w:val="0"/>
                <w:iCs w:val="0"/>
                <w:color w:val="auto"/>
                <w:sz w:val="20"/>
                <w:szCs w:val="20"/>
                <w:u w:val="none"/>
              </w:rPr>
            </w:pPr>
          </w:p>
        </w:tc>
        <w:tc>
          <w:tcPr>
            <w:tcW w:w="1205" w:type="dxa"/>
            <w:tcBorders>
              <w:top w:val="nil"/>
              <w:left w:val="nil"/>
              <w:bottom w:val="nil"/>
              <w:right w:val="nil"/>
            </w:tcBorders>
            <w:shd w:val="clear" w:color="auto" w:fill="auto"/>
            <w:noWrap/>
            <w:vAlign w:val="center"/>
          </w:tcPr>
          <w:p w14:paraId="2482394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0.754</w:t>
            </w:r>
          </w:p>
        </w:tc>
      </w:tr>
      <w:tr w14:paraId="7BDFC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52AA8042">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&lt;35 g/L</w:t>
            </w:r>
          </w:p>
        </w:tc>
        <w:tc>
          <w:tcPr>
            <w:tcW w:w="705" w:type="dxa"/>
            <w:tcBorders>
              <w:top w:val="nil"/>
              <w:left w:val="nil"/>
              <w:bottom w:val="nil"/>
              <w:right w:val="nil"/>
            </w:tcBorders>
            <w:shd w:val="clear" w:color="auto" w:fill="auto"/>
            <w:noWrap/>
            <w:vAlign w:val="center"/>
          </w:tcPr>
          <w:p w14:paraId="0F289E9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105</w:t>
            </w:r>
          </w:p>
        </w:tc>
        <w:tc>
          <w:tcPr>
            <w:tcW w:w="816" w:type="dxa"/>
            <w:tcBorders>
              <w:top w:val="nil"/>
              <w:left w:val="nil"/>
              <w:bottom w:val="nil"/>
              <w:right w:val="nil"/>
            </w:tcBorders>
            <w:shd w:val="clear" w:color="auto" w:fill="auto"/>
            <w:noWrap/>
            <w:vAlign w:val="center"/>
          </w:tcPr>
          <w:p w14:paraId="51FA7DE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8.9</w:t>
            </w:r>
          </w:p>
        </w:tc>
        <w:tc>
          <w:tcPr>
            <w:tcW w:w="1128" w:type="dxa"/>
            <w:tcBorders>
              <w:top w:val="nil"/>
              <w:left w:val="nil"/>
              <w:bottom w:val="nil"/>
              <w:right w:val="nil"/>
            </w:tcBorders>
            <w:shd w:val="clear" w:color="auto" w:fill="auto"/>
            <w:noWrap/>
            <w:vAlign w:val="center"/>
          </w:tcPr>
          <w:p w14:paraId="6D473BE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26</w:t>
            </w:r>
          </w:p>
        </w:tc>
        <w:tc>
          <w:tcPr>
            <w:tcW w:w="1128" w:type="dxa"/>
            <w:tcBorders>
              <w:top w:val="nil"/>
              <w:left w:val="nil"/>
              <w:bottom w:val="nil"/>
              <w:right w:val="nil"/>
            </w:tcBorders>
            <w:shd w:val="clear" w:color="auto" w:fill="auto"/>
            <w:noWrap/>
            <w:vAlign w:val="center"/>
          </w:tcPr>
          <w:p w14:paraId="4DFAD54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79</w:t>
            </w:r>
          </w:p>
        </w:tc>
        <w:tc>
          <w:tcPr>
            <w:tcW w:w="1108" w:type="dxa"/>
            <w:tcBorders>
              <w:top w:val="nil"/>
              <w:left w:val="nil"/>
              <w:bottom w:val="nil"/>
              <w:right w:val="nil"/>
            </w:tcBorders>
            <w:shd w:val="clear" w:color="auto" w:fill="auto"/>
            <w:noWrap/>
            <w:vAlign w:val="center"/>
          </w:tcPr>
          <w:p w14:paraId="5C4105E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1.48</w:t>
            </w:r>
          </w:p>
        </w:tc>
        <w:tc>
          <w:tcPr>
            <w:tcW w:w="738" w:type="dxa"/>
            <w:tcBorders>
              <w:top w:val="nil"/>
              <w:left w:val="nil"/>
              <w:bottom w:val="nil"/>
              <w:right w:val="nil"/>
            </w:tcBorders>
            <w:shd w:val="clear" w:color="auto" w:fill="auto"/>
            <w:noWrap/>
            <w:vAlign w:val="center"/>
          </w:tcPr>
          <w:p w14:paraId="1518723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0.79</w:t>
            </w:r>
          </w:p>
        </w:tc>
        <w:tc>
          <w:tcPr>
            <w:tcW w:w="716" w:type="dxa"/>
            <w:tcBorders>
              <w:top w:val="nil"/>
              <w:left w:val="nil"/>
              <w:bottom w:val="nil"/>
              <w:right w:val="nil"/>
            </w:tcBorders>
            <w:shd w:val="clear" w:color="auto" w:fill="auto"/>
            <w:noWrap/>
            <w:vAlign w:val="center"/>
          </w:tcPr>
          <w:p w14:paraId="374E123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2.79</w:t>
            </w:r>
          </w:p>
        </w:tc>
        <w:tc>
          <w:tcPr>
            <w:tcW w:w="779" w:type="dxa"/>
            <w:tcBorders>
              <w:top w:val="nil"/>
              <w:left w:val="nil"/>
              <w:bottom w:val="nil"/>
              <w:right w:val="nil"/>
            </w:tcBorders>
            <w:shd w:val="clear" w:color="auto" w:fill="auto"/>
            <w:noWrap/>
            <w:vAlign w:val="center"/>
          </w:tcPr>
          <w:p w14:paraId="7011F3F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0.222</w:t>
            </w:r>
          </w:p>
        </w:tc>
        <w:tc>
          <w:tcPr>
            <w:tcW w:w="1205" w:type="dxa"/>
            <w:tcBorders>
              <w:top w:val="nil"/>
              <w:left w:val="nil"/>
              <w:bottom w:val="nil"/>
              <w:right w:val="nil"/>
            </w:tcBorders>
            <w:shd w:val="clear" w:color="auto" w:fill="auto"/>
            <w:noWrap/>
            <w:vAlign w:val="center"/>
          </w:tcPr>
          <w:p w14:paraId="32F209F6">
            <w:pPr>
              <w:jc w:val="center"/>
              <w:rPr>
                <w:rFonts w:hint="default" w:ascii="Times New Roman" w:hAnsi="Times New Roman" w:eastAsia="宋体" w:cs="Times New Roman"/>
                <w:i w:val="0"/>
                <w:iCs w:val="0"/>
                <w:color w:val="auto"/>
                <w:sz w:val="20"/>
                <w:szCs w:val="20"/>
                <w:u w:val="none"/>
              </w:rPr>
            </w:pPr>
          </w:p>
        </w:tc>
      </w:tr>
      <w:tr w14:paraId="3F395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38C0643D">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≥35 g/L</w:t>
            </w:r>
          </w:p>
        </w:tc>
        <w:tc>
          <w:tcPr>
            <w:tcW w:w="705" w:type="dxa"/>
            <w:tcBorders>
              <w:top w:val="nil"/>
              <w:left w:val="nil"/>
              <w:bottom w:val="nil"/>
              <w:right w:val="nil"/>
            </w:tcBorders>
            <w:shd w:val="clear" w:color="auto" w:fill="auto"/>
            <w:noWrap/>
            <w:vAlign w:val="center"/>
          </w:tcPr>
          <w:p w14:paraId="24CC76E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1069</w:t>
            </w:r>
          </w:p>
        </w:tc>
        <w:tc>
          <w:tcPr>
            <w:tcW w:w="816" w:type="dxa"/>
            <w:tcBorders>
              <w:top w:val="nil"/>
              <w:left w:val="nil"/>
              <w:bottom w:val="nil"/>
              <w:right w:val="nil"/>
            </w:tcBorders>
            <w:shd w:val="clear" w:color="auto" w:fill="auto"/>
            <w:noWrap/>
            <w:vAlign w:val="center"/>
          </w:tcPr>
          <w:p w14:paraId="775AF9A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91.1</w:t>
            </w:r>
          </w:p>
        </w:tc>
        <w:tc>
          <w:tcPr>
            <w:tcW w:w="1128" w:type="dxa"/>
            <w:tcBorders>
              <w:top w:val="nil"/>
              <w:left w:val="nil"/>
              <w:bottom w:val="nil"/>
              <w:right w:val="nil"/>
            </w:tcBorders>
            <w:shd w:val="clear" w:color="auto" w:fill="auto"/>
            <w:noWrap/>
            <w:vAlign w:val="center"/>
          </w:tcPr>
          <w:p w14:paraId="4FC4C3B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420</w:t>
            </w:r>
          </w:p>
        </w:tc>
        <w:tc>
          <w:tcPr>
            <w:tcW w:w="1128" w:type="dxa"/>
            <w:tcBorders>
              <w:top w:val="nil"/>
              <w:left w:val="nil"/>
              <w:bottom w:val="nil"/>
              <w:right w:val="nil"/>
            </w:tcBorders>
            <w:shd w:val="clear" w:color="auto" w:fill="auto"/>
            <w:noWrap/>
            <w:vAlign w:val="center"/>
          </w:tcPr>
          <w:p w14:paraId="15340C4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649</w:t>
            </w:r>
          </w:p>
        </w:tc>
        <w:tc>
          <w:tcPr>
            <w:tcW w:w="1108" w:type="dxa"/>
            <w:tcBorders>
              <w:top w:val="nil"/>
              <w:left w:val="nil"/>
              <w:bottom w:val="nil"/>
              <w:right w:val="nil"/>
            </w:tcBorders>
            <w:shd w:val="clear" w:color="auto" w:fill="auto"/>
            <w:noWrap/>
            <w:vAlign w:val="center"/>
          </w:tcPr>
          <w:p w14:paraId="7DAF143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1.61</w:t>
            </w:r>
          </w:p>
        </w:tc>
        <w:tc>
          <w:tcPr>
            <w:tcW w:w="738" w:type="dxa"/>
            <w:tcBorders>
              <w:top w:val="nil"/>
              <w:left w:val="nil"/>
              <w:bottom w:val="nil"/>
              <w:right w:val="nil"/>
            </w:tcBorders>
            <w:shd w:val="clear" w:color="auto" w:fill="auto"/>
            <w:noWrap/>
            <w:vAlign w:val="center"/>
          </w:tcPr>
          <w:p w14:paraId="0C1F98D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1.35</w:t>
            </w:r>
          </w:p>
        </w:tc>
        <w:tc>
          <w:tcPr>
            <w:tcW w:w="716" w:type="dxa"/>
            <w:tcBorders>
              <w:top w:val="nil"/>
              <w:left w:val="nil"/>
              <w:bottom w:val="nil"/>
              <w:right w:val="nil"/>
            </w:tcBorders>
            <w:shd w:val="clear" w:color="auto" w:fill="auto"/>
            <w:noWrap/>
            <w:vAlign w:val="center"/>
          </w:tcPr>
          <w:p w14:paraId="12874F7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1.93</w:t>
            </w:r>
          </w:p>
        </w:tc>
        <w:tc>
          <w:tcPr>
            <w:tcW w:w="779" w:type="dxa"/>
            <w:tcBorders>
              <w:top w:val="nil"/>
              <w:left w:val="nil"/>
              <w:bottom w:val="nil"/>
              <w:right w:val="nil"/>
            </w:tcBorders>
            <w:shd w:val="clear" w:color="auto" w:fill="auto"/>
            <w:noWrap/>
            <w:vAlign w:val="center"/>
          </w:tcPr>
          <w:p w14:paraId="12E7253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1205" w:type="dxa"/>
            <w:tcBorders>
              <w:top w:val="nil"/>
              <w:left w:val="nil"/>
              <w:bottom w:val="nil"/>
              <w:right w:val="nil"/>
            </w:tcBorders>
            <w:shd w:val="clear" w:color="auto" w:fill="auto"/>
            <w:noWrap/>
            <w:vAlign w:val="center"/>
          </w:tcPr>
          <w:p w14:paraId="4DA839D3">
            <w:pPr>
              <w:jc w:val="center"/>
              <w:rPr>
                <w:rFonts w:hint="default" w:ascii="Times New Roman" w:hAnsi="Times New Roman" w:eastAsia="宋体" w:cs="Times New Roman"/>
                <w:i w:val="0"/>
                <w:iCs w:val="0"/>
                <w:color w:val="auto"/>
                <w:sz w:val="20"/>
                <w:szCs w:val="20"/>
                <w:u w:val="none"/>
              </w:rPr>
            </w:pPr>
          </w:p>
        </w:tc>
      </w:tr>
      <w:tr w14:paraId="6BCD1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7C273A8A">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PLT</w:t>
            </w:r>
          </w:p>
        </w:tc>
        <w:tc>
          <w:tcPr>
            <w:tcW w:w="705" w:type="dxa"/>
            <w:tcBorders>
              <w:top w:val="nil"/>
              <w:left w:val="nil"/>
              <w:bottom w:val="nil"/>
              <w:right w:val="nil"/>
            </w:tcBorders>
            <w:shd w:val="clear" w:color="auto" w:fill="auto"/>
            <w:noWrap/>
            <w:vAlign w:val="center"/>
          </w:tcPr>
          <w:p w14:paraId="042E1E5F">
            <w:pPr>
              <w:jc w:val="center"/>
              <w:rPr>
                <w:rFonts w:hint="default" w:ascii="Times New Roman" w:hAnsi="Times New Roman" w:eastAsia="宋体" w:cs="Times New Roman"/>
                <w:i w:val="0"/>
                <w:iCs w:val="0"/>
                <w:color w:val="auto"/>
                <w:sz w:val="20"/>
                <w:szCs w:val="20"/>
                <w:u w:val="none"/>
              </w:rPr>
            </w:pPr>
          </w:p>
        </w:tc>
        <w:tc>
          <w:tcPr>
            <w:tcW w:w="816" w:type="dxa"/>
            <w:tcBorders>
              <w:top w:val="nil"/>
              <w:left w:val="nil"/>
              <w:bottom w:val="nil"/>
              <w:right w:val="nil"/>
            </w:tcBorders>
            <w:shd w:val="clear" w:color="auto" w:fill="auto"/>
            <w:noWrap/>
            <w:vAlign w:val="center"/>
          </w:tcPr>
          <w:p w14:paraId="24A8993A">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0C68D702">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299B7A8B">
            <w:pPr>
              <w:jc w:val="center"/>
              <w:rPr>
                <w:rFonts w:hint="default" w:ascii="Times New Roman" w:hAnsi="Times New Roman" w:eastAsia="宋体" w:cs="Times New Roman"/>
                <w:i w:val="0"/>
                <w:iCs w:val="0"/>
                <w:color w:val="auto"/>
                <w:sz w:val="20"/>
                <w:szCs w:val="20"/>
                <w:u w:val="none"/>
              </w:rPr>
            </w:pPr>
          </w:p>
        </w:tc>
        <w:tc>
          <w:tcPr>
            <w:tcW w:w="1108" w:type="dxa"/>
            <w:tcBorders>
              <w:top w:val="nil"/>
              <w:left w:val="nil"/>
              <w:bottom w:val="nil"/>
              <w:right w:val="nil"/>
            </w:tcBorders>
            <w:shd w:val="clear" w:color="auto" w:fill="auto"/>
            <w:noWrap/>
            <w:vAlign w:val="center"/>
          </w:tcPr>
          <w:p w14:paraId="18F7A08B">
            <w:pPr>
              <w:jc w:val="center"/>
              <w:rPr>
                <w:rFonts w:hint="default" w:ascii="Times New Roman" w:hAnsi="Times New Roman" w:eastAsia="宋体" w:cs="Times New Roman"/>
                <w:i w:val="0"/>
                <w:iCs w:val="0"/>
                <w:color w:val="auto"/>
                <w:sz w:val="20"/>
                <w:szCs w:val="20"/>
                <w:u w:val="none"/>
              </w:rPr>
            </w:pPr>
          </w:p>
        </w:tc>
        <w:tc>
          <w:tcPr>
            <w:tcW w:w="738" w:type="dxa"/>
            <w:tcBorders>
              <w:top w:val="nil"/>
              <w:left w:val="nil"/>
              <w:bottom w:val="nil"/>
              <w:right w:val="nil"/>
            </w:tcBorders>
            <w:shd w:val="clear" w:color="auto" w:fill="auto"/>
            <w:noWrap/>
            <w:vAlign w:val="center"/>
          </w:tcPr>
          <w:p w14:paraId="0A3B7413">
            <w:pPr>
              <w:jc w:val="center"/>
              <w:rPr>
                <w:rFonts w:hint="default" w:ascii="Times New Roman" w:hAnsi="Times New Roman" w:eastAsia="宋体" w:cs="Times New Roman"/>
                <w:i w:val="0"/>
                <w:iCs w:val="0"/>
                <w:color w:val="auto"/>
                <w:sz w:val="20"/>
                <w:szCs w:val="20"/>
                <w:u w:val="none"/>
              </w:rPr>
            </w:pPr>
          </w:p>
        </w:tc>
        <w:tc>
          <w:tcPr>
            <w:tcW w:w="716" w:type="dxa"/>
            <w:tcBorders>
              <w:top w:val="nil"/>
              <w:left w:val="nil"/>
              <w:bottom w:val="nil"/>
              <w:right w:val="nil"/>
            </w:tcBorders>
            <w:shd w:val="clear" w:color="auto" w:fill="auto"/>
            <w:noWrap/>
            <w:vAlign w:val="center"/>
          </w:tcPr>
          <w:p w14:paraId="5880CAC1">
            <w:pPr>
              <w:jc w:val="center"/>
              <w:rPr>
                <w:rFonts w:hint="default" w:ascii="Times New Roman" w:hAnsi="Times New Roman" w:eastAsia="宋体" w:cs="Times New Roman"/>
                <w:i w:val="0"/>
                <w:iCs w:val="0"/>
                <w:color w:val="auto"/>
                <w:sz w:val="20"/>
                <w:szCs w:val="20"/>
                <w:u w:val="none"/>
              </w:rPr>
            </w:pPr>
          </w:p>
        </w:tc>
        <w:tc>
          <w:tcPr>
            <w:tcW w:w="779" w:type="dxa"/>
            <w:tcBorders>
              <w:top w:val="nil"/>
              <w:left w:val="nil"/>
              <w:bottom w:val="nil"/>
              <w:right w:val="nil"/>
            </w:tcBorders>
            <w:shd w:val="clear" w:color="auto" w:fill="auto"/>
            <w:noWrap/>
            <w:vAlign w:val="center"/>
          </w:tcPr>
          <w:p w14:paraId="325C5AAE">
            <w:pPr>
              <w:jc w:val="center"/>
              <w:rPr>
                <w:rFonts w:hint="default" w:ascii="Times New Roman" w:hAnsi="Times New Roman" w:eastAsia="宋体" w:cs="Times New Roman"/>
                <w:i w:val="0"/>
                <w:iCs w:val="0"/>
                <w:color w:val="auto"/>
                <w:sz w:val="20"/>
                <w:szCs w:val="20"/>
                <w:u w:val="none"/>
              </w:rPr>
            </w:pPr>
          </w:p>
        </w:tc>
        <w:tc>
          <w:tcPr>
            <w:tcW w:w="1205" w:type="dxa"/>
            <w:tcBorders>
              <w:top w:val="nil"/>
              <w:left w:val="nil"/>
              <w:bottom w:val="nil"/>
              <w:right w:val="nil"/>
            </w:tcBorders>
            <w:shd w:val="clear" w:color="auto" w:fill="auto"/>
            <w:noWrap/>
            <w:vAlign w:val="center"/>
          </w:tcPr>
          <w:p w14:paraId="3F85BC3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0.624</w:t>
            </w:r>
          </w:p>
        </w:tc>
      </w:tr>
      <w:tr w14:paraId="53E56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6F5261AD">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&lt;100×10</w:t>
            </w:r>
            <w:r>
              <w:rPr>
                <w:rFonts w:hint="default" w:ascii="Times New Roman" w:hAnsi="Times New Roman" w:eastAsia="宋体" w:cs="Times New Roman"/>
                <w:i w:val="0"/>
                <w:iCs w:val="0"/>
                <w:color w:val="auto"/>
                <w:kern w:val="0"/>
                <w:sz w:val="20"/>
                <w:szCs w:val="20"/>
                <w:u w:val="none"/>
                <w:vertAlign w:val="superscript"/>
                <w:lang w:val="en-US" w:eastAsia="zh-CN" w:bidi="ar"/>
              </w:rPr>
              <w:t>9</w:t>
            </w:r>
            <w:r>
              <w:rPr>
                <w:rFonts w:hint="default" w:ascii="Times New Roman" w:hAnsi="Times New Roman" w:eastAsia="宋体" w:cs="Times New Roman"/>
                <w:i w:val="0"/>
                <w:iCs w:val="0"/>
                <w:color w:val="auto"/>
                <w:kern w:val="0"/>
                <w:sz w:val="20"/>
                <w:szCs w:val="20"/>
                <w:u w:val="none"/>
                <w:lang w:val="en-US" w:eastAsia="zh-CN" w:bidi="ar"/>
              </w:rPr>
              <w:t>/L</w:t>
            </w:r>
          </w:p>
        </w:tc>
        <w:tc>
          <w:tcPr>
            <w:tcW w:w="705" w:type="dxa"/>
            <w:tcBorders>
              <w:top w:val="nil"/>
              <w:left w:val="nil"/>
              <w:bottom w:val="nil"/>
              <w:right w:val="nil"/>
            </w:tcBorders>
            <w:shd w:val="clear" w:color="auto" w:fill="auto"/>
            <w:noWrap/>
            <w:vAlign w:val="center"/>
          </w:tcPr>
          <w:p w14:paraId="4BD6C23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142</w:t>
            </w:r>
          </w:p>
        </w:tc>
        <w:tc>
          <w:tcPr>
            <w:tcW w:w="816" w:type="dxa"/>
            <w:tcBorders>
              <w:top w:val="nil"/>
              <w:left w:val="nil"/>
              <w:bottom w:val="nil"/>
              <w:right w:val="nil"/>
            </w:tcBorders>
            <w:shd w:val="clear" w:color="auto" w:fill="auto"/>
            <w:noWrap/>
            <w:vAlign w:val="center"/>
          </w:tcPr>
          <w:p w14:paraId="3523D11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12.1</w:t>
            </w:r>
          </w:p>
        </w:tc>
        <w:tc>
          <w:tcPr>
            <w:tcW w:w="1128" w:type="dxa"/>
            <w:tcBorders>
              <w:top w:val="nil"/>
              <w:left w:val="nil"/>
              <w:bottom w:val="nil"/>
              <w:right w:val="nil"/>
            </w:tcBorders>
            <w:shd w:val="clear" w:color="auto" w:fill="auto"/>
            <w:noWrap/>
            <w:vAlign w:val="center"/>
          </w:tcPr>
          <w:p w14:paraId="1A38690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20</w:t>
            </w:r>
          </w:p>
        </w:tc>
        <w:tc>
          <w:tcPr>
            <w:tcW w:w="1128" w:type="dxa"/>
            <w:tcBorders>
              <w:top w:val="nil"/>
              <w:left w:val="nil"/>
              <w:bottom w:val="nil"/>
              <w:right w:val="nil"/>
            </w:tcBorders>
            <w:shd w:val="clear" w:color="auto" w:fill="auto"/>
            <w:noWrap/>
            <w:vAlign w:val="center"/>
          </w:tcPr>
          <w:p w14:paraId="61C7C70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122</w:t>
            </w:r>
          </w:p>
        </w:tc>
        <w:tc>
          <w:tcPr>
            <w:tcW w:w="1108" w:type="dxa"/>
            <w:tcBorders>
              <w:top w:val="nil"/>
              <w:left w:val="nil"/>
              <w:bottom w:val="nil"/>
              <w:right w:val="nil"/>
            </w:tcBorders>
            <w:shd w:val="clear" w:color="auto" w:fill="auto"/>
            <w:noWrap/>
            <w:vAlign w:val="center"/>
          </w:tcPr>
          <w:p w14:paraId="561CA7B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2.05</w:t>
            </w:r>
          </w:p>
        </w:tc>
        <w:tc>
          <w:tcPr>
            <w:tcW w:w="738" w:type="dxa"/>
            <w:tcBorders>
              <w:top w:val="nil"/>
              <w:left w:val="nil"/>
              <w:bottom w:val="nil"/>
              <w:right w:val="nil"/>
            </w:tcBorders>
            <w:shd w:val="clear" w:color="auto" w:fill="auto"/>
            <w:noWrap/>
            <w:vAlign w:val="center"/>
          </w:tcPr>
          <w:p w14:paraId="2D64484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0.98</w:t>
            </w:r>
          </w:p>
        </w:tc>
        <w:tc>
          <w:tcPr>
            <w:tcW w:w="716" w:type="dxa"/>
            <w:tcBorders>
              <w:top w:val="nil"/>
              <w:left w:val="nil"/>
              <w:bottom w:val="nil"/>
              <w:right w:val="nil"/>
            </w:tcBorders>
            <w:shd w:val="clear" w:color="auto" w:fill="auto"/>
            <w:noWrap/>
            <w:vAlign w:val="center"/>
          </w:tcPr>
          <w:p w14:paraId="76E0408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4.26</w:t>
            </w:r>
          </w:p>
        </w:tc>
        <w:tc>
          <w:tcPr>
            <w:tcW w:w="779" w:type="dxa"/>
            <w:tcBorders>
              <w:top w:val="nil"/>
              <w:left w:val="nil"/>
              <w:bottom w:val="nil"/>
              <w:right w:val="nil"/>
            </w:tcBorders>
            <w:shd w:val="clear" w:color="auto" w:fill="auto"/>
            <w:noWrap/>
            <w:vAlign w:val="center"/>
          </w:tcPr>
          <w:p w14:paraId="7229EC9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0.055</w:t>
            </w:r>
          </w:p>
        </w:tc>
        <w:tc>
          <w:tcPr>
            <w:tcW w:w="1205" w:type="dxa"/>
            <w:tcBorders>
              <w:top w:val="nil"/>
              <w:left w:val="nil"/>
              <w:bottom w:val="nil"/>
              <w:right w:val="nil"/>
            </w:tcBorders>
            <w:shd w:val="clear" w:color="auto" w:fill="auto"/>
            <w:noWrap/>
            <w:vAlign w:val="center"/>
          </w:tcPr>
          <w:p w14:paraId="3D70F265">
            <w:pPr>
              <w:jc w:val="center"/>
              <w:rPr>
                <w:rFonts w:hint="default" w:ascii="Times New Roman" w:hAnsi="Times New Roman" w:eastAsia="宋体" w:cs="Times New Roman"/>
                <w:i w:val="0"/>
                <w:iCs w:val="0"/>
                <w:color w:val="auto"/>
                <w:sz w:val="20"/>
                <w:szCs w:val="20"/>
                <w:u w:val="none"/>
              </w:rPr>
            </w:pPr>
          </w:p>
        </w:tc>
      </w:tr>
      <w:tr w14:paraId="4832A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79DC6D94">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≥100×10</w:t>
            </w:r>
            <w:r>
              <w:rPr>
                <w:rFonts w:hint="default" w:ascii="Times New Roman" w:hAnsi="Times New Roman" w:eastAsia="宋体" w:cs="Times New Roman"/>
                <w:i w:val="0"/>
                <w:iCs w:val="0"/>
                <w:color w:val="auto"/>
                <w:kern w:val="0"/>
                <w:sz w:val="20"/>
                <w:szCs w:val="20"/>
                <w:u w:val="none"/>
                <w:vertAlign w:val="superscript"/>
                <w:lang w:val="en-US" w:eastAsia="zh-CN" w:bidi="ar"/>
              </w:rPr>
              <w:t>9</w:t>
            </w:r>
            <w:r>
              <w:rPr>
                <w:rFonts w:hint="default" w:ascii="Times New Roman" w:hAnsi="Times New Roman" w:eastAsia="宋体" w:cs="Times New Roman"/>
                <w:i w:val="0"/>
                <w:iCs w:val="0"/>
                <w:color w:val="auto"/>
                <w:kern w:val="0"/>
                <w:sz w:val="20"/>
                <w:szCs w:val="20"/>
                <w:u w:val="none"/>
                <w:lang w:val="en-US" w:eastAsia="zh-CN" w:bidi="ar"/>
              </w:rPr>
              <w:t>/L</w:t>
            </w:r>
          </w:p>
        </w:tc>
        <w:tc>
          <w:tcPr>
            <w:tcW w:w="705" w:type="dxa"/>
            <w:tcBorders>
              <w:top w:val="nil"/>
              <w:left w:val="nil"/>
              <w:bottom w:val="nil"/>
              <w:right w:val="nil"/>
            </w:tcBorders>
            <w:shd w:val="clear" w:color="auto" w:fill="auto"/>
            <w:noWrap/>
            <w:vAlign w:val="center"/>
          </w:tcPr>
          <w:p w14:paraId="596F737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1032</w:t>
            </w:r>
          </w:p>
        </w:tc>
        <w:tc>
          <w:tcPr>
            <w:tcW w:w="816" w:type="dxa"/>
            <w:tcBorders>
              <w:top w:val="nil"/>
              <w:left w:val="nil"/>
              <w:bottom w:val="nil"/>
              <w:right w:val="nil"/>
            </w:tcBorders>
            <w:shd w:val="clear" w:color="auto" w:fill="auto"/>
            <w:noWrap/>
            <w:vAlign w:val="center"/>
          </w:tcPr>
          <w:p w14:paraId="5174F12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87.9</w:t>
            </w:r>
          </w:p>
        </w:tc>
        <w:tc>
          <w:tcPr>
            <w:tcW w:w="1128" w:type="dxa"/>
            <w:tcBorders>
              <w:top w:val="nil"/>
              <w:left w:val="nil"/>
              <w:bottom w:val="nil"/>
              <w:right w:val="nil"/>
            </w:tcBorders>
            <w:shd w:val="clear" w:color="auto" w:fill="auto"/>
            <w:noWrap/>
            <w:vAlign w:val="center"/>
          </w:tcPr>
          <w:p w14:paraId="1352DB7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426</w:t>
            </w:r>
          </w:p>
        </w:tc>
        <w:tc>
          <w:tcPr>
            <w:tcW w:w="1128" w:type="dxa"/>
            <w:tcBorders>
              <w:top w:val="nil"/>
              <w:left w:val="nil"/>
              <w:bottom w:val="nil"/>
              <w:right w:val="nil"/>
            </w:tcBorders>
            <w:shd w:val="clear" w:color="auto" w:fill="auto"/>
            <w:noWrap/>
            <w:vAlign w:val="center"/>
          </w:tcPr>
          <w:p w14:paraId="60E50BC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606</w:t>
            </w:r>
          </w:p>
        </w:tc>
        <w:tc>
          <w:tcPr>
            <w:tcW w:w="1108" w:type="dxa"/>
            <w:tcBorders>
              <w:top w:val="nil"/>
              <w:left w:val="nil"/>
              <w:bottom w:val="nil"/>
              <w:right w:val="nil"/>
            </w:tcBorders>
            <w:shd w:val="clear" w:color="auto" w:fill="auto"/>
            <w:noWrap/>
            <w:vAlign w:val="center"/>
          </w:tcPr>
          <w:p w14:paraId="5325F85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1.62</w:t>
            </w:r>
          </w:p>
        </w:tc>
        <w:tc>
          <w:tcPr>
            <w:tcW w:w="738" w:type="dxa"/>
            <w:tcBorders>
              <w:top w:val="nil"/>
              <w:left w:val="nil"/>
              <w:bottom w:val="nil"/>
              <w:right w:val="nil"/>
            </w:tcBorders>
            <w:shd w:val="clear" w:color="auto" w:fill="auto"/>
            <w:noWrap/>
            <w:vAlign w:val="center"/>
          </w:tcPr>
          <w:p w14:paraId="21C6DB9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1.36</w:t>
            </w:r>
          </w:p>
        </w:tc>
        <w:tc>
          <w:tcPr>
            <w:tcW w:w="716" w:type="dxa"/>
            <w:tcBorders>
              <w:top w:val="nil"/>
              <w:left w:val="nil"/>
              <w:bottom w:val="nil"/>
              <w:right w:val="nil"/>
            </w:tcBorders>
            <w:shd w:val="clear" w:color="auto" w:fill="auto"/>
            <w:noWrap/>
            <w:vAlign w:val="center"/>
          </w:tcPr>
          <w:p w14:paraId="0899C09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1.94</w:t>
            </w:r>
          </w:p>
        </w:tc>
        <w:tc>
          <w:tcPr>
            <w:tcW w:w="779" w:type="dxa"/>
            <w:tcBorders>
              <w:top w:val="nil"/>
              <w:left w:val="nil"/>
              <w:bottom w:val="nil"/>
              <w:right w:val="nil"/>
            </w:tcBorders>
            <w:shd w:val="clear" w:color="auto" w:fill="auto"/>
            <w:noWrap/>
            <w:vAlign w:val="center"/>
          </w:tcPr>
          <w:p w14:paraId="31530C5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1205" w:type="dxa"/>
            <w:tcBorders>
              <w:top w:val="nil"/>
              <w:left w:val="nil"/>
              <w:bottom w:val="nil"/>
              <w:right w:val="nil"/>
            </w:tcBorders>
            <w:shd w:val="clear" w:color="auto" w:fill="auto"/>
            <w:noWrap/>
            <w:vAlign w:val="center"/>
          </w:tcPr>
          <w:p w14:paraId="246A8E75">
            <w:pPr>
              <w:jc w:val="center"/>
              <w:rPr>
                <w:rFonts w:hint="default" w:ascii="Times New Roman" w:hAnsi="Times New Roman" w:eastAsia="宋体" w:cs="Times New Roman"/>
                <w:i w:val="0"/>
                <w:iCs w:val="0"/>
                <w:color w:val="auto"/>
                <w:sz w:val="20"/>
                <w:szCs w:val="20"/>
                <w:u w:val="none"/>
              </w:rPr>
            </w:pPr>
          </w:p>
        </w:tc>
      </w:tr>
      <w:tr w14:paraId="0B092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52D986AB">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APRI</w:t>
            </w:r>
          </w:p>
        </w:tc>
        <w:tc>
          <w:tcPr>
            <w:tcW w:w="705" w:type="dxa"/>
            <w:tcBorders>
              <w:top w:val="nil"/>
              <w:left w:val="nil"/>
              <w:bottom w:val="nil"/>
              <w:right w:val="nil"/>
            </w:tcBorders>
            <w:shd w:val="clear" w:color="auto" w:fill="auto"/>
            <w:noWrap/>
            <w:vAlign w:val="center"/>
          </w:tcPr>
          <w:p w14:paraId="0FAEE199">
            <w:pPr>
              <w:jc w:val="center"/>
              <w:rPr>
                <w:rFonts w:hint="default" w:ascii="Times New Roman" w:hAnsi="Times New Roman" w:eastAsia="宋体" w:cs="Times New Roman"/>
                <w:i w:val="0"/>
                <w:iCs w:val="0"/>
                <w:color w:val="auto"/>
                <w:sz w:val="20"/>
                <w:szCs w:val="20"/>
                <w:u w:val="none"/>
              </w:rPr>
            </w:pPr>
          </w:p>
        </w:tc>
        <w:tc>
          <w:tcPr>
            <w:tcW w:w="816" w:type="dxa"/>
            <w:tcBorders>
              <w:top w:val="nil"/>
              <w:left w:val="nil"/>
              <w:bottom w:val="nil"/>
              <w:right w:val="nil"/>
            </w:tcBorders>
            <w:shd w:val="clear" w:color="auto" w:fill="auto"/>
            <w:noWrap/>
            <w:vAlign w:val="center"/>
          </w:tcPr>
          <w:p w14:paraId="495BF7A4">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4AD5A614">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2710D6D5">
            <w:pPr>
              <w:jc w:val="center"/>
              <w:rPr>
                <w:rFonts w:hint="default" w:ascii="Times New Roman" w:hAnsi="Times New Roman" w:eastAsia="宋体" w:cs="Times New Roman"/>
                <w:i w:val="0"/>
                <w:iCs w:val="0"/>
                <w:color w:val="auto"/>
                <w:sz w:val="20"/>
                <w:szCs w:val="20"/>
                <w:u w:val="none"/>
              </w:rPr>
            </w:pPr>
          </w:p>
        </w:tc>
        <w:tc>
          <w:tcPr>
            <w:tcW w:w="1108" w:type="dxa"/>
            <w:tcBorders>
              <w:top w:val="nil"/>
              <w:left w:val="nil"/>
              <w:bottom w:val="nil"/>
              <w:right w:val="nil"/>
            </w:tcBorders>
            <w:shd w:val="clear" w:color="auto" w:fill="auto"/>
            <w:noWrap/>
            <w:vAlign w:val="center"/>
          </w:tcPr>
          <w:p w14:paraId="0578418E">
            <w:pPr>
              <w:jc w:val="center"/>
              <w:rPr>
                <w:rFonts w:hint="default" w:ascii="Times New Roman" w:hAnsi="Times New Roman" w:eastAsia="宋体" w:cs="Times New Roman"/>
                <w:i w:val="0"/>
                <w:iCs w:val="0"/>
                <w:color w:val="auto"/>
                <w:sz w:val="20"/>
                <w:szCs w:val="20"/>
                <w:u w:val="none"/>
              </w:rPr>
            </w:pPr>
          </w:p>
        </w:tc>
        <w:tc>
          <w:tcPr>
            <w:tcW w:w="738" w:type="dxa"/>
            <w:tcBorders>
              <w:top w:val="nil"/>
              <w:left w:val="nil"/>
              <w:bottom w:val="nil"/>
              <w:right w:val="nil"/>
            </w:tcBorders>
            <w:shd w:val="clear" w:color="auto" w:fill="auto"/>
            <w:noWrap/>
            <w:vAlign w:val="center"/>
          </w:tcPr>
          <w:p w14:paraId="4D22B083">
            <w:pPr>
              <w:jc w:val="center"/>
              <w:rPr>
                <w:rFonts w:hint="default" w:ascii="Times New Roman" w:hAnsi="Times New Roman" w:eastAsia="宋体" w:cs="Times New Roman"/>
                <w:i w:val="0"/>
                <w:iCs w:val="0"/>
                <w:color w:val="auto"/>
                <w:sz w:val="20"/>
                <w:szCs w:val="20"/>
                <w:u w:val="none"/>
              </w:rPr>
            </w:pPr>
          </w:p>
        </w:tc>
        <w:tc>
          <w:tcPr>
            <w:tcW w:w="716" w:type="dxa"/>
            <w:tcBorders>
              <w:top w:val="nil"/>
              <w:left w:val="nil"/>
              <w:bottom w:val="nil"/>
              <w:right w:val="nil"/>
            </w:tcBorders>
            <w:shd w:val="clear" w:color="auto" w:fill="auto"/>
            <w:noWrap/>
            <w:vAlign w:val="center"/>
          </w:tcPr>
          <w:p w14:paraId="26C63086">
            <w:pPr>
              <w:jc w:val="center"/>
              <w:rPr>
                <w:rFonts w:hint="default" w:ascii="Times New Roman" w:hAnsi="Times New Roman" w:eastAsia="宋体" w:cs="Times New Roman"/>
                <w:i w:val="0"/>
                <w:iCs w:val="0"/>
                <w:color w:val="auto"/>
                <w:sz w:val="20"/>
                <w:szCs w:val="20"/>
                <w:u w:val="none"/>
              </w:rPr>
            </w:pPr>
          </w:p>
        </w:tc>
        <w:tc>
          <w:tcPr>
            <w:tcW w:w="779" w:type="dxa"/>
            <w:tcBorders>
              <w:top w:val="nil"/>
              <w:left w:val="nil"/>
              <w:bottom w:val="nil"/>
              <w:right w:val="nil"/>
            </w:tcBorders>
            <w:shd w:val="clear" w:color="auto" w:fill="auto"/>
            <w:noWrap/>
            <w:vAlign w:val="center"/>
          </w:tcPr>
          <w:p w14:paraId="037264E2">
            <w:pPr>
              <w:jc w:val="center"/>
              <w:rPr>
                <w:rFonts w:hint="default" w:ascii="Times New Roman" w:hAnsi="Times New Roman" w:eastAsia="宋体" w:cs="Times New Roman"/>
                <w:i w:val="0"/>
                <w:iCs w:val="0"/>
                <w:color w:val="auto"/>
                <w:sz w:val="20"/>
                <w:szCs w:val="20"/>
                <w:u w:val="none"/>
              </w:rPr>
            </w:pPr>
          </w:p>
        </w:tc>
        <w:tc>
          <w:tcPr>
            <w:tcW w:w="1205" w:type="dxa"/>
            <w:tcBorders>
              <w:top w:val="nil"/>
              <w:left w:val="nil"/>
              <w:bottom w:val="nil"/>
              <w:right w:val="nil"/>
            </w:tcBorders>
            <w:shd w:val="clear" w:color="auto" w:fill="auto"/>
            <w:noWrap/>
            <w:vAlign w:val="center"/>
          </w:tcPr>
          <w:p w14:paraId="775CBC0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0.299</w:t>
            </w:r>
          </w:p>
        </w:tc>
      </w:tr>
      <w:tr w14:paraId="00500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6BFB33B0">
            <w:pPr>
              <w:keepNext w:val="0"/>
              <w:keepLines w:val="0"/>
              <w:widowControl/>
              <w:suppressLineNumbers w:val="0"/>
              <w:jc w:val="both"/>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color w:val="auto"/>
                <w:sz w:val="20"/>
                <w:szCs w:val="20"/>
                <w:lang w:val="en-US" w:eastAsia="zh-CN"/>
              </w:rPr>
              <w:t xml:space="preserve">  </w:t>
            </w:r>
            <w:r>
              <w:rPr>
                <w:rFonts w:hint="default" w:ascii="Times New Roman" w:hAnsi="Times New Roman" w:eastAsia="宋体" w:cs="Times New Roman"/>
                <w:color w:val="auto"/>
                <w:sz w:val="20"/>
                <w:szCs w:val="20"/>
              </w:rPr>
              <w:t>&lt;</w:t>
            </w:r>
            <w:r>
              <w:rPr>
                <w:rFonts w:hint="default" w:ascii="Times New Roman" w:hAnsi="Times New Roman" w:eastAsia="宋体" w:cs="Times New Roman"/>
                <w:color w:val="auto"/>
                <w:sz w:val="20"/>
                <w:szCs w:val="20"/>
                <w:lang w:val="en-US" w:eastAsia="zh-CN"/>
              </w:rPr>
              <w:t>1.5</w:t>
            </w:r>
          </w:p>
        </w:tc>
        <w:tc>
          <w:tcPr>
            <w:tcW w:w="705" w:type="dxa"/>
            <w:tcBorders>
              <w:top w:val="nil"/>
              <w:left w:val="nil"/>
              <w:bottom w:val="nil"/>
              <w:right w:val="nil"/>
            </w:tcBorders>
            <w:shd w:val="clear" w:color="auto" w:fill="auto"/>
            <w:noWrap/>
            <w:vAlign w:val="center"/>
          </w:tcPr>
          <w:p w14:paraId="7890914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1016</w:t>
            </w:r>
          </w:p>
        </w:tc>
        <w:tc>
          <w:tcPr>
            <w:tcW w:w="816" w:type="dxa"/>
            <w:tcBorders>
              <w:top w:val="nil"/>
              <w:left w:val="nil"/>
              <w:bottom w:val="nil"/>
              <w:right w:val="nil"/>
            </w:tcBorders>
            <w:shd w:val="clear" w:color="auto" w:fill="auto"/>
            <w:noWrap/>
            <w:vAlign w:val="center"/>
          </w:tcPr>
          <w:p w14:paraId="578193F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86.5</w:t>
            </w:r>
          </w:p>
        </w:tc>
        <w:tc>
          <w:tcPr>
            <w:tcW w:w="1128" w:type="dxa"/>
            <w:tcBorders>
              <w:top w:val="nil"/>
              <w:left w:val="nil"/>
              <w:bottom w:val="nil"/>
              <w:right w:val="nil"/>
            </w:tcBorders>
            <w:shd w:val="clear" w:color="auto" w:fill="auto"/>
            <w:noWrap/>
            <w:vAlign w:val="center"/>
          </w:tcPr>
          <w:p w14:paraId="600D18A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441</w:t>
            </w:r>
          </w:p>
        </w:tc>
        <w:tc>
          <w:tcPr>
            <w:tcW w:w="1128" w:type="dxa"/>
            <w:tcBorders>
              <w:top w:val="nil"/>
              <w:left w:val="nil"/>
              <w:bottom w:val="nil"/>
              <w:right w:val="nil"/>
            </w:tcBorders>
            <w:shd w:val="clear" w:color="auto" w:fill="auto"/>
            <w:noWrap/>
            <w:vAlign w:val="center"/>
          </w:tcPr>
          <w:p w14:paraId="3951138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575</w:t>
            </w:r>
          </w:p>
        </w:tc>
        <w:tc>
          <w:tcPr>
            <w:tcW w:w="1108" w:type="dxa"/>
            <w:tcBorders>
              <w:top w:val="nil"/>
              <w:left w:val="nil"/>
              <w:bottom w:val="nil"/>
              <w:right w:val="nil"/>
            </w:tcBorders>
            <w:shd w:val="clear" w:color="auto" w:fill="auto"/>
            <w:noWrap/>
            <w:vAlign w:val="center"/>
          </w:tcPr>
          <w:p w14:paraId="017040C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1.56</w:t>
            </w:r>
          </w:p>
        </w:tc>
        <w:tc>
          <w:tcPr>
            <w:tcW w:w="738" w:type="dxa"/>
            <w:tcBorders>
              <w:top w:val="nil"/>
              <w:left w:val="nil"/>
              <w:bottom w:val="nil"/>
              <w:right w:val="nil"/>
            </w:tcBorders>
            <w:shd w:val="clear" w:color="auto" w:fill="auto"/>
            <w:noWrap/>
            <w:vAlign w:val="center"/>
          </w:tcPr>
          <w:p w14:paraId="5010232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w:t>
            </w:r>
          </w:p>
        </w:tc>
        <w:tc>
          <w:tcPr>
            <w:tcW w:w="716" w:type="dxa"/>
            <w:tcBorders>
              <w:top w:val="nil"/>
              <w:left w:val="nil"/>
              <w:bottom w:val="nil"/>
              <w:right w:val="nil"/>
            </w:tcBorders>
            <w:shd w:val="clear" w:color="auto" w:fill="auto"/>
            <w:noWrap/>
            <w:vAlign w:val="center"/>
          </w:tcPr>
          <w:p w14:paraId="6C0D96D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1.86</w:t>
            </w:r>
          </w:p>
        </w:tc>
        <w:tc>
          <w:tcPr>
            <w:tcW w:w="779" w:type="dxa"/>
            <w:tcBorders>
              <w:top w:val="nil"/>
              <w:left w:val="nil"/>
              <w:bottom w:val="nil"/>
              <w:right w:val="nil"/>
            </w:tcBorders>
            <w:shd w:val="clear" w:color="auto" w:fill="auto"/>
            <w:noWrap/>
            <w:vAlign w:val="center"/>
          </w:tcPr>
          <w:p w14:paraId="77BE8BD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1205" w:type="dxa"/>
            <w:tcBorders>
              <w:top w:val="nil"/>
              <w:left w:val="nil"/>
              <w:bottom w:val="nil"/>
              <w:right w:val="nil"/>
            </w:tcBorders>
            <w:shd w:val="clear" w:color="auto" w:fill="auto"/>
            <w:noWrap/>
            <w:vAlign w:val="center"/>
          </w:tcPr>
          <w:p w14:paraId="645BD0AF">
            <w:pPr>
              <w:jc w:val="center"/>
              <w:rPr>
                <w:rFonts w:hint="default" w:ascii="Times New Roman" w:hAnsi="Times New Roman" w:eastAsia="宋体" w:cs="Times New Roman"/>
                <w:i w:val="0"/>
                <w:iCs w:val="0"/>
                <w:color w:val="auto"/>
                <w:sz w:val="20"/>
                <w:szCs w:val="20"/>
                <w:u w:val="none"/>
              </w:rPr>
            </w:pPr>
          </w:p>
        </w:tc>
      </w:tr>
      <w:tr w14:paraId="2F102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1FCAD312">
            <w:pPr>
              <w:keepNext w:val="0"/>
              <w:keepLines w:val="0"/>
              <w:widowControl/>
              <w:suppressLineNumbers w:val="0"/>
              <w:jc w:val="both"/>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color w:val="auto"/>
                <w:sz w:val="20"/>
                <w:szCs w:val="20"/>
                <w:lang w:val="en-US" w:eastAsia="zh-CN"/>
              </w:rPr>
              <w:t xml:space="preserve">  </w:t>
            </w:r>
            <w:r>
              <w:rPr>
                <w:rFonts w:hint="default" w:ascii="Times New Roman" w:hAnsi="Times New Roman" w:eastAsia="宋体" w:cs="Times New Roman"/>
                <w:color w:val="auto"/>
                <w:sz w:val="20"/>
                <w:szCs w:val="20"/>
              </w:rPr>
              <w:t>≥</w:t>
            </w:r>
            <w:r>
              <w:rPr>
                <w:rFonts w:hint="default" w:ascii="Times New Roman" w:hAnsi="Times New Roman" w:eastAsia="宋体" w:cs="Times New Roman"/>
                <w:color w:val="auto"/>
                <w:sz w:val="20"/>
                <w:szCs w:val="20"/>
                <w:lang w:val="en-US" w:eastAsia="zh-CN"/>
              </w:rPr>
              <w:t>1.5</w:t>
            </w:r>
          </w:p>
        </w:tc>
        <w:tc>
          <w:tcPr>
            <w:tcW w:w="705" w:type="dxa"/>
            <w:tcBorders>
              <w:top w:val="nil"/>
              <w:left w:val="nil"/>
              <w:bottom w:val="nil"/>
              <w:right w:val="nil"/>
            </w:tcBorders>
            <w:shd w:val="clear" w:color="auto" w:fill="auto"/>
            <w:noWrap/>
            <w:vAlign w:val="center"/>
          </w:tcPr>
          <w:p w14:paraId="41E1478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158</w:t>
            </w:r>
          </w:p>
        </w:tc>
        <w:tc>
          <w:tcPr>
            <w:tcW w:w="816" w:type="dxa"/>
            <w:tcBorders>
              <w:top w:val="nil"/>
              <w:left w:val="nil"/>
              <w:bottom w:val="nil"/>
              <w:right w:val="nil"/>
            </w:tcBorders>
            <w:shd w:val="clear" w:color="auto" w:fill="auto"/>
            <w:noWrap/>
            <w:vAlign w:val="center"/>
          </w:tcPr>
          <w:p w14:paraId="72E67B9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13.5</w:t>
            </w:r>
          </w:p>
        </w:tc>
        <w:tc>
          <w:tcPr>
            <w:tcW w:w="1128" w:type="dxa"/>
            <w:tcBorders>
              <w:top w:val="nil"/>
              <w:left w:val="nil"/>
              <w:bottom w:val="nil"/>
              <w:right w:val="nil"/>
            </w:tcBorders>
            <w:shd w:val="clear" w:color="auto" w:fill="auto"/>
            <w:noWrap/>
            <w:vAlign w:val="center"/>
          </w:tcPr>
          <w:p w14:paraId="640B7F6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5</w:t>
            </w:r>
          </w:p>
        </w:tc>
        <w:tc>
          <w:tcPr>
            <w:tcW w:w="1128" w:type="dxa"/>
            <w:tcBorders>
              <w:top w:val="nil"/>
              <w:left w:val="nil"/>
              <w:bottom w:val="nil"/>
              <w:right w:val="nil"/>
            </w:tcBorders>
            <w:shd w:val="clear" w:color="auto" w:fill="auto"/>
            <w:noWrap/>
            <w:vAlign w:val="center"/>
          </w:tcPr>
          <w:p w14:paraId="77873B4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153</w:t>
            </w:r>
          </w:p>
        </w:tc>
        <w:tc>
          <w:tcPr>
            <w:tcW w:w="1108" w:type="dxa"/>
            <w:tcBorders>
              <w:top w:val="nil"/>
              <w:left w:val="nil"/>
              <w:bottom w:val="nil"/>
              <w:right w:val="nil"/>
            </w:tcBorders>
            <w:shd w:val="clear" w:color="auto" w:fill="auto"/>
            <w:noWrap/>
            <w:vAlign w:val="center"/>
          </w:tcPr>
          <w:p w14:paraId="493295D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4.52</w:t>
            </w:r>
          </w:p>
        </w:tc>
        <w:tc>
          <w:tcPr>
            <w:tcW w:w="738" w:type="dxa"/>
            <w:tcBorders>
              <w:top w:val="nil"/>
              <w:left w:val="nil"/>
              <w:bottom w:val="nil"/>
              <w:right w:val="nil"/>
            </w:tcBorders>
            <w:shd w:val="clear" w:color="auto" w:fill="auto"/>
            <w:noWrap/>
            <w:vAlign w:val="center"/>
          </w:tcPr>
          <w:p w14:paraId="70A1CF1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0.63</w:t>
            </w:r>
          </w:p>
        </w:tc>
        <w:tc>
          <w:tcPr>
            <w:tcW w:w="716" w:type="dxa"/>
            <w:tcBorders>
              <w:top w:val="nil"/>
              <w:left w:val="nil"/>
              <w:bottom w:val="nil"/>
              <w:right w:val="nil"/>
            </w:tcBorders>
            <w:shd w:val="clear" w:color="auto" w:fill="auto"/>
            <w:noWrap/>
            <w:vAlign w:val="center"/>
          </w:tcPr>
          <w:p w14:paraId="7A31C46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32.43</w:t>
            </w:r>
          </w:p>
        </w:tc>
        <w:tc>
          <w:tcPr>
            <w:tcW w:w="779" w:type="dxa"/>
            <w:tcBorders>
              <w:top w:val="nil"/>
              <w:left w:val="nil"/>
              <w:bottom w:val="nil"/>
              <w:right w:val="nil"/>
            </w:tcBorders>
            <w:shd w:val="clear" w:color="auto" w:fill="auto"/>
            <w:noWrap/>
            <w:vAlign w:val="center"/>
          </w:tcPr>
          <w:p w14:paraId="551DCA4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0.134</w:t>
            </w:r>
          </w:p>
        </w:tc>
        <w:tc>
          <w:tcPr>
            <w:tcW w:w="1205" w:type="dxa"/>
            <w:tcBorders>
              <w:top w:val="nil"/>
              <w:left w:val="nil"/>
              <w:bottom w:val="nil"/>
              <w:right w:val="nil"/>
            </w:tcBorders>
            <w:shd w:val="clear" w:color="auto" w:fill="auto"/>
            <w:noWrap/>
            <w:vAlign w:val="center"/>
          </w:tcPr>
          <w:p w14:paraId="16F6212F">
            <w:pPr>
              <w:jc w:val="center"/>
              <w:rPr>
                <w:rFonts w:hint="default" w:ascii="Times New Roman" w:hAnsi="Times New Roman" w:eastAsia="宋体" w:cs="Times New Roman"/>
                <w:i w:val="0"/>
                <w:iCs w:val="0"/>
                <w:color w:val="auto"/>
                <w:sz w:val="20"/>
                <w:szCs w:val="20"/>
                <w:u w:val="none"/>
              </w:rPr>
            </w:pPr>
          </w:p>
        </w:tc>
      </w:tr>
      <w:tr w14:paraId="1BD97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119F0F99">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AST</w:t>
            </w:r>
          </w:p>
        </w:tc>
        <w:tc>
          <w:tcPr>
            <w:tcW w:w="705" w:type="dxa"/>
            <w:tcBorders>
              <w:top w:val="nil"/>
              <w:left w:val="nil"/>
              <w:bottom w:val="nil"/>
              <w:right w:val="nil"/>
            </w:tcBorders>
            <w:shd w:val="clear" w:color="auto" w:fill="auto"/>
            <w:noWrap/>
            <w:vAlign w:val="center"/>
          </w:tcPr>
          <w:p w14:paraId="35C568DD">
            <w:pPr>
              <w:jc w:val="center"/>
              <w:rPr>
                <w:rFonts w:hint="default" w:ascii="Times New Roman" w:hAnsi="Times New Roman" w:eastAsia="宋体" w:cs="Times New Roman"/>
                <w:i w:val="0"/>
                <w:iCs w:val="0"/>
                <w:color w:val="auto"/>
                <w:sz w:val="20"/>
                <w:szCs w:val="20"/>
                <w:u w:val="none"/>
              </w:rPr>
            </w:pPr>
          </w:p>
        </w:tc>
        <w:tc>
          <w:tcPr>
            <w:tcW w:w="816" w:type="dxa"/>
            <w:tcBorders>
              <w:top w:val="nil"/>
              <w:left w:val="nil"/>
              <w:bottom w:val="nil"/>
              <w:right w:val="nil"/>
            </w:tcBorders>
            <w:shd w:val="clear" w:color="auto" w:fill="auto"/>
            <w:noWrap/>
            <w:vAlign w:val="center"/>
          </w:tcPr>
          <w:p w14:paraId="04599A57">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44482CF6">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48CD8A8F">
            <w:pPr>
              <w:jc w:val="center"/>
              <w:rPr>
                <w:rFonts w:hint="default" w:ascii="Times New Roman" w:hAnsi="Times New Roman" w:eastAsia="宋体" w:cs="Times New Roman"/>
                <w:i w:val="0"/>
                <w:iCs w:val="0"/>
                <w:color w:val="auto"/>
                <w:sz w:val="20"/>
                <w:szCs w:val="20"/>
                <w:u w:val="none"/>
              </w:rPr>
            </w:pPr>
          </w:p>
        </w:tc>
        <w:tc>
          <w:tcPr>
            <w:tcW w:w="1108" w:type="dxa"/>
            <w:tcBorders>
              <w:top w:val="nil"/>
              <w:left w:val="nil"/>
              <w:bottom w:val="nil"/>
              <w:right w:val="nil"/>
            </w:tcBorders>
            <w:shd w:val="clear" w:color="auto" w:fill="auto"/>
            <w:noWrap/>
            <w:vAlign w:val="center"/>
          </w:tcPr>
          <w:p w14:paraId="00E439D3">
            <w:pPr>
              <w:jc w:val="center"/>
              <w:rPr>
                <w:rFonts w:hint="default" w:ascii="Times New Roman" w:hAnsi="Times New Roman" w:eastAsia="宋体" w:cs="Times New Roman"/>
                <w:i w:val="0"/>
                <w:iCs w:val="0"/>
                <w:color w:val="auto"/>
                <w:sz w:val="20"/>
                <w:szCs w:val="20"/>
                <w:u w:val="none"/>
              </w:rPr>
            </w:pPr>
          </w:p>
        </w:tc>
        <w:tc>
          <w:tcPr>
            <w:tcW w:w="738" w:type="dxa"/>
            <w:tcBorders>
              <w:top w:val="nil"/>
              <w:left w:val="nil"/>
              <w:bottom w:val="nil"/>
              <w:right w:val="nil"/>
            </w:tcBorders>
            <w:shd w:val="clear" w:color="auto" w:fill="auto"/>
            <w:noWrap/>
            <w:vAlign w:val="center"/>
          </w:tcPr>
          <w:p w14:paraId="007C45A2">
            <w:pPr>
              <w:jc w:val="center"/>
              <w:rPr>
                <w:rFonts w:hint="default" w:ascii="Times New Roman" w:hAnsi="Times New Roman" w:eastAsia="宋体" w:cs="Times New Roman"/>
                <w:i w:val="0"/>
                <w:iCs w:val="0"/>
                <w:color w:val="auto"/>
                <w:sz w:val="20"/>
                <w:szCs w:val="20"/>
                <w:u w:val="none"/>
              </w:rPr>
            </w:pPr>
          </w:p>
        </w:tc>
        <w:tc>
          <w:tcPr>
            <w:tcW w:w="716" w:type="dxa"/>
            <w:tcBorders>
              <w:top w:val="nil"/>
              <w:left w:val="nil"/>
              <w:bottom w:val="nil"/>
              <w:right w:val="nil"/>
            </w:tcBorders>
            <w:shd w:val="clear" w:color="auto" w:fill="auto"/>
            <w:noWrap/>
            <w:vAlign w:val="center"/>
          </w:tcPr>
          <w:p w14:paraId="2B3D9B11">
            <w:pPr>
              <w:jc w:val="center"/>
              <w:rPr>
                <w:rFonts w:hint="default" w:ascii="Times New Roman" w:hAnsi="Times New Roman" w:eastAsia="宋体" w:cs="Times New Roman"/>
                <w:i w:val="0"/>
                <w:iCs w:val="0"/>
                <w:color w:val="auto"/>
                <w:sz w:val="20"/>
                <w:szCs w:val="20"/>
                <w:u w:val="none"/>
              </w:rPr>
            </w:pPr>
          </w:p>
        </w:tc>
        <w:tc>
          <w:tcPr>
            <w:tcW w:w="779" w:type="dxa"/>
            <w:tcBorders>
              <w:top w:val="nil"/>
              <w:left w:val="nil"/>
              <w:bottom w:val="nil"/>
              <w:right w:val="nil"/>
            </w:tcBorders>
            <w:shd w:val="clear" w:color="auto" w:fill="auto"/>
            <w:noWrap/>
            <w:vAlign w:val="center"/>
          </w:tcPr>
          <w:p w14:paraId="25383799">
            <w:pPr>
              <w:jc w:val="center"/>
              <w:rPr>
                <w:rFonts w:hint="default" w:ascii="Times New Roman" w:hAnsi="Times New Roman" w:eastAsia="宋体" w:cs="Times New Roman"/>
                <w:i w:val="0"/>
                <w:iCs w:val="0"/>
                <w:color w:val="auto"/>
                <w:sz w:val="20"/>
                <w:szCs w:val="20"/>
                <w:u w:val="none"/>
              </w:rPr>
            </w:pPr>
          </w:p>
        </w:tc>
        <w:tc>
          <w:tcPr>
            <w:tcW w:w="1205" w:type="dxa"/>
            <w:tcBorders>
              <w:top w:val="nil"/>
              <w:left w:val="nil"/>
              <w:bottom w:val="nil"/>
              <w:right w:val="nil"/>
            </w:tcBorders>
            <w:shd w:val="clear" w:color="auto" w:fill="auto"/>
            <w:noWrap/>
            <w:vAlign w:val="center"/>
          </w:tcPr>
          <w:p w14:paraId="2C5A05F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0.413</w:t>
            </w:r>
          </w:p>
        </w:tc>
      </w:tr>
      <w:tr w14:paraId="2AEF0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7FB2DF34">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&lt;80 U/L</w:t>
            </w:r>
          </w:p>
        </w:tc>
        <w:tc>
          <w:tcPr>
            <w:tcW w:w="705" w:type="dxa"/>
            <w:tcBorders>
              <w:top w:val="nil"/>
              <w:left w:val="nil"/>
              <w:bottom w:val="nil"/>
              <w:right w:val="nil"/>
            </w:tcBorders>
            <w:shd w:val="clear" w:color="auto" w:fill="auto"/>
            <w:noWrap/>
            <w:vAlign w:val="center"/>
          </w:tcPr>
          <w:p w14:paraId="5FFE51F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1007</w:t>
            </w:r>
          </w:p>
        </w:tc>
        <w:tc>
          <w:tcPr>
            <w:tcW w:w="816" w:type="dxa"/>
            <w:tcBorders>
              <w:top w:val="nil"/>
              <w:left w:val="nil"/>
              <w:bottom w:val="nil"/>
              <w:right w:val="nil"/>
            </w:tcBorders>
            <w:shd w:val="clear" w:color="auto" w:fill="auto"/>
            <w:noWrap/>
            <w:vAlign w:val="center"/>
          </w:tcPr>
          <w:p w14:paraId="7CECA78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85.8</w:t>
            </w:r>
          </w:p>
        </w:tc>
        <w:tc>
          <w:tcPr>
            <w:tcW w:w="1128" w:type="dxa"/>
            <w:tcBorders>
              <w:top w:val="nil"/>
              <w:left w:val="nil"/>
              <w:bottom w:val="nil"/>
              <w:right w:val="nil"/>
            </w:tcBorders>
            <w:shd w:val="clear" w:color="auto" w:fill="auto"/>
            <w:noWrap/>
            <w:vAlign w:val="center"/>
          </w:tcPr>
          <w:p w14:paraId="4788308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426</w:t>
            </w:r>
          </w:p>
        </w:tc>
        <w:tc>
          <w:tcPr>
            <w:tcW w:w="1128" w:type="dxa"/>
            <w:tcBorders>
              <w:top w:val="nil"/>
              <w:left w:val="nil"/>
              <w:bottom w:val="nil"/>
              <w:right w:val="nil"/>
            </w:tcBorders>
            <w:shd w:val="clear" w:color="auto" w:fill="auto"/>
            <w:noWrap/>
            <w:vAlign w:val="center"/>
          </w:tcPr>
          <w:p w14:paraId="35E03A5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581</w:t>
            </w:r>
          </w:p>
        </w:tc>
        <w:tc>
          <w:tcPr>
            <w:tcW w:w="1108" w:type="dxa"/>
            <w:tcBorders>
              <w:top w:val="nil"/>
              <w:left w:val="nil"/>
              <w:bottom w:val="nil"/>
              <w:right w:val="nil"/>
            </w:tcBorders>
            <w:shd w:val="clear" w:color="auto" w:fill="auto"/>
            <w:noWrap/>
            <w:vAlign w:val="center"/>
          </w:tcPr>
          <w:p w14:paraId="31B50E5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1.59</w:t>
            </w:r>
          </w:p>
        </w:tc>
        <w:tc>
          <w:tcPr>
            <w:tcW w:w="738" w:type="dxa"/>
            <w:tcBorders>
              <w:top w:val="nil"/>
              <w:left w:val="nil"/>
              <w:bottom w:val="nil"/>
              <w:right w:val="nil"/>
            </w:tcBorders>
            <w:shd w:val="clear" w:color="auto" w:fill="auto"/>
            <w:noWrap/>
            <w:vAlign w:val="center"/>
          </w:tcPr>
          <w:p w14:paraId="48CDE3D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1.33</w:t>
            </w:r>
          </w:p>
        </w:tc>
        <w:tc>
          <w:tcPr>
            <w:tcW w:w="716" w:type="dxa"/>
            <w:tcBorders>
              <w:top w:val="nil"/>
              <w:left w:val="nil"/>
              <w:bottom w:val="nil"/>
              <w:right w:val="nil"/>
            </w:tcBorders>
            <w:shd w:val="clear" w:color="auto" w:fill="auto"/>
            <w:noWrap/>
            <w:vAlign w:val="center"/>
          </w:tcPr>
          <w:p w14:paraId="1415D6E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1.91</w:t>
            </w:r>
          </w:p>
        </w:tc>
        <w:tc>
          <w:tcPr>
            <w:tcW w:w="779" w:type="dxa"/>
            <w:tcBorders>
              <w:top w:val="nil"/>
              <w:left w:val="nil"/>
              <w:bottom w:val="nil"/>
              <w:right w:val="nil"/>
            </w:tcBorders>
            <w:shd w:val="clear" w:color="auto" w:fill="auto"/>
            <w:noWrap/>
            <w:vAlign w:val="center"/>
          </w:tcPr>
          <w:p w14:paraId="66F5D99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1205" w:type="dxa"/>
            <w:tcBorders>
              <w:top w:val="nil"/>
              <w:left w:val="nil"/>
              <w:bottom w:val="nil"/>
              <w:right w:val="nil"/>
            </w:tcBorders>
            <w:shd w:val="clear" w:color="auto" w:fill="auto"/>
            <w:noWrap/>
            <w:vAlign w:val="center"/>
          </w:tcPr>
          <w:p w14:paraId="2E534C49">
            <w:pPr>
              <w:jc w:val="center"/>
              <w:rPr>
                <w:rFonts w:hint="default" w:ascii="Times New Roman" w:hAnsi="Times New Roman" w:eastAsia="宋体" w:cs="Times New Roman"/>
                <w:i w:val="0"/>
                <w:iCs w:val="0"/>
                <w:color w:val="auto"/>
                <w:sz w:val="20"/>
                <w:szCs w:val="20"/>
                <w:u w:val="none"/>
              </w:rPr>
            </w:pPr>
          </w:p>
        </w:tc>
      </w:tr>
      <w:tr w14:paraId="6EC39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74215C3F">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≥80 U/L</w:t>
            </w:r>
          </w:p>
        </w:tc>
        <w:tc>
          <w:tcPr>
            <w:tcW w:w="705" w:type="dxa"/>
            <w:tcBorders>
              <w:top w:val="nil"/>
              <w:left w:val="nil"/>
              <w:bottom w:val="nil"/>
              <w:right w:val="nil"/>
            </w:tcBorders>
            <w:shd w:val="clear" w:color="auto" w:fill="auto"/>
            <w:noWrap/>
            <w:vAlign w:val="center"/>
          </w:tcPr>
          <w:p w14:paraId="362FD4F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167</w:t>
            </w:r>
          </w:p>
        </w:tc>
        <w:tc>
          <w:tcPr>
            <w:tcW w:w="816" w:type="dxa"/>
            <w:tcBorders>
              <w:top w:val="nil"/>
              <w:left w:val="nil"/>
              <w:bottom w:val="nil"/>
              <w:right w:val="nil"/>
            </w:tcBorders>
            <w:shd w:val="clear" w:color="auto" w:fill="auto"/>
            <w:noWrap/>
            <w:vAlign w:val="center"/>
          </w:tcPr>
          <w:p w14:paraId="51F8B33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14.2</w:t>
            </w:r>
          </w:p>
        </w:tc>
        <w:tc>
          <w:tcPr>
            <w:tcW w:w="1128" w:type="dxa"/>
            <w:tcBorders>
              <w:top w:val="nil"/>
              <w:left w:val="nil"/>
              <w:bottom w:val="nil"/>
              <w:right w:val="nil"/>
            </w:tcBorders>
            <w:shd w:val="clear" w:color="auto" w:fill="auto"/>
            <w:noWrap/>
            <w:vAlign w:val="center"/>
          </w:tcPr>
          <w:p w14:paraId="5659EC7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20</w:t>
            </w:r>
          </w:p>
        </w:tc>
        <w:tc>
          <w:tcPr>
            <w:tcW w:w="1128" w:type="dxa"/>
            <w:tcBorders>
              <w:top w:val="nil"/>
              <w:left w:val="nil"/>
              <w:bottom w:val="nil"/>
              <w:right w:val="nil"/>
            </w:tcBorders>
            <w:shd w:val="clear" w:color="auto" w:fill="auto"/>
            <w:noWrap/>
            <w:vAlign w:val="center"/>
          </w:tcPr>
          <w:p w14:paraId="1BCA052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147</w:t>
            </w:r>
          </w:p>
        </w:tc>
        <w:tc>
          <w:tcPr>
            <w:tcW w:w="1108" w:type="dxa"/>
            <w:tcBorders>
              <w:top w:val="nil"/>
              <w:left w:val="nil"/>
              <w:bottom w:val="nil"/>
              <w:right w:val="nil"/>
            </w:tcBorders>
            <w:shd w:val="clear" w:color="auto" w:fill="auto"/>
            <w:noWrap/>
            <w:vAlign w:val="center"/>
          </w:tcPr>
          <w:p w14:paraId="3029F0C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1.22</w:t>
            </w:r>
          </w:p>
        </w:tc>
        <w:tc>
          <w:tcPr>
            <w:tcW w:w="738" w:type="dxa"/>
            <w:tcBorders>
              <w:top w:val="nil"/>
              <w:left w:val="nil"/>
              <w:bottom w:val="nil"/>
              <w:right w:val="nil"/>
            </w:tcBorders>
            <w:shd w:val="clear" w:color="auto" w:fill="auto"/>
            <w:noWrap/>
            <w:vAlign w:val="center"/>
          </w:tcPr>
          <w:p w14:paraId="0D7600B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0.63</w:t>
            </w:r>
          </w:p>
        </w:tc>
        <w:tc>
          <w:tcPr>
            <w:tcW w:w="716" w:type="dxa"/>
            <w:tcBorders>
              <w:top w:val="nil"/>
              <w:left w:val="nil"/>
              <w:bottom w:val="nil"/>
              <w:right w:val="nil"/>
            </w:tcBorders>
            <w:shd w:val="clear" w:color="auto" w:fill="auto"/>
            <w:noWrap/>
            <w:vAlign w:val="center"/>
          </w:tcPr>
          <w:p w14:paraId="54B9F90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2.34</w:t>
            </w:r>
          </w:p>
        </w:tc>
        <w:tc>
          <w:tcPr>
            <w:tcW w:w="779" w:type="dxa"/>
            <w:tcBorders>
              <w:top w:val="nil"/>
              <w:left w:val="nil"/>
              <w:bottom w:val="nil"/>
              <w:right w:val="nil"/>
            </w:tcBorders>
            <w:shd w:val="clear" w:color="auto" w:fill="auto"/>
            <w:noWrap/>
            <w:vAlign w:val="center"/>
          </w:tcPr>
          <w:p w14:paraId="6C354FE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0.557</w:t>
            </w:r>
          </w:p>
        </w:tc>
        <w:tc>
          <w:tcPr>
            <w:tcW w:w="1205" w:type="dxa"/>
            <w:tcBorders>
              <w:top w:val="nil"/>
              <w:left w:val="nil"/>
              <w:bottom w:val="nil"/>
              <w:right w:val="nil"/>
            </w:tcBorders>
            <w:shd w:val="clear" w:color="auto" w:fill="auto"/>
            <w:noWrap/>
            <w:vAlign w:val="center"/>
          </w:tcPr>
          <w:p w14:paraId="4C2F5A9A">
            <w:pPr>
              <w:jc w:val="center"/>
              <w:rPr>
                <w:rFonts w:hint="default" w:ascii="Times New Roman" w:hAnsi="Times New Roman" w:eastAsia="宋体" w:cs="Times New Roman"/>
                <w:i w:val="0"/>
                <w:iCs w:val="0"/>
                <w:color w:val="auto"/>
                <w:sz w:val="20"/>
                <w:szCs w:val="20"/>
                <w:u w:val="none"/>
              </w:rPr>
            </w:pPr>
          </w:p>
        </w:tc>
      </w:tr>
      <w:tr w14:paraId="4067E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31E33234">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ALT</w:t>
            </w:r>
          </w:p>
        </w:tc>
        <w:tc>
          <w:tcPr>
            <w:tcW w:w="705" w:type="dxa"/>
            <w:tcBorders>
              <w:top w:val="nil"/>
              <w:left w:val="nil"/>
              <w:bottom w:val="nil"/>
              <w:right w:val="nil"/>
            </w:tcBorders>
            <w:shd w:val="clear" w:color="auto" w:fill="auto"/>
            <w:noWrap/>
            <w:vAlign w:val="center"/>
          </w:tcPr>
          <w:p w14:paraId="245296B1">
            <w:pPr>
              <w:jc w:val="center"/>
              <w:rPr>
                <w:rFonts w:hint="default" w:ascii="Times New Roman" w:hAnsi="Times New Roman" w:eastAsia="宋体" w:cs="Times New Roman"/>
                <w:i w:val="0"/>
                <w:iCs w:val="0"/>
                <w:color w:val="auto"/>
                <w:sz w:val="20"/>
                <w:szCs w:val="20"/>
                <w:u w:val="none"/>
              </w:rPr>
            </w:pPr>
          </w:p>
        </w:tc>
        <w:tc>
          <w:tcPr>
            <w:tcW w:w="816" w:type="dxa"/>
            <w:tcBorders>
              <w:top w:val="nil"/>
              <w:left w:val="nil"/>
              <w:bottom w:val="nil"/>
              <w:right w:val="nil"/>
            </w:tcBorders>
            <w:shd w:val="clear" w:color="auto" w:fill="auto"/>
            <w:noWrap/>
            <w:vAlign w:val="center"/>
          </w:tcPr>
          <w:p w14:paraId="0C9922F0">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37A5348F">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6CD3C7EB">
            <w:pPr>
              <w:jc w:val="center"/>
              <w:rPr>
                <w:rFonts w:hint="default" w:ascii="Times New Roman" w:hAnsi="Times New Roman" w:eastAsia="宋体" w:cs="Times New Roman"/>
                <w:i w:val="0"/>
                <w:iCs w:val="0"/>
                <w:color w:val="auto"/>
                <w:sz w:val="20"/>
                <w:szCs w:val="20"/>
                <w:u w:val="none"/>
              </w:rPr>
            </w:pPr>
          </w:p>
        </w:tc>
        <w:tc>
          <w:tcPr>
            <w:tcW w:w="1108" w:type="dxa"/>
            <w:tcBorders>
              <w:top w:val="nil"/>
              <w:left w:val="nil"/>
              <w:bottom w:val="nil"/>
              <w:right w:val="nil"/>
            </w:tcBorders>
            <w:shd w:val="clear" w:color="auto" w:fill="auto"/>
            <w:noWrap/>
            <w:vAlign w:val="center"/>
          </w:tcPr>
          <w:p w14:paraId="75129596">
            <w:pPr>
              <w:jc w:val="center"/>
              <w:rPr>
                <w:rFonts w:hint="default" w:ascii="Times New Roman" w:hAnsi="Times New Roman" w:eastAsia="宋体" w:cs="Times New Roman"/>
                <w:i w:val="0"/>
                <w:iCs w:val="0"/>
                <w:color w:val="auto"/>
                <w:sz w:val="20"/>
                <w:szCs w:val="20"/>
                <w:u w:val="none"/>
              </w:rPr>
            </w:pPr>
          </w:p>
        </w:tc>
        <w:tc>
          <w:tcPr>
            <w:tcW w:w="738" w:type="dxa"/>
            <w:tcBorders>
              <w:top w:val="nil"/>
              <w:left w:val="nil"/>
              <w:bottom w:val="nil"/>
              <w:right w:val="nil"/>
            </w:tcBorders>
            <w:shd w:val="clear" w:color="auto" w:fill="auto"/>
            <w:noWrap/>
            <w:vAlign w:val="center"/>
          </w:tcPr>
          <w:p w14:paraId="5308343A">
            <w:pPr>
              <w:jc w:val="center"/>
              <w:rPr>
                <w:rFonts w:hint="default" w:ascii="Times New Roman" w:hAnsi="Times New Roman" w:eastAsia="宋体" w:cs="Times New Roman"/>
                <w:i w:val="0"/>
                <w:iCs w:val="0"/>
                <w:color w:val="auto"/>
                <w:sz w:val="20"/>
                <w:szCs w:val="20"/>
                <w:u w:val="none"/>
              </w:rPr>
            </w:pPr>
          </w:p>
        </w:tc>
        <w:tc>
          <w:tcPr>
            <w:tcW w:w="716" w:type="dxa"/>
            <w:tcBorders>
              <w:top w:val="nil"/>
              <w:left w:val="nil"/>
              <w:bottom w:val="nil"/>
              <w:right w:val="nil"/>
            </w:tcBorders>
            <w:shd w:val="clear" w:color="auto" w:fill="auto"/>
            <w:noWrap/>
            <w:vAlign w:val="center"/>
          </w:tcPr>
          <w:p w14:paraId="30967820">
            <w:pPr>
              <w:jc w:val="center"/>
              <w:rPr>
                <w:rFonts w:hint="default" w:ascii="Times New Roman" w:hAnsi="Times New Roman" w:eastAsia="宋体" w:cs="Times New Roman"/>
                <w:i w:val="0"/>
                <w:iCs w:val="0"/>
                <w:color w:val="auto"/>
                <w:sz w:val="20"/>
                <w:szCs w:val="20"/>
                <w:u w:val="none"/>
              </w:rPr>
            </w:pPr>
          </w:p>
        </w:tc>
        <w:tc>
          <w:tcPr>
            <w:tcW w:w="779" w:type="dxa"/>
            <w:tcBorders>
              <w:top w:val="nil"/>
              <w:left w:val="nil"/>
              <w:bottom w:val="nil"/>
              <w:right w:val="nil"/>
            </w:tcBorders>
            <w:shd w:val="clear" w:color="auto" w:fill="auto"/>
            <w:noWrap/>
            <w:vAlign w:val="center"/>
          </w:tcPr>
          <w:p w14:paraId="19E30001">
            <w:pPr>
              <w:jc w:val="center"/>
              <w:rPr>
                <w:rFonts w:hint="default" w:ascii="Times New Roman" w:hAnsi="Times New Roman" w:eastAsia="宋体" w:cs="Times New Roman"/>
                <w:i w:val="0"/>
                <w:iCs w:val="0"/>
                <w:color w:val="auto"/>
                <w:sz w:val="20"/>
                <w:szCs w:val="20"/>
                <w:u w:val="none"/>
              </w:rPr>
            </w:pPr>
          </w:p>
        </w:tc>
        <w:tc>
          <w:tcPr>
            <w:tcW w:w="1205" w:type="dxa"/>
            <w:tcBorders>
              <w:top w:val="nil"/>
              <w:left w:val="nil"/>
              <w:bottom w:val="nil"/>
              <w:right w:val="nil"/>
            </w:tcBorders>
            <w:shd w:val="clear" w:color="auto" w:fill="auto"/>
            <w:noWrap/>
            <w:vAlign w:val="center"/>
          </w:tcPr>
          <w:p w14:paraId="0D2A8A5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default" w:ascii="Times New Roman" w:hAnsi="Times New Roman" w:eastAsia="宋体" w:cs="Times New Roman"/>
                <w:i w:val="0"/>
                <w:iCs w:val="0"/>
                <w:color w:val="auto"/>
                <w:kern w:val="0"/>
                <w:sz w:val="20"/>
                <w:szCs w:val="20"/>
                <w:u w:val="none"/>
                <w:lang w:val="en-US" w:eastAsia="zh-CN" w:bidi="ar"/>
              </w:rPr>
              <w:t>0.31</w:t>
            </w:r>
            <w:r>
              <w:rPr>
                <w:rFonts w:hint="eastAsia" w:ascii="Times New Roman" w:hAnsi="Times New Roman" w:eastAsia="宋体" w:cs="Times New Roman"/>
                <w:i w:val="0"/>
                <w:iCs w:val="0"/>
                <w:color w:val="auto"/>
                <w:kern w:val="0"/>
                <w:sz w:val="20"/>
                <w:szCs w:val="20"/>
                <w:u w:val="none"/>
                <w:lang w:val="en-US" w:eastAsia="zh-CN" w:bidi="ar"/>
              </w:rPr>
              <w:t>0</w:t>
            </w:r>
          </w:p>
        </w:tc>
      </w:tr>
      <w:tr w14:paraId="3F418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5E7398CA">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&lt;80 U/L</w:t>
            </w:r>
          </w:p>
        </w:tc>
        <w:tc>
          <w:tcPr>
            <w:tcW w:w="705" w:type="dxa"/>
            <w:tcBorders>
              <w:top w:val="nil"/>
              <w:left w:val="nil"/>
              <w:bottom w:val="nil"/>
              <w:right w:val="nil"/>
            </w:tcBorders>
            <w:shd w:val="clear" w:color="auto" w:fill="auto"/>
            <w:noWrap/>
            <w:vAlign w:val="center"/>
          </w:tcPr>
          <w:p w14:paraId="1981F48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1047</w:t>
            </w:r>
          </w:p>
        </w:tc>
        <w:tc>
          <w:tcPr>
            <w:tcW w:w="816" w:type="dxa"/>
            <w:tcBorders>
              <w:top w:val="nil"/>
              <w:left w:val="nil"/>
              <w:bottom w:val="nil"/>
              <w:right w:val="nil"/>
            </w:tcBorders>
            <w:shd w:val="clear" w:color="auto" w:fill="auto"/>
            <w:noWrap/>
            <w:vAlign w:val="center"/>
          </w:tcPr>
          <w:p w14:paraId="5312E2E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89.2</w:t>
            </w:r>
          </w:p>
        </w:tc>
        <w:tc>
          <w:tcPr>
            <w:tcW w:w="1128" w:type="dxa"/>
            <w:tcBorders>
              <w:top w:val="nil"/>
              <w:left w:val="nil"/>
              <w:bottom w:val="nil"/>
              <w:right w:val="nil"/>
            </w:tcBorders>
            <w:shd w:val="clear" w:color="auto" w:fill="auto"/>
            <w:noWrap/>
            <w:vAlign w:val="center"/>
          </w:tcPr>
          <w:p w14:paraId="0C36489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413</w:t>
            </w:r>
          </w:p>
        </w:tc>
        <w:tc>
          <w:tcPr>
            <w:tcW w:w="1128" w:type="dxa"/>
            <w:tcBorders>
              <w:top w:val="nil"/>
              <w:left w:val="nil"/>
              <w:bottom w:val="nil"/>
              <w:right w:val="nil"/>
            </w:tcBorders>
            <w:shd w:val="clear" w:color="auto" w:fill="auto"/>
            <w:noWrap/>
            <w:vAlign w:val="center"/>
          </w:tcPr>
          <w:p w14:paraId="6585C6E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634</w:t>
            </w:r>
          </w:p>
        </w:tc>
        <w:tc>
          <w:tcPr>
            <w:tcW w:w="1108" w:type="dxa"/>
            <w:tcBorders>
              <w:top w:val="nil"/>
              <w:left w:val="nil"/>
              <w:bottom w:val="nil"/>
              <w:right w:val="nil"/>
            </w:tcBorders>
            <w:shd w:val="clear" w:color="auto" w:fill="auto"/>
            <w:noWrap/>
            <w:vAlign w:val="center"/>
          </w:tcPr>
          <w:p w14:paraId="4E17222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1.68</w:t>
            </w:r>
          </w:p>
        </w:tc>
        <w:tc>
          <w:tcPr>
            <w:tcW w:w="738" w:type="dxa"/>
            <w:tcBorders>
              <w:top w:val="nil"/>
              <w:left w:val="nil"/>
              <w:bottom w:val="nil"/>
              <w:right w:val="nil"/>
            </w:tcBorders>
            <w:shd w:val="clear" w:color="auto" w:fill="auto"/>
            <w:noWrap/>
            <w:vAlign w:val="center"/>
          </w:tcPr>
          <w:p w14:paraId="6E93C64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w:t>
            </w:r>
          </w:p>
        </w:tc>
        <w:tc>
          <w:tcPr>
            <w:tcW w:w="716" w:type="dxa"/>
            <w:tcBorders>
              <w:top w:val="nil"/>
              <w:left w:val="nil"/>
              <w:bottom w:val="nil"/>
              <w:right w:val="nil"/>
            </w:tcBorders>
            <w:shd w:val="clear" w:color="auto" w:fill="auto"/>
            <w:noWrap/>
            <w:vAlign w:val="center"/>
          </w:tcPr>
          <w:p w14:paraId="5F2CBC1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2.01</w:t>
            </w:r>
          </w:p>
        </w:tc>
        <w:tc>
          <w:tcPr>
            <w:tcW w:w="779" w:type="dxa"/>
            <w:tcBorders>
              <w:top w:val="nil"/>
              <w:left w:val="nil"/>
              <w:bottom w:val="nil"/>
              <w:right w:val="nil"/>
            </w:tcBorders>
            <w:shd w:val="clear" w:color="auto" w:fill="auto"/>
            <w:noWrap/>
            <w:vAlign w:val="center"/>
          </w:tcPr>
          <w:p w14:paraId="16F9520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1205" w:type="dxa"/>
            <w:tcBorders>
              <w:top w:val="nil"/>
              <w:left w:val="nil"/>
              <w:bottom w:val="nil"/>
              <w:right w:val="nil"/>
            </w:tcBorders>
            <w:shd w:val="clear" w:color="auto" w:fill="auto"/>
            <w:noWrap/>
            <w:vAlign w:val="center"/>
          </w:tcPr>
          <w:p w14:paraId="67A442F2">
            <w:pPr>
              <w:jc w:val="center"/>
              <w:rPr>
                <w:rFonts w:hint="default" w:ascii="Times New Roman" w:hAnsi="Times New Roman" w:eastAsia="宋体" w:cs="Times New Roman"/>
                <w:i w:val="0"/>
                <w:iCs w:val="0"/>
                <w:color w:val="auto"/>
                <w:sz w:val="20"/>
                <w:szCs w:val="20"/>
                <w:u w:val="none"/>
              </w:rPr>
            </w:pPr>
          </w:p>
        </w:tc>
      </w:tr>
      <w:tr w14:paraId="3FBAB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00C8C7BD">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≥80 U/L</w:t>
            </w:r>
          </w:p>
        </w:tc>
        <w:tc>
          <w:tcPr>
            <w:tcW w:w="705" w:type="dxa"/>
            <w:tcBorders>
              <w:top w:val="nil"/>
              <w:left w:val="nil"/>
              <w:bottom w:val="nil"/>
              <w:right w:val="nil"/>
            </w:tcBorders>
            <w:shd w:val="clear" w:color="auto" w:fill="auto"/>
            <w:noWrap/>
            <w:vAlign w:val="center"/>
          </w:tcPr>
          <w:p w14:paraId="3E7080A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127</w:t>
            </w:r>
          </w:p>
        </w:tc>
        <w:tc>
          <w:tcPr>
            <w:tcW w:w="816" w:type="dxa"/>
            <w:tcBorders>
              <w:top w:val="nil"/>
              <w:left w:val="nil"/>
              <w:bottom w:val="nil"/>
              <w:right w:val="nil"/>
            </w:tcBorders>
            <w:shd w:val="clear" w:color="auto" w:fill="auto"/>
            <w:noWrap/>
            <w:vAlign w:val="center"/>
          </w:tcPr>
          <w:p w14:paraId="1E78A52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10.8</w:t>
            </w:r>
          </w:p>
        </w:tc>
        <w:tc>
          <w:tcPr>
            <w:tcW w:w="1128" w:type="dxa"/>
            <w:tcBorders>
              <w:top w:val="nil"/>
              <w:left w:val="nil"/>
              <w:bottom w:val="nil"/>
              <w:right w:val="nil"/>
            </w:tcBorders>
            <w:shd w:val="clear" w:color="auto" w:fill="auto"/>
            <w:noWrap/>
            <w:vAlign w:val="center"/>
          </w:tcPr>
          <w:p w14:paraId="3A7512C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33</w:t>
            </w:r>
          </w:p>
        </w:tc>
        <w:tc>
          <w:tcPr>
            <w:tcW w:w="1128" w:type="dxa"/>
            <w:tcBorders>
              <w:top w:val="nil"/>
              <w:left w:val="nil"/>
              <w:bottom w:val="nil"/>
              <w:right w:val="nil"/>
            </w:tcBorders>
            <w:shd w:val="clear" w:color="auto" w:fill="auto"/>
            <w:noWrap/>
            <w:vAlign w:val="center"/>
          </w:tcPr>
          <w:p w14:paraId="0A90556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94</w:t>
            </w:r>
          </w:p>
        </w:tc>
        <w:tc>
          <w:tcPr>
            <w:tcW w:w="1108" w:type="dxa"/>
            <w:tcBorders>
              <w:top w:val="nil"/>
              <w:left w:val="nil"/>
              <w:bottom w:val="nil"/>
              <w:right w:val="nil"/>
            </w:tcBorders>
            <w:shd w:val="clear" w:color="auto" w:fill="auto"/>
            <w:noWrap/>
            <w:vAlign w:val="center"/>
          </w:tcPr>
          <w:p w14:paraId="1C76B78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1.25</w:t>
            </w:r>
          </w:p>
        </w:tc>
        <w:tc>
          <w:tcPr>
            <w:tcW w:w="738" w:type="dxa"/>
            <w:tcBorders>
              <w:top w:val="nil"/>
              <w:left w:val="nil"/>
              <w:bottom w:val="nil"/>
              <w:right w:val="nil"/>
            </w:tcBorders>
            <w:shd w:val="clear" w:color="auto" w:fill="auto"/>
            <w:noWrap/>
            <w:vAlign w:val="center"/>
          </w:tcPr>
          <w:p w14:paraId="2C29EDA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0.71</w:t>
            </w:r>
          </w:p>
        </w:tc>
        <w:tc>
          <w:tcPr>
            <w:tcW w:w="716" w:type="dxa"/>
            <w:tcBorders>
              <w:top w:val="nil"/>
              <w:left w:val="nil"/>
              <w:bottom w:val="nil"/>
              <w:right w:val="nil"/>
            </w:tcBorders>
            <w:shd w:val="clear" w:color="auto" w:fill="auto"/>
            <w:noWrap/>
            <w:vAlign w:val="center"/>
          </w:tcPr>
          <w:p w14:paraId="3BC6218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2.19</w:t>
            </w:r>
          </w:p>
        </w:tc>
        <w:tc>
          <w:tcPr>
            <w:tcW w:w="779" w:type="dxa"/>
            <w:tcBorders>
              <w:top w:val="nil"/>
              <w:left w:val="nil"/>
              <w:bottom w:val="nil"/>
              <w:right w:val="nil"/>
            </w:tcBorders>
            <w:shd w:val="clear" w:color="auto" w:fill="auto"/>
            <w:noWrap/>
            <w:vAlign w:val="center"/>
          </w:tcPr>
          <w:p w14:paraId="689405D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0.435</w:t>
            </w:r>
          </w:p>
        </w:tc>
        <w:tc>
          <w:tcPr>
            <w:tcW w:w="1205" w:type="dxa"/>
            <w:tcBorders>
              <w:top w:val="nil"/>
              <w:left w:val="nil"/>
              <w:bottom w:val="nil"/>
              <w:right w:val="nil"/>
            </w:tcBorders>
            <w:shd w:val="clear" w:color="auto" w:fill="auto"/>
            <w:noWrap/>
            <w:vAlign w:val="center"/>
          </w:tcPr>
          <w:p w14:paraId="32EABBE4">
            <w:pPr>
              <w:jc w:val="center"/>
              <w:rPr>
                <w:rFonts w:hint="default" w:ascii="Times New Roman" w:hAnsi="Times New Roman" w:eastAsia="宋体" w:cs="Times New Roman"/>
                <w:i w:val="0"/>
                <w:iCs w:val="0"/>
                <w:color w:val="auto"/>
                <w:sz w:val="20"/>
                <w:szCs w:val="20"/>
                <w:u w:val="none"/>
              </w:rPr>
            </w:pPr>
          </w:p>
        </w:tc>
      </w:tr>
      <w:tr w14:paraId="76B1F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2B43BEFB">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Total bilirubin</w:t>
            </w:r>
          </w:p>
        </w:tc>
        <w:tc>
          <w:tcPr>
            <w:tcW w:w="705" w:type="dxa"/>
            <w:tcBorders>
              <w:top w:val="nil"/>
              <w:left w:val="nil"/>
              <w:bottom w:val="nil"/>
              <w:right w:val="nil"/>
            </w:tcBorders>
            <w:shd w:val="clear" w:color="auto" w:fill="auto"/>
            <w:noWrap/>
            <w:vAlign w:val="center"/>
          </w:tcPr>
          <w:p w14:paraId="7C2A024F">
            <w:pPr>
              <w:jc w:val="center"/>
              <w:rPr>
                <w:rFonts w:hint="default" w:ascii="Times New Roman" w:hAnsi="Times New Roman" w:eastAsia="宋体" w:cs="Times New Roman"/>
                <w:i w:val="0"/>
                <w:iCs w:val="0"/>
                <w:color w:val="auto"/>
                <w:sz w:val="20"/>
                <w:szCs w:val="20"/>
                <w:u w:val="none"/>
              </w:rPr>
            </w:pPr>
          </w:p>
        </w:tc>
        <w:tc>
          <w:tcPr>
            <w:tcW w:w="816" w:type="dxa"/>
            <w:tcBorders>
              <w:top w:val="nil"/>
              <w:left w:val="nil"/>
              <w:bottom w:val="nil"/>
              <w:right w:val="nil"/>
            </w:tcBorders>
            <w:shd w:val="clear" w:color="auto" w:fill="auto"/>
            <w:noWrap/>
            <w:vAlign w:val="center"/>
          </w:tcPr>
          <w:p w14:paraId="027BB9E5">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650BA68A">
            <w:pPr>
              <w:jc w:val="center"/>
              <w:rPr>
                <w:rFonts w:hint="default" w:ascii="Times New Roman" w:hAnsi="Times New Roman" w:eastAsia="宋体" w:cs="Times New Roman"/>
                <w:i w:val="0"/>
                <w:iCs w:val="0"/>
                <w:color w:val="auto"/>
                <w:sz w:val="20"/>
                <w:szCs w:val="20"/>
                <w:u w:val="none"/>
              </w:rPr>
            </w:pPr>
          </w:p>
        </w:tc>
        <w:tc>
          <w:tcPr>
            <w:tcW w:w="1128" w:type="dxa"/>
            <w:tcBorders>
              <w:top w:val="nil"/>
              <w:left w:val="nil"/>
              <w:bottom w:val="nil"/>
              <w:right w:val="nil"/>
            </w:tcBorders>
            <w:shd w:val="clear" w:color="auto" w:fill="auto"/>
            <w:noWrap/>
            <w:vAlign w:val="center"/>
          </w:tcPr>
          <w:p w14:paraId="2CA9B634">
            <w:pPr>
              <w:jc w:val="center"/>
              <w:rPr>
                <w:rFonts w:hint="default" w:ascii="Times New Roman" w:hAnsi="Times New Roman" w:eastAsia="宋体" w:cs="Times New Roman"/>
                <w:i w:val="0"/>
                <w:iCs w:val="0"/>
                <w:color w:val="auto"/>
                <w:sz w:val="20"/>
                <w:szCs w:val="20"/>
                <w:u w:val="none"/>
              </w:rPr>
            </w:pPr>
          </w:p>
        </w:tc>
        <w:tc>
          <w:tcPr>
            <w:tcW w:w="1108" w:type="dxa"/>
            <w:tcBorders>
              <w:top w:val="nil"/>
              <w:left w:val="nil"/>
              <w:bottom w:val="nil"/>
              <w:right w:val="nil"/>
            </w:tcBorders>
            <w:shd w:val="clear" w:color="auto" w:fill="auto"/>
            <w:noWrap/>
            <w:vAlign w:val="center"/>
          </w:tcPr>
          <w:p w14:paraId="17D6D887">
            <w:pPr>
              <w:jc w:val="center"/>
              <w:rPr>
                <w:rFonts w:hint="default" w:ascii="Times New Roman" w:hAnsi="Times New Roman" w:eastAsia="宋体" w:cs="Times New Roman"/>
                <w:i w:val="0"/>
                <w:iCs w:val="0"/>
                <w:color w:val="auto"/>
                <w:sz w:val="20"/>
                <w:szCs w:val="20"/>
                <w:u w:val="none"/>
              </w:rPr>
            </w:pPr>
          </w:p>
        </w:tc>
        <w:tc>
          <w:tcPr>
            <w:tcW w:w="738" w:type="dxa"/>
            <w:tcBorders>
              <w:top w:val="nil"/>
              <w:left w:val="nil"/>
              <w:bottom w:val="nil"/>
              <w:right w:val="nil"/>
            </w:tcBorders>
            <w:shd w:val="clear" w:color="auto" w:fill="auto"/>
            <w:noWrap/>
            <w:vAlign w:val="center"/>
          </w:tcPr>
          <w:p w14:paraId="7A3C04B3">
            <w:pPr>
              <w:jc w:val="center"/>
              <w:rPr>
                <w:rFonts w:hint="default" w:ascii="Times New Roman" w:hAnsi="Times New Roman" w:eastAsia="宋体" w:cs="Times New Roman"/>
                <w:i w:val="0"/>
                <w:iCs w:val="0"/>
                <w:color w:val="auto"/>
                <w:sz w:val="20"/>
                <w:szCs w:val="20"/>
                <w:u w:val="none"/>
              </w:rPr>
            </w:pPr>
          </w:p>
        </w:tc>
        <w:tc>
          <w:tcPr>
            <w:tcW w:w="716" w:type="dxa"/>
            <w:tcBorders>
              <w:top w:val="nil"/>
              <w:left w:val="nil"/>
              <w:bottom w:val="nil"/>
              <w:right w:val="nil"/>
            </w:tcBorders>
            <w:shd w:val="clear" w:color="auto" w:fill="auto"/>
            <w:noWrap/>
            <w:vAlign w:val="center"/>
          </w:tcPr>
          <w:p w14:paraId="3E0A87A8">
            <w:pPr>
              <w:jc w:val="center"/>
              <w:rPr>
                <w:rFonts w:hint="default" w:ascii="Times New Roman" w:hAnsi="Times New Roman" w:eastAsia="宋体" w:cs="Times New Roman"/>
                <w:i w:val="0"/>
                <w:iCs w:val="0"/>
                <w:color w:val="auto"/>
                <w:sz w:val="20"/>
                <w:szCs w:val="20"/>
                <w:u w:val="none"/>
              </w:rPr>
            </w:pPr>
          </w:p>
        </w:tc>
        <w:tc>
          <w:tcPr>
            <w:tcW w:w="779" w:type="dxa"/>
            <w:tcBorders>
              <w:top w:val="nil"/>
              <w:left w:val="nil"/>
              <w:bottom w:val="nil"/>
              <w:right w:val="nil"/>
            </w:tcBorders>
            <w:shd w:val="clear" w:color="auto" w:fill="auto"/>
            <w:noWrap/>
            <w:vAlign w:val="center"/>
          </w:tcPr>
          <w:p w14:paraId="53924DB0">
            <w:pPr>
              <w:jc w:val="center"/>
              <w:rPr>
                <w:rFonts w:hint="default" w:ascii="Times New Roman" w:hAnsi="Times New Roman" w:eastAsia="宋体" w:cs="Times New Roman"/>
                <w:i w:val="0"/>
                <w:iCs w:val="0"/>
                <w:color w:val="auto"/>
                <w:sz w:val="20"/>
                <w:szCs w:val="20"/>
                <w:u w:val="none"/>
              </w:rPr>
            </w:pPr>
          </w:p>
        </w:tc>
        <w:tc>
          <w:tcPr>
            <w:tcW w:w="1205" w:type="dxa"/>
            <w:tcBorders>
              <w:top w:val="nil"/>
              <w:left w:val="nil"/>
              <w:bottom w:val="nil"/>
              <w:right w:val="nil"/>
            </w:tcBorders>
            <w:shd w:val="clear" w:color="auto" w:fill="auto"/>
            <w:noWrap/>
            <w:vAlign w:val="center"/>
          </w:tcPr>
          <w:p w14:paraId="2A021D1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default" w:ascii="Times New Roman" w:hAnsi="Times New Roman" w:eastAsia="宋体" w:cs="Times New Roman"/>
                <w:i w:val="0"/>
                <w:iCs w:val="0"/>
                <w:color w:val="auto"/>
                <w:kern w:val="0"/>
                <w:sz w:val="20"/>
                <w:szCs w:val="20"/>
                <w:u w:val="none"/>
                <w:lang w:val="en-US" w:eastAsia="zh-CN" w:bidi="ar"/>
              </w:rPr>
              <w:t>0.54</w:t>
            </w:r>
            <w:r>
              <w:rPr>
                <w:rFonts w:hint="eastAsia" w:ascii="Times New Roman" w:hAnsi="Times New Roman" w:eastAsia="宋体" w:cs="Times New Roman"/>
                <w:i w:val="0"/>
                <w:iCs w:val="0"/>
                <w:color w:val="auto"/>
                <w:kern w:val="0"/>
                <w:sz w:val="20"/>
                <w:szCs w:val="20"/>
                <w:u w:val="none"/>
                <w:lang w:val="en-US" w:eastAsia="zh-CN" w:bidi="ar"/>
              </w:rPr>
              <w:t>0</w:t>
            </w:r>
          </w:p>
        </w:tc>
      </w:tr>
      <w:tr w14:paraId="4CD8C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nil"/>
              <w:right w:val="nil"/>
            </w:tcBorders>
            <w:shd w:val="clear" w:color="auto" w:fill="auto"/>
            <w:noWrap/>
            <w:vAlign w:val="center"/>
          </w:tcPr>
          <w:p w14:paraId="5729C93F">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&lt;17.1 μmol/L</w:t>
            </w:r>
          </w:p>
        </w:tc>
        <w:tc>
          <w:tcPr>
            <w:tcW w:w="705" w:type="dxa"/>
            <w:tcBorders>
              <w:top w:val="nil"/>
              <w:left w:val="nil"/>
              <w:bottom w:val="nil"/>
              <w:right w:val="nil"/>
            </w:tcBorders>
            <w:shd w:val="clear" w:color="auto" w:fill="auto"/>
            <w:noWrap/>
            <w:vAlign w:val="center"/>
          </w:tcPr>
          <w:p w14:paraId="45B921B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872</w:t>
            </w:r>
          </w:p>
        </w:tc>
        <w:tc>
          <w:tcPr>
            <w:tcW w:w="816" w:type="dxa"/>
            <w:tcBorders>
              <w:top w:val="nil"/>
              <w:left w:val="nil"/>
              <w:bottom w:val="nil"/>
              <w:right w:val="nil"/>
            </w:tcBorders>
            <w:shd w:val="clear" w:color="auto" w:fill="auto"/>
            <w:noWrap/>
            <w:vAlign w:val="center"/>
          </w:tcPr>
          <w:p w14:paraId="0808256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74.3</w:t>
            </w:r>
          </w:p>
        </w:tc>
        <w:tc>
          <w:tcPr>
            <w:tcW w:w="1128" w:type="dxa"/>
            <w:tcBorders>
              <w:top w:val="nil"/>
              <w:left w:val="nil"/>
              <w:bottom w:val="nil"/>
              <w:right w:val="nil"/>
            </w:tcBorders>
            <w:shd w:val="clear" w:color="auto" w:fill="auto"/>
            <w:noWrap/>
            <w:vAlign w:val="center"/>
          </w:tcPr>
          <w:p w14:paraId="5C7083C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342</w:t>
            </w:r>
          </w:p>
        </w:tc>
        <w:tc>
          <w:tcPr>
            <w:tcW w:w="1128" w:type="dxa"/>
            <w:tcBorders>
              <w:top w:val="nil"/>
              <w:left w:val="nil"/>
              <w:bottom w:val="nil"/>
              <w:right w:val="nil"/>
            </w:tcBorders>
            <w:shd w:val="clear" w:color="auto" w:fill="auto"/>
            <w:noWrap/>
            <w:vAlign w:val="center"/>
          </w:tcPr>
          <w:p w14:paraId="449D17F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530</w:t>
            </w:r>
          </w:p>
        </w:tc>
        <w:tc>
          <w:tcPr>
            <w:tcW w:w="1108" w:type="dxa"/>
            <w:tcBorders>
              <w:top w:val="nil"/>
              <w:left w:val="nil"/>
              <w:bottom w:val="nil"/>
              <w:right w:val="nil"/>
            </w:tcBorders>
            <w:shd w:val="clear" w:color="auto" w:fill="auto"/>
            <w:noWrap/>
            <w:vAlign w:val="center"/>
          </w:tcPr>
          <w:p w14:paraId="4FE8EC4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1.67</w:t>
            </w:r>
          </w:p>
        </w:tc>
        <w:tc>
          <w:tcPr>
            <w:tcW w:w="738" w:type="dxa"/>
            <w:tcBorders>
              <w:top w:val="nil"/>
              <w:left w:val="nil"/>
              <w:bottom w:val="nil"/>
              <w:right w:val="nil"/>
            </w:tcBorders>
            <w:shd w:val="clear" w:color="auto" w:fill="auto"/>
            <w:noWrap/>
            <w:vAlign w:val="center"/>
          </w:tcPr>
          <w:p w14:paraId="09549CB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1.37</w:t>
            </w:r>
          </w:p>
        </w:tc>
        <w:tc>
          <w:tcPr>
            <w:tcW w:w="716" w:type="dxa"/>
            <w:tcBorders>
              <w:top w:val="nil"/>
              <w:left w:val="nil"/>
              <w:bottom w:val="nil"/>
              <w:right w:val="nil"/>
            </w:tcBorders>
            <w:shd w:val="clear" w:color="auto" w:fill="auto"/>
            <w:noWrap/>
            <w:vAlign w:val="center"/>
          </w:tcPr>
          <w:p w14:paraId="50B166C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2.04</w:t>
            </w:r>
          </w:p>
        </w:tc>
        <w:tc>
          <w:tcPr>
            <w:tcW w:w="779" w:type="dxa"/>
            <w:tcBorders>
              <w:top w:val="nil"/>
              <w:left w:val="nil"/>
              <w:bottom w:val="nil"/>
              <w:right w:val="nil"/>
            </w:tcBorders>
            <w:shd w:val="clear" w:color="auto" w:fill="auto"/>
            <w:noWrap/>
            <w:vAlign w:val="center"/>
          </w:tcPr>
          <w:p w14:paraId="6447512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&lt;0.001</w:t>
            </w:r>
          </w:p>
        </w:tc>
        <w:tc>
          <w:tcPr>
            <w:tcW w:w="1205" w:type="dxa"/>
            <w:tcBorders>
              <w:top w:val="nil"/>
              <w:left w:val="nil"/>
              <w:bottom w:val="nil"/>
              <w:right w:val="nil"/>
            </w:tcBorders>
            <w:shd w:val="clear" w:color="auto" w:fill="auto"/>
            <w:noWrap/>
            <w:vAlign w:val="center"/>
          </w:tcPr>
          <w:p w14:paraId="74C67C0E">
            <w:pPr>
              <w:jc w:val="center"/>
              <w:rPr>
                <w:rFonts w:hint="default" w:ascii="Times New Roman" w:hAnsi="Times New Roman" w:eastAsia="宋体" w:cs="Times New Roman"/>
                <w:i w:val="0"/>
                <w:iCs w:val="0"/>
                <w:color w:val="auto"/>
                <w:sz w:val="20"/>
                <w:szCs w:val="20"/>
                <w:u w:val="none"/>
              </w:rPr>
            </w:pPr>
          </w:p>
        </w:tc>
      </w:tr>
      <w:tr w14:paraId="6B54E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65" w:type="dxa"/>
            <w:tcBorders>
              <w:top w:val="nil"/>
              <w:left w:val="nil"/>
              <w:bottom w:val="single" w:color="auto" w:sz="4" w:space="0"/>
              <w:right w:val="nil"/>
            </w:tcBorders>
            <w:shd w:val="clear" w:color="auto" w:fill="auto"/>
            <w:noWrap/>
            <w:vAlign w:val="center"/>
          </w:tcPr>
          <w:p w14:paraId="2E41231C">
            <w:pPr>
              <w:keepNext w:val="0"/>
              <w:keepLines w:val="0"/>
              <w:widowControl/>
              <w:suppressLineNumbers w:val="0"/>
              <w:jc w:val="left"/>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≥17.1 μmol/L</w:t>
            </w:r>
          </w:p>
        </w:tc>
        <w:tc>
          <w:tcPr>
            <w:tcW w:w="705" w:type="dxa"/>
            <w:tcBorders>
              <w:top w:val="nil"/>
              <w:left w:val="nil"/>
              <w:bottom w:val="single" w:color="auto" w:sz="4" w:space="0"/>
              <w:right w:val="nil"/>
            </w:tcBorders>
            <w:shd w:val="clear" w:color="auto" w:fill="auto"/>
            <w:noWrap/>
            <w:vAlign w:val="center"/>
          </w:tcPr>
          <w:p w14:paraId="3BA24C3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302</w:t>
            </w:r>
          </w:p>
        </w:tc>
        <w:tc>
          <w:tcPr>
            <w:tcW w:w="816" w:type="dxa"/>
            <w:tcBorders>
              <w:top w:val="nil"/>
              <w:left w:val="nil"/>
              <w:bottom w:val="single" w:color="auto" w:sz="4" w:space="0"/>
              <w:right w:val="nil"/>
            </w:tcBorders>
            <w:shd w:val="clear" w:color="auto" w:fill="auto"/>
            <w:noWrap/>
            <w:vAlign w:val="center"/>
          </w:tcPr>
          <w:p w14:paraId="761DF2E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25.7</w:t>
            </w:r>
          </w:p>
        </w:tc>
        <w:tc>
          <w:tcPr>
            <w:tcW w:w="1128" w:type="dxa"/>
            <w:tcBorders>
              <w:top w:val="nil"/>
              <w:left w:val="nil"/>
              <w:bottom w:val="single" w:color="auto" w:sz="4" w:space="0"/>
              <w:right w:val="nil"/>
            </w:tcBorders>
            <w:shd w:val="clear" w:color="auto" w:fill="auto"/>
            <w:noWrap/>
            <w:vAlign w:val="center"/>
          </w:tcPr>
          <w:p w14:paraId="03F4161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104</w:t>
            </w:r>
          </w:p>
        </w:tc>
        <w:tc>
          <w:tcPr>
            <w:tcW w:w="1128" w:type="dxa"/>
            <w:tcBorders>
              <w:top w:val="nil"/>
              <w:left w:val="nil"/>
              <w:bottom w:val="single" w:color="auto" w:sz="4" w:space="0"/>
              <w:right w:val="nil"/>
            </w:tcBorders>
            <w:shd w:val="clear" w:color="auto" w:fill="auto"/>
            <w:noWrap/>
            <w:vAlign w:val="center"/>
          </w:tcPr>
          <w:p w14:paraId="19E72EE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198</w:t>
            </w:r>
          </w:p>
        </w:tc>
        <w:tc>
          <w:tcPr>
            <w:tcW w:w="1108" w:type="dxa"/>
            <w:tcBorders>
              <w:top w:val="nil"/>
              <w:left w:val="nil"/>
              <w:bottom w:val="single" w:color="auto" w:sz="4" w:space="0"/>
              <w:right w:val="nil"/>
            </w:tcBorders>
            <w:shd w:val="clear" w:color="auto" w:fill="auto"/>
            <w:noWrap/>
            <w:vAlign w:val="center"/>
          </w:tcPr>
          <w:p w14:paraId="3CD8F29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1.48</w:t>
            </w:r>
          </w:p>
        </w:tc>
        <w:tc>
          <w:tcPr>
            <w:tcW w:w="738" w:type="dxa"/>
            <w:tcBorders>
              <w:top w:val="nil"/>
              <w:left w:val="nil"/>
              <w:bottom w:val="single" w:color="auto" w:sz="4" w:space="0"/>
              <w:right w:val="nil"/>
            </w:tcBorders>
            <w:shd w:val="clear" w:color="auto" w:fill="auto"/>
            <w:noWrap/>
            <w:vAlign w:val="center"/>
          </w:tcPr>
          <w:p w14:paraId="13DD6FF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1.06</w:t>
            </w:r>
          </w:p>
        </w:tc>
        <w:tc>
          <w:tcPr>
            <w:tcW w:w="716" w:type="dxa"/>
            <w:tcBorders>
              <w:top w:val="nil"/>
              <w:left w:val="nil"/>
              <w:bottom w:val="single" w:color="auto" w:sz="4" w:space="0"/>
              <w:right w:val="nil"/>
            </w:tcBorders>
            <w:shd w:val="clear" w:color="auto" w:fill="auto"/>
            <w:noWrap/>
            <w:vAlign w:val="center"/>
          </w:tcPr>
          <w:p w14:paraId="3165AB4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2.07</w:t>
            </w:r>
          </w:p>
        </w:tc>
        <w:tc>
          <w:tcPr>
            <w:tcW w:w="779" w:type="dxa"/>
            <w:tcBorders>
              <w:top w:val="nil"/>
              <w:left w:val="nil"/>
              <w:bottom w:val="single" w:color="auto" w:sz="4" w:space="0"/>
              <w:right w:val="nil"/>
            </w:tcBorders>
            <w:shd w:val="clear" w:color="auto" w:fill="auto"/>
            <w:noWrap/>
            <w:vAlign w:val="center"/>
          </w:tcPr>
          <w:p w14:paraId="3224B43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0.021</w:t>
            </w:r>
          </w:p>
        </w:tc>
        <w:tc>
          <w:tcPr>
            <w:tcW w:w="1205" w:type="dxa"/>
            <w:tcBorders>
              <w:top w:val="nil"/>
              <w:left w:val="nil"/>
              <w:bottom w:val="single" w:color="auto" w:sz="4" w:space="0"/>
              <w:right w:val="nil"/>
            </w:tcBorders>
            <w:shd w:val="clear" w:color="auto" w:fill="auto"/>
            <w:noWrap/>
            <w:vAlign w:val="center"/>
          </w:tcPr>
          <w:p w14:paraId="6E7B7678">
            <w:pPr>
              <w:jc w:val="center"/>
              <w:rPr>
                <w:rFonts w:hint="default" w:ascii="Times New Roman" w:hAnsi="Times New Roman" w:eastAsia="宋体" w:cs="Times New Roman"/>
                <w:i w:val="0"/>
                <w:iCs w:val="0"/>
                <w:color w:val="auto"/>
                <w:sz w:val="20"/>
                <w:szCs w:val="20"/>
                <w:u w:val="none"/>
              </w:rPr>
            </w:pPr>
          </w:p>
        </w:tc>
      </w:tr>
    </w:tbl>
    <w:p w14:paraId="3B1D5CD7">
      <w:pP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 xml:space="preserve">Abbreviations:HBsAg, hepatitis B surface antigen; AST, aspartate aminotransferase; ALT, alanine aminotransferase; </w:t>
      </w:r>
      <w:r>
        <w:rPr>
          <w:rFonts w:hint="eastAsia" w:ascii="Times New Roman" w:hAnsi="Times New Roman" w:eastAsia="宋体" w:cs="Times New Roman"/>
          <w:color w:val="auto"/>
          <w:sz w:val="20"/>
          <w:szCs w:val="20"/>
          <w:lang w:val="en-US" w:eastAsia="zh-CN"/>
        </w:rPr>
        <w:t xml:space="preserve">PLT, </w:t>
      </w:r>
      <w:r>
        <w:rPr>
          <w:rFonts w:hint="default" w:ascii="Times New Roman" w:hAnsi="Times New Roman" w:eastAsia="宋体" w:cs="Times New Roman"/>
          <w:color w:val="auto"/>
          <w:sz w:val="20"/>
          <w:szCs w:val="20"/>
        </w:rPr>
        <w:t>platelet</w:t>
      </w:r>
      <w:r>
        <w:rPr>
          <w:rFonts w:hint="eastAsia" w:ascii="Times New Roman" w:hAnsi="Times New Roman" w:eastAsia="宋体" w:cs="Times New Roman"/>
          <w:color w:val="auto"/>
          <w:sz w:val="20"/>
          <w:szCs w:val="20"/>
          <w:lang w:val="en-US" w:eastAsia="zh-CN"/>
        </w:rPr>
        <w:t xml:space="preserve">; </w:t>
      </w:r>
      <w:r>
        <w:rPr>
          <w:rFonts w:hint="default" w:ascii="Times New Roman" w:hAnsi="Times New Roman" w:eastAsia="宋体" w:cs="Times New Roman"/>
          <w:color w:val="auto"/>
          <w:sz w:val="20"/>
          <w:szCs w:val="20"/>
        </w:rPr>
        <w:t>APRI, aspartate aminotransferase to platelet ratio index.</w:t>
      </w:r>
    </w:p>
    <w:p w14:paraId="2F3A222D">
      <w:pPr>
        <w:rPr>
          <w:rFonts w:ascii="Calibri" w:hAnsi="Calibri" w:eastAsia="宋体" w:cs="Times New Roman"/>
          <w:color w:val="auto"/>
        </w:rPr>
      </w:pPr>
    </w:p>
    <w:p w14:paraId="006B829C">
      <w:pPr>
        <w:rPr>
          <w:rFonts w:hint="eastAsia" w:ascii="Calibri" w:hAnsi="Calibri" w:eastAsia="宋体" w:cs="Times New Roman"/>
          <w:color w:val="auto"/>
          <w:szCs w:val="22"/>
          <w:lang w:eastAsia="zh-CN"/>
        </w:rPr>
      </w:pPr>
    </w:p>
    <w:p w14:paraId="640107D5">
      <w:pPr>
        <w:rPr>
          <w:rFonts w:hint="eastAsia" w:ascii="Calibri" w:hAnsi="Calibri" w:eastAsia="宋体" w:cs="Times New Roman"/>
          <w:color w:val="auto"/>
          <w:szCs w:val="22"/>
          <w:lang w:eastAsia="zh-CN"/>
        </w:rPr>
      </w:pPr>
    </w:p>
    <w:p w14:paraId="41E68072">
      <w:pPr>
        <w:rPr>
          <w:rFonts w:hint="eastAsia" w:ascii="Calibri" w:hAnsi="Calibri" w:eastAsia="宋体" w:cs="Times New Roman"/>
          <w:color w:val="auto"/>
          <w:szCs w:val="22"/>
          <w:lang w:eastAsia="zh-CN"/>
        </w:rPr>
      </w:pPr>
    </w:p>
    <w:p w14:paraId="2C854722">
      <w:pPr>
        <w:rPr>
          <w:rFonts w:hint="eastAsia" w:ascii="Calibri" w:hAnsi="Calibri" w:eastAsia="宋体" w:cs="Times New Roman"/>
          <w:color w:val="auto"/>
          <w:szCs w:val="22"/>
          <w:lang w:eastAsia="zh-CN"/>
        </w:rPr>
      </w:pPr>
    </w:p>
    <w:p w14:paraId="71C02594">
      <w:pPr>
        <w:rPr>
          <w:rFonts w:hint="eastAsia" w:ascii="Calibri" w:hAnsi="Calibri" w:eastAsia="宋体" w:cs="Times New Roman"/>
          <w:color w:val="auto"/>
          <w:szCs w:val="22"/>
          <w:lang w:eastAsia="zh-CN"/>
        </w:rPr>
      </w:pPr>
    </w:p>
    <w:p w14:paraId="6CFCFD73">
      <w:pPr>
        <w:rPr>
          <w:rFonts w:hint="eastAsia" w:ascii="Calibri" w:hAnsi="Calibri" w:eastAsia="宋体" w:cs="Times New Roman"/>
          <w:color w:val="auto"/>
          <w:szCs w:val="22"/>
          <w:lang w:eastAsia="zh-CN"/>
        </w:rPr>
      </w:pPr>
    </w:p>
    <w:p w14:paraId="1836F7FB">
      <w:pPr>
        <w:rPr>
          <w:rFonts w:hint="eastAsia" w:ascii="Calibri" w:hAnsi="Calibri" w:eastAsia="宋体" w:cs="Times New Roman"/>
          <w:color w:val="auto"/>
          <w:szCs w:val="22"/>
          <w:lang w:eastAsia="zh-CN"/>
        </w:rPr>
      </w:pPr>
    </w:p>
    <w:p w14:paraId="3FC8D871">
      <w:pPr>
        <w:rPr>
          <w:rFonts w:hint="eastAsia" w:ascii="Calibri" w:hAnsi="Calibri" w:eastAsia="宋体" w:cs="Times New Roman"/>
          <w:color w:val="auto"/>
          <w:szCs w:val="22"/>
          <w:lang w:eastAsia="zh-CN"/>
        </w:rPr>
      </w:pPr>
    </w:p>
    <w:p w14:paraId="140BF614">
      <w:pPr>
        <w:rPr>
          <w:rFonts w:hint="eastAsia" w:ascii="Calibri" w:hAnsi="Calibri" w:eastAsia="宋体" w:cs="Times New Roman"/>
          <w:color w:val="auto"/>
          <w:szCs w:val="22"/>
          <w:lang w:eastAsia="zh-CN"/>
        </w:rPr>
      </w:pPr>
    </w:p>
    <w:p w14:paraId="76170941">
      <w:pPr>
        <w:rPr>
          <w:rFonts w:hint="eastAsia" w:ascii="Calibri" w:hAnsi="Calibri" w:eastAsia="宋体" w:cs="Times New Roman"/>
          <w:color w:val="auto"/>
          <w:szCs w:val="22"/>
          <w:lang w:eastAsia="zh-CN"/>
        </w:rPr>
      </w:pPr>
    </w:p>
    <w:p w14:paraId="012B5A4C">
      <w:pPr>
        <w:rPr>
          <w:rFonts w:hint="eastAsia" w:ascii="Calibri" w:hAnsi="Calibri" w:eastAsia="宋体" w:cs="Times New Roman"/>
          <w:color w:val="auto"/>
          <w:szCs w:val="22"/>
          <w:lang w:eastAsia="zh-CN"/>
        </w:rPr>
      </w:pPr>
    </w:p>
    <w:p w14:paraId="7464F2DB">
      <w:pPr>
        <w:rPr>
          <w:rFonts w:hint="eastAsia" w:ascii="Calibri" w:hAnsi="Calibri" w:eastAsia="宋体" w:cs="Times New Roman"/>
          <w:color w:val="auto"/>
          <w:szCs w:val="22"/>
          <w:lang w:eastAsia="zh-CN"/>
        </w:rPr>
      </w:pPr>
    </w:p>
    <w:p w14:paraId="163902D2">
      <w:pPr>
        <w:rPr>
          <w:rFonts w:hint="eastAsia" w:ascii="Calibri" w:hAnsi="Calibri" w:eastAsia="宋体" w:cs="Times New Roman"/>
          <w:color w:val="auto"/>
          <w:szCs w:val="22"/>
          <w:lang w:eastAsia="zh-CN"/>
        </w:rPr>
      </w:pPr>
    </w:p>
    <w:p w14:paraId="003B6352">
      <w:pPr>
        <w:rPr>
          <w:rFonts w:hint="eastAsia" w:ascii="Calibri" w:hAnsi="Calibri" w:eastAsia="宋体" w:cs="Times New Roman"/>
          <w:color w:val="auto"/>
          <w:szCs w:val="22"/>
          <w:lang w:eastAsia="zh-CN"/>
        </w:rPr>
      </w:pPr>
    </w:p>
    <w:p w14:paraId="3429CCFA">
      <w:pPr>
        <w:rPr>
          <w:rFonts w:hint="eastAsia" w:ascii="Calibri" w:hAnsi="Calibri" w:eastAsia="宋体" w:cs="Times New Roman"/>
          <w:color w:val="auto"/>
          <w:szCs w:val="22"/>
          <w:lang w:eastAsia="zh-CN"/>
        </w:rPr>
      </w:pPr>
    </w:p>
    <w:p w14:paraId="72CF8FA3">
      <w:pPr>
        <w:rPr>
          <w:rFonts w:hint="eastAsia" w:ascii="Calibri" w:hAnsi="Calibri" w:eastAsia="宋体" w:cs="Times New Roman"/>
          <w:color w:val="auto"/>
          <w:szCs w:val="22"/>
          <w:lang w:eastAsia="zh-CN"/>
        </w:rPr>
      </w:pPr>
    </w:p>
    <w:p w14:paraId="308BEDA2">
      <w:pPr>
        <w:rPr>
          <w:rFonts w:hint="eastAsia" w:ascii="Calibri" w:hAnsi="Calibri" w:eastAsia="宋体" w:cs="Times New Roman"/>
          <w:color w:val="auto"/>
          <w:szCs w:val="22"/>
          <w:lang w:eastAsia="zh-CN"/>
        </w:rPr>
      </w:pPr>
    </w:p>
    <w:p w14:paraId="0FCD2975">
      <w:pPr>
        <w:rPr>
          <w:rFonts w:hint="eastAsia" w:ascii="Calibri" w:hAnsi="Calibri" w:eastAsia="宋体" w:cs="Times New Roman"/>
          <w:color w:val="auto"/>
          <w:szCs w:val="22"/>
          <w:lang w:eastAsia="zh-CN"/>
        </w:rPr>
      </w:pPr>
    </w:p>
    <w:p w14:paraId="7CA01BD2">
      <w:pPr>
        <w:rPr>
          <w:rFonts w:hint="eastAsia" w:ascii="Calibri" w:hAnsi="Calibri" w:eastAsia="宋体" w:cs="Times New Roman"/>
          <w:color w:val="auto"/>
          <w:szCs w:val="22"/>
          <w:lang w:eastAsia="zh-CN"/>
        </w:rPr>
      </w:pPr>
    </w:p>
    <w:p w14:paraId="02DD1837">
      <w:pPr>
        <w:rPr>
          <w:rFonts w:hint="eastAsia" w:ascii="Calibri" w:hAnsi="Calibri" w:eastAsia="宋体" w:cs="Times New Roman"/>
          <w:color w:val="auto"/>
          <w:szCs w:val="22"/>
          <w:lang w:eastAsia="zh-CN"/>
        </w:rPr>
      </w:pPr>
    </w:p>
    <w:p w14:paraId="664C260F">
      <w:pPr>
        <w:rPr>
          <w:rFonts w:hint="eastAsia" w:ascii="Calibri" w:hAnsi="Calibri" w:eastAsia="宋体" w:cs="Times New Roman"/>
          <w:color w:val="auto"/>
          <w:szCs w:val="22"/>
          <w:lang w:eastAsia="zh-CN"/>
        </w:rPr>
      </w:pPr>
    </w:p>
    <w:p w14:paraId="0A3F8114">
      <w:pPr>
        <w:rPr>
          <w:rFonts w:hint="eastAsia" w:ascii="Calibri" w:hAnsi="Calibri" w:eastAsia="宋体" w:cs="Times New Roman"/>
          <w:color w:val="auto"/>
          <w:szCs w:val="22"/>
          <w:lang w:eastAsia="zh-CN"/>
        </w:rPr>
      </w:pPr>
    </w:p>
    <w:p w14:paraId="3A5C2EA3">
      <w:pPr>
        <w:rPr>
          <w:rFonts w:hint="eastAsia" w:ascii="Calibri" w:hAnsi="Calibri" w:eastAsia="宋体" w:cs="Times New Roman"/>
          <w:color w:val="auto"/>
          <w:szCs w:val="22"/>
          <w:lang w:eastAsia="zh-CN"/>
        </w:rPr>
      </w:pPr>
    </w:p>
    <w:p w14:paraId="134EBFD3">
      <w:pPr>
        <w:rPr>
          <w:rFonts w:hint="eastAsia" w:ascii="Calibri" w:hAnsi="Calibri" w:eastAsia="宋体" w:cs="Times New Roman"/>
          <w:color w:val="auto"/>
          <w:szCs w:val="22"/>
          <w:lang w:eastAsia="zh-CN"/>
        </w:rPr>
      </w:pPr>
      <w:r>
        <w:rPr>
          <w:rFonts w:hint="eastAsia" w:ascii="Calibri" w:hAnsi="Calibri" w:eastAsia="宋体" w:cs="Times New Roman"/>
          <w:color w:val="auto"/>
          <w:szCs w:val="22"/>
          <w:lang w:eastAsia="zh-CN"/>
        </w:rPr>
        <w:drawing>
          <wp:inline distT="0" distB="0" distL="114300" distR="114300">
            <wp:extent cx="5273675" cy="5579745"/>
            <wp:effectExtent l="0" t="0" r="14605" b="13335"/>
            <wp:docPr id="6" name="图片 6" descr="D:/360MoveData/Users/bigyang/Desktop/AFP-FIB-4 5.30/Figure1.png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360MoveData/Users/bigyang/Desktop/AFP-FIB-4 5.30/Figure1.pngFigure1"/>
                    <pic:cNvPicPr>
                      <a:picLocks noChangeAspect="1"/>
                    </pic:cNvPicPr>
                  </pic:nvPicPr>
                  <pic:blipFill>
                    <a:blip r:embed="rId4"/>
                    <a:srcRect l="6" r="6"/>
                    <a:stretch>
                      <a:fillRect/>
                    </a:stretch>
                  </pic:blipFill>
                  <pic:spPr>
                    <a:xfrm>
                      <a:off x="0" y="0"/>
                      <a:ext cx="5273675" cy="5579745"/>
                    </a:xfrm>
                    <a:prstGeom prst="rect">
                      <a:avLst/>
                    </a:prstGeom>
                  </pic:spPr>
                </pic:pic>
              </a:graphicData>
            </a:graphic>
          </wp:inline>
        </w:drawing>
      </w:r>
    </w:p>
    <w:p w14:paraId="6A96D177">
      <w:pPr>
        <w:rPr>
          <w:rFonts w:hint="default" w:ascii="Times New Roman" w:hAnsi="Times New Roman" w:eastAsia="宋体" w:cs="Times New Roman"/>
          <w:color w:val="auto"/>
          <w:sz w:val="24"/>
          <w:szCs w:val="24"/>
        </w:rPr>
      </w:pPr>
      <w:r>
        <w:rPr>
          <w:rFonts w:hint="default" w:ascii="Times New Roman" w:hAnsi="Times New Roman" w:eastAsia="宋体" w:cs="Times New Roman"/>
          <w:b/>
          <w:color w:val="auto"/>
          <w:sz w:val="24"/>
          <w:szCs w:val="24"/>
        </w:rPr>
        <w:t xml:space="preserve">Figure </w:t>
      </w:r>
      <w:r>
        <w:rPr>
          <w:rFonts w:hint="eastAsia" w:ascii="Times New Roman" w:hAnsi="Times New Roman" w:eastAsia="宋体" w:cs="Times New Roman"/>
          <w:b/>
          <w:color w:val="auto"/>
          <w:sz w:val="24"/>
          <w:szCs w:val="24"/>
          <w:lang w:val="en-US" w:eastAsia="zh-CN"/>
        </w:rPr>
        <w:t>1</w:t>
      </w:r>
      <w:r>
        <w:rPr>
          <w:rFonts w:hint="default" w:ascii="Times New Roman" w:hAnsi="Times New Roman" w:eastAsia="宋体" w:cs="Times New Roman"/>
          <w:b/>
          <w:color w:val="auto"/>
          <w:sz w:val="24"/>
          <w:szCs w:val="24"/>
        </w:rPr>
        <w:t xml:space="preserve">: </w:t>
      </w:r>
      <w:r>
        <w:rPr>
          <w:rFonts w:hint="default" w:ascii="Times New Roman" w:hAnsi="Times New Roman" w:eastAsia="宋体" w:cs="Times New Roman"/>
          <w:color w:val="auto"/>
          <w:sz w:val="24"/>
          <w:szCs w:val="24"/>
        </w:rPr>
        <w:t>Kaplan-Meier survival curves comparing disease-free survival (DFS) and overall survival (OS) across different Barcelona Clinic Liver Cancer (BCLC) stages</w:t>
      </w:r>
      <w:r>
        <w:rPr>
          <w:rFonts w:hint="eastAsia" w:ascii="Times New Roman" w:hAnsi="Times New Roman" w:eastAsia="宋体" w:cs="Times New Roman"/>
          <w:color w:val="auto"/>
          <w:sz w:val="24"/>
          <w:szCs w:val="24"/>
          <w:lang w:val="en-US" w:eastAsia="zh-CN"/>
        </w:rPr>
        <w:t xml:space="preserve"> stratified by FIB-4( </w:t>
      </w:r>
      <w:r>
        <w:rPr>
          <w:rFonts w:hint="default" w:ascii="Times New Roman" w:hAnsi="Times New Roman" w:eastAsia="宋体" w:cs="Times New Roman"/>
          <w:color w:val="auto"/>
          <w:sz w:val="24"/>
          <w:szCs w:val="24"/>
        </w:rPr>
        <w:t xml:space="preserve">BCLC stage 0/A </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A</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DFS</w:t>
      </w:r>
      <w:r>
        <w:rPr>
          <w:rFonts w:hint="eastAsia" w:ascii="Times New Roman" w:hAnsi="Times New Roman" w:eastAsia="宋体" w:cs="Times New Roman"/>
          <w:color w:val="auto"/>
          <w:sz w:val="24"/>
          <w:szCs w:val="24"/>
          <w:lang w:val="en-US" w:eastAsia="zh-CN"/>
        </w:rPr>
        <w:t>; (</w:t>
      </w:r>
      <w:r>
        <w:rPr>
          <w:rFonts w:hint="default" w:ascii="Times New Roman" w:hAnsi="Times New Roman" w:eastAsia="宋体" w:cs="Times New Roman"/>
          <w:color w:val="auto"/>
          <w:sz w:val="24"/>
          <w:szCs w:val="24"/>
        </w:rPr>
        <w:t>B</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OS</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BCLC stage B</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 xml:space="preserve"> (C</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DFS</w:t>
      </w:r>
      <w:r>
        <w:rPr>
          <w:rFonts w:hint="eastAsia" w:ascii="Times New Roman" w:hAnsi="Times New Roman" w:eastAsia="宋体" w:cs="Times New Roman"/>
          <w:color w:val="auto"/>
          <w:sz w:val="24"/>
          <w:szCs w:val="24"/>
          <w:lang w:val="en-US" w:eastAsia="zh-CN"/>
        </w:rPr>
        <w:t>; (</w:t>
      </w:r>
      <w:r>
        <w:rPr>
          <w:rFonts w:hint="default" w:ascii="Times New Roman" w:hAnsi="Times New Roman" w:eastAsia="宋体" w:cs="Times New Roman"/>
          <w:color w:val="auto"/>
          <w:sz w:val="24"/>
          <w:szCs w:val="24"/>
        </w:rPr>
        <w:t>D</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OS</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BCLC stage C</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 xml:space="preserve"> (E</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DFS</w:t>
      </w:r>
      <w:r>
        <w:rPr>
          <w:rFonts w:hint="eastAsia" w:ascii="Times New Roman" w:hAnsi="Times New Roman" w:eastAsia="宋体" w:cs="Times New Roman"/>
          <w:color w:val="auto"/>
          <w:sz w:val="24"/>
          <w:szCs w:val="24"/>
          <w:lang w:val="en-US" w:eastAsia="zh-CN"/>
        </w:rPr>
        <w:t>; (</w:t>
      </w:r>
      <w:r>
        <w:rPr>
          <w:rFonts w:hint="default" w:ascii="Times New Roman" w:hAnsi="Times New Roman" w:eastAsia="宋体" w:cs="Times New Roman"/>
          <w:color w:val="auto"/>
          <w:sz w:val="24"/>
          <w:szCs w:val="24"/>
        </w:rPr>
        <w:t>F</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OS).</w:t>
      </w:r>
    </w:p>
    <w:p w14:paraId="326AE7EC">
      <w:pPr>
        <w:rPr>
          <w:rFonts w:ascii="Calibri" w:hAnsi="Calibri" w:eastAsia="宋体" w:cs="Times New Roman"/>
          <w:color w:val="auto"/>
          <w:szCs w:val="22"/>
        </w:rPr>
      </w:pPr>
    </w:p>
    <w:p w14:paraId="64039845">
      <w:pPr>
        <w:rPr>
          <w:rFonts w:ascii="Calibri" w:hAnsi="Calibri" w:eastAsia="宋体" w:cs="Times New Roman"/>
          <w:color w:val="auto"/>
          <w:szCs w:val="22"/>
        </w:rPr>
      </w:pPr>
    </w:p>
    <w:p w14:paraId="6B522A89">
      <w:pPr>
        <w:rPr>
          <w:rFonts w:hint="eastAsia" w:ascii="Calibri" w:hAnsi="Calibri" w:eastAsia="宋体" w:cs="Times New Roman"/>
          <w:color w:val="auto"/>
          <w:szCs w:val="22"/>
          <w:lang w:eastAsia="zh-CN"/>
        </w:rPr>
      </w:pPr>
      <w:r>
        <w:rPr>
          <w:rFonts w:hint="eastAsia" w:ascii="Calibri" w:hAnsi="Calibri" w:eastAsia="宋体" w:cs="Times New Roman"/>
          <w:color w:val="auto"/>
          <w:szCs w:val="22"/>
          <w:lang w:eastAsia="zh-CN"/>
        </w:rPr>
        <w:drawing>
          <wp:inline distT="0" distB="0" distL="114300" distR="114300">
            <wp:extent cx="5273675" cy="5579745"/>
            <wp:effectExtent l="0" t="0" r="14605" b="13335"/>
            <wp:docPr id="3" name="图片 3" descr="AF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FP"/>
                    <pic:cNvPicPr>
                      <a:picLocks noChangeAspect="1"/>
                    </pic:cNvPicPr>
                  </pic:nvPicPr>
                  <pic:blipFill>
                    <a:blip r:embed="rId5"/>
                    <a:stretch>
                      <a:fillRect/>
                    </a:stretch>
                  </pic:blipFill>
                  <pic:spPr>
                    <a:xfrm>
                      <a:off x="0" y="0"/>
                      <a:ext cx="5273675" cy="5579745"/>
                    </a:xfrm>
                    <a:prstGeom prst="rect">
                      <a:avLst/>
                    </a:prstGeom>
                  </pic:spPr>
                </pic:pic>
              </a:graphicData>
            </a:graphic>
          </wp:inline>
        </w:drawing>
      </w:r>
    </w:p>
    <w:p w14:paraId="4A83CAA6">
      <w:pPr>
        <w:rPr>
          <w:rFonts w:ascii="Calibri" w:hAnsi="Calibri" w:eastAsia="宋体" w:cs="Times New Roman"/>
          <w:color w:val="auto"/>
          <w:szCs w:val="22"/>
        </w:rPr>
      </w:pPr>
    </w:p>
    <w:p w14:paraId="0EDF42E8">
      <w:pPr>
        <w:rPr>
          <w:rFonts w:hint="default" w:ascii="Times New Roman" w:hAnsi="Times New Roman" w:eastAsia="宋体" w:cs="Times New Roman"/>
          <w:color w:val="auto"/>
          <w:sz w:val="24"/>
          <w:szCs w:val="24"/>
        </w:rPr>
      </w:pPr>
      <w:r>
        <w:rPr>
          <w:rFonts w:hint="default" w:ascii="Times New Roman" w:hAnsi="Times New Roman" w:eastAsia="宋体" w:cs="Times New Roman"/>
          <w:b/>
          <w:color w:val="auto"/>
          <w:sz w:val="24"/>
          <w:szCs w:val="24"/>
        </w:rPr>
        <w:t xml:space="preserve">Figure </w:t>
      </w:r>
      <w:r>
        <w:rPr>
          <w:rFonts w:hint="eastAsia" w:ascii="Times New Roman" w:hAnsi="Times New Roman" w:eastAsia="宋体" w:cs="Times New Roman"/>
          <w:b/>
          <w:color w:val="auto"/>
          <w:sz w:val="24"/>
          <w:szCs w:val="24"/>
          <w:lang w:val="en-US" w:eastAsia="zh-CN"/>
        </w:rPr>
        <w:t>2</w:t>
      </w:r>
      <w:r>
        <w:rPr>
          <w:rFonts w:hint="default" w:ascii="Times New Roman" w:hAnsi="Times New Roman" w:eastAsia="宋体" w:cs="Times New Roman"/>
          <w:b/>
          <w:color w:val="auto"/>
          <w:sz w:val="24"/>
          <w:szCs w:val="24"/>
        </w:rPr>
        <w:t xml:space="preserve">: </w:t>
      </w:r>
      <w:r>
        <w:rPr>
          <w:rFonts w:hint="default" w:ascii="Times New Roman" w:hAnsi="Times New Roman" w:eastAsia="宋体" w:cs="Times New Roman"/>
          <w:color w:val="auto"/>
          <w:sz w:val="24"/>
          <w:szCs w:val="24"/>
        </w:rPr>
        <w:t>Kaplan-Meier survival curves comparing disease-free survival (DFS) and overall survival (OS) across different Barcelona Clinic Liver Cancer (BCLC) stages</w:t>
      </w:r>
      <w:r>
        <w:rPr>
          <w:rFonts w:hint="eastAsia" w:ascii="Times New Roman" w:hAnsi="Times New Roman" w:eastAsia="宋体" w:cs="Times New Roman"/>
          <w:color w:val="auto"/>
          <w:sz w:val="24"/>
          <w:szCs w:val="24"/>
          <w:lang w:val="en-US" w:eastAsia="zh-CN"/>
        </w:rPr>
        <w:t xml:space="preserve"> stratified by AFP( </w:t>
      </w:r>
      <w:r>
        <w:rPr>
          <w:rFonts w:hint="default" w:ascii="Times New Roman" w:hAnsi="Times New Roman" w:eastAsia="宋体" w:cs="Times New Roman"/>
          <w:color w:val="auto"/>
          <w:sz w:val="24"/>
          <w:szCs w:val="24"/>
        </w:rPr>
        <w:t xml:space="preserve">BCLC stage 0/A </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A</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DFS</w:t>
      </w:r>
      <w:r>
        <w:rPr>
          <w:rFonts w:hint="eastAsia" w:ascii="Times New Roman" w:hAnsi="Times New Roman" w:eastAsia="宋体" w:cs="Times New Roman"/>
          <w:color w:val="auto"/>
          <w:sz w:val="24"/>
          <w:szCs w:val="24"/>
          <w:lang w:val="en-US" w:eastAsia="zh-CN"/>
        </w:rPr>
        <w:t>; (</w:t>
      </w:r>
      <w:r>
        <w:rPr>
          <w:rFonts w:hint="default" w:ascii="Times New Roman" w:hAnsi="Times New Roman" w:eastAsia="宋体" w:cs="Times New Roman"/>
          <w:color w:val="auto"/>
          <w:sz w:val="24"/>
          <w:szCs w:val="24"/>
        </w:rPr>
        <w:t>B</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OS</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BCLC stage B</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 xml:space="preserve"> (C</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DFS</w:t>
      </w:r>
      <w:r>
        <w:rPr>
          <w:rFonts w:hint="eastAsia" w:ascii="Times New Roman" w:hAnsi="Times New Roman" w:eastAsia="宋体" w:cs="Times New Roman"/>
          <w:color w:val="auto"/>
          <w:sz w:val="24"/>
          <w:szCs w:val="24"/>
          <w:lang w:val="en-US" w:eastAsia="zh-CN"/>
        </w:rPr>
        <w:t>; (</w:t>
      </w:r>
      <w:r>
        <w:rPr>
          <w:rFonts w:hint="default" w:ascii="Times New Roman" w:hAnsi="Times New Roman" w:eastAsia="宋体" w:cs="Times New Roman"/>
          <w:color w:val="auto"/>
          <w:sz w:val="24"/>
          <w:szCs w:val="24"/>
        </w:rPr>
        <w:t>D</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OS</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BCLC stage C</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 xml:space="preserve"> (E</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DFS</w:t>
      </w:r>
      <w:r>
        <w:rPr>
          <w:rFonts w:hint="eastAsia" w:ascii="Times New Roman" w:hAnsi="Times New Roman" w:eastAsia="宋体" w:cs="Times New Roman"/>
          <w:color w:val="auto"/>
          <w:sz w:val="24"/>
          <w:szCs w:val="24"/>
          <w:lang w:val="en-US" w:eastAsia="zh-CN"/>
        </w:rPr>
        <w:t>; (</w:t>
      </w:r>
      <w:r>
        <w:rPr>
          <w:rFonts w:hint="default" w:ascii="Times New Roman" w:hAnsi="Times New Roman" w:eastAsia="宋体" w:cs="Times New Roman"/>
          <w:color w:val="auto"/>
          <w:sz w:val="24"/>
          <w:szCs w:val="24"/>
        </w:rPr>
        <w:t>F</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OS).</w:t>
      </w:r>
    </w:p>
    <w:p w14:paraId="005E9A95">
      <w:pPr>
        <w:rPr>
          <w:rFonts w:ascii="Calibri" w:hAnsi="Calibri" w:eastAsia="宋体" w:cs="Times New Roman"/>
          <w:color w:val="auto"/>
          <w:szCs w:val="22"/>
        </w:rPr>
      </w:pPr>
    </w:p>
    <w:p w14:paraId="79B728D0">
      <w:pPr>
        <w:rPr>
          <w:rFonts w:hint="eastAsia" w:ascii="Calibri" w:hAnsi="Calibri" w:eastAsia="宋体" w:cs="Times New Roman"/>
          <w:color w:val="auto"/>
          <w:szCs w:val="22"/>
          <w:lang w:eastAsia="zh-CN"/>
        </w:rPr>
      </w:pPr>
      <w:r>
        <w:rPr>
          <w:rFonts w:hint="eastAsia" w:ascii="Calibri" w:hAnsi="Calibri" w:eastAsia="宋体" w:cs="Times New Roman"/>
          <w:color w:val="auto"/>
          <w:szCs w:val="22"/>
          <w:lang w:eastAsia="zh-CN"/>
        </w:rPr>
        <w:drawing>
          <wp:inline distT="0" distB="0" distL="114300" distR="114300">
            <wp:extent cx="5268595" cy="6010910"/>
            <wp:effectExtent l="0" t="0" r="4445" b="8890"/>
            <wp:docPr id="1" name="图片 1" descr="AFP-FI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FP-FIB-4"/>
                    <pic:cNvPicPr>
                      <a:picLocks noChangeAspect="1"/>
                    </pic:cNvPicPr>
                  </pic:nvPicPr>
                  <pic:blipFill>
                    <a:blip r:embed="rId6"/>
                    <a:stretch>
                      <a:fillRect/>
                    </a:stretch>
                  </pic:blipFill>
                  <pic:spPr>
                    <a:xfrm>
                      <a:off x="0" y="0"/>
                      <a:ext cx="5268595" cy="6010910"/>
                    </a:xfrm>
                    <a:prstGeom prst="rect">
                      <a:avLst/>
                    </a:prstGeom>
                  </pic:spPr>
                </pic:pic>
              </a:graphicData>
            </a:graphic>
          </wp:inline>
        </w:drawing>
      </w:r>
    </w:p>
    <w:p w14:paraId="56BFE51C">
      <w:pPr>
        <w:rPr>
          <w:rFonts w:hint="default" w:ascii="Times New Roman" w:hAnsi="Times New Roman" w:eastAsia="宋体" w:cs="Times New Roman"/>
          <w:color w:val="auto"/>
          <w:sz w:val="24"/>
          <w:szCs w:val="24"/>
        </w:rPr>
      </w:pPr>
      <w:r>
        <w:rPr>
          <w:rFonts w:hint="default" w:ascii="Times New Roman" w:hAnsi="Times New Roman" w:eastAsia="宋体" w:cs="Times New Roman"/>
          <w:b/>
          <w:color w:val="auto"/>
          <w:sz w:val="24"/>
          <w:szCs w:val="24"/>
        </w:rPr>
        <w:t xml:space="preserve">Figure </w:t>
      </w:r>
      <w:r>
        <w:rPr>
          <w:rFonts w:hint="eastAsia" w:ascii="Times New Roman" w:hAnsi="Times New Roman" w:eastAsia="宋体" w:cs="Times New Roman"/>
          <w:b/>
          <w:color w:val="auto"/>
          <w:sz w:val="24"/>
          <w:szCs w:val="24"/>
          <w:lang w:val="en-US" w:eastAsia="zh-CN"/>
        </w:rPr>
        <w:t>3</w:t>
      </w:r>
      <w:r>
        <w:rPr>
          <w:rFonts w:hint="eastAsia" w:ascii="Times New Roman" w:hAnsi="Times New Roman" w:eastAsia="宋体" w:cs="Times New Roman"/>
          <w:b/>
          <w:color w:val="auto"/>
          <w:sz w:val="24"/>
          <w:szCs w:val="24"/>
        </w:rPr>
        <w:t>:</w:t>
      </w:r>
      <w:r>
        <w:rPr>
          <w:rFonts w:hint="default" w:ascii="Times New Roman" w:hAnsi="Times New Roman" w:eastAsia="宋体" w:cs="Times New Roman"/>
          <w:b w:val="0"/>
          <w:bCs/>
          <w:color w:val="auto"/>
          <w:sz w:val="24"/>
          <w:szCs w:val="24"/>
        </w:rPr>
        <w:t xml:space="preserve"> </w:t>
      </w:r>
      <w:r>
        <w:rPr>
          <w:rFonts w:hint="default" w:ascii="Times New Roman" w:hAnsi="Times New Roman" w:eastAsia="宋体" w:cs="Times New Roman"/>
          <w:color w:val="auto"/>
          <w:sz w:val="24"/>
          <w:szCs w:val="24"/>
        </w:rPr>
        <w:t>Kaplan-Meier survival curves comparing disease-free survival (DFS) and overall survival (OS) across different Barcelona Clinic Liver Cancer (BCLC) stages</w:t>
      </w:r>
      <w:r>
        <w:rPr>
          <w:rFonts w:hint="eastAsia" w:ascii="Times New Roman" w:hAnsi="Times New Roman" w:eastAsia="宋体" w:cs="Times New Roman"/>
          <w:color w:val="auto"/>
          <w:sz w:val="24"/>
          <w:szCs w:val="24"/>
          <w:lang w:val="en-US" w:eastAsia="zh-CN"/>
        </w:rPr>
        <w:t xml:space="preserve"> stratified by AFP-FIB-4 scores ( </w:t>
      </w:r>
      <w:r>
        <w:rPr>
          <w:rFonts w:hint="default" w:ascii="Times New Roman" w:hAnsi="Times New Roman" w:eastAsia="宋体" w:cs="Times New Roman"/>
          <w:color w:val="auto"/>
          <w:sz w:val="24"/>
          <w:szCs w:val="24"/>
        </w:rPr>
        <w:t xml:space="preserve">BCLC stage 0/A </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A</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DFS</w:t>
      </w:r>
      <w:r>
        <w:rPr>
          <w:rFonts w:hint="eastAsia" w:ascii="Times New Roman" w:hAnsi="Times New Roman" w:eastAsia="宋体" w:cs="Times New Roman"/>
          <w:color w:val="auto"/>
          <w:sz w:val="24"/>
          <w:szCs w:val="24"/>
          <w:lang w:val="en-US" w:eastAsia="zh-CN"/>
        </w:rPr>
        <w:t>; (</w:t>
      </w:r>
      <w:r>
        <w:rPr>
          <w:rFonts w:hint="default" w:ascii="Times New Roman" w:hAnsi="Times New Roman" w:eastAsia="宋体" w:cs="Times New Roman"/>
          <w:color w:val="auto"/>
          <w:sz w:val="24"/>
          <w:szCs w:val="24"/>
        </w:rPr>
        <w:t>B</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OS</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BCLC stage B</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 xml:space="preserve"> (C</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DFS</w:t>
      </w:r>
      <w:r>
        <w:rPr>
          <w:rFonts w:hint="eastAsia" w:ascii="Times New Roman" w:hAnsi="Times New Roman" w:eastAsia="宋体" w:cs="Times New Roman"/>
          <w:color w:val="auto"/>
          <w:sz w:val="24"/>
          <w:szCs w:val="24"/>
          <w:lang w:val="en-US" w:eastAsia="zh-CN"/>
        </w:rPr>
        <w:t>; (</w:t>
      </w:r>
      <w:r>
        <w:rPr>
          <w:rFonts w:hint="default" w:ascii="Times New Roman" w:hAnsi="Times New Roman" w:eastAsia="宋体" w:cs="Times New Roman"/>
          <w:color w:val="auto"/>
          <w:sz w:val="24"/>
          <w:szCs w:val="24"/>
        </w:rPr>
        <w:t>D</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OS</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BCLC stage C</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 xml:space="preserve"> (E</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DFS</w:t>
      </w:r>
      <w:r>
        <w:rPr>
          <w:rFonts w:hint="eastAsia" w:ascii="Times New Roman" w:hAnsi="Times New Roman" w:eastAsia="宋体" w:cs="Times New Roman"/>
          <w:color w:val="auto"/>
          <w:sz w:val="24"/>
          <w:szCs w:val="24"/>
          <w:lang w:val="en-US" w:eastAsia="zh-CN"/>
        </w:rPr>
        <w:t>; (</w:t>
      </w:r>
      <w:r>
        <w:rPr>
          <w:rFonts w:hint="default" w:ascii="Times New Roman" w:hAnsi="Times New Roman" w:eastAsia="宋体" w:cs="Times New Roman"/>
          <w:color w:val="auto"/>
          <w:sz w:val="24"/>
          <w:szCs w:val="24"/>
        </w:rPr>
        <w:t>F</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OS).</w:t>
      </w:r>
    </w:p>
    <w:p w14:paraId="673FAF36">
      <w:pPr>
        <w:rPr>
          <w:rFonts w:ascii="Calibri" w:hAnsi="Calibri" w:eastAsia="宋体" w:cs="Times New Roman"/>
          <w:color w:val="auto"/>
          <w:szCs w:val="22"/>
        </w:rPr>
      </w:pPr>
    </w:p>
    <w:p w14:paraId="33E9A979">
      <w:pPr>
        <w:rPr>
          <w:rFonts w:ascii="Book Antiqua" w:hAnsi="Book Antiqua" w:eastAsia="宋体" w:cs="Times New Roman"/>
          <w:color w:val="auto"/>
          <w:sz w:val="24"/>
          <w:szCs w:val="24"/>
        </w:rPr>
      </w:pPr>
    </w:p>
    <w:p w14:paraId="54FFEDFE">
      <w:pPr>
        <w:rPr>
          <w:rFonts w:ascii="Book Antiqua" w:hAnsi="Book Antiqua" w:eastAsia="宋体" w:cs="Times New Roman"/>
          <w:color w:val="auto"/>
          <w:sz w:val="24"/>
          <w:szCs w:val="24"/>
        </w:rPr>
      </w:pPr>
    </w:p>
    <w:p w14:paraId="29BDD056">
      <w:pPr>
        <w:rPr>
          <w:rFonts w:hint="eastAsia" w:ascii="Book Antiqua" w:hAnsi="Book Antiqua" w:eastAsia="宋体" w:cs="Times New Roman"/>
          <w:color w:val="auto"/>
          <w:sz w:val="24"/>
          <w:szCs w:val="24"/>
          <w:lang w:eastAsia="zh-CN"/>
        </w:rPr>
      </w:pPr>
    </w:p>
    <w:p w14:paraId="04D9D5EE">
      <w:pPr>
        <w:rPr>
          <w:rFonts w:hint="eastAsia" w:ascii="Book Antiqua" w:hAnsi="Book Antiqua" w:eastAsia="宋体" w:cs="Times New Roman"/>
          <w:color w:val="auto"/>
          <w:sz w:val="24"/>
          <w:szCs w:val="24"/>
          <w:lang w:eastAsia="zh-CN"/>
        </w:rPr>
      </w:pPr>
    </w:p>
    <w:p w14:paraId="036820C5">
      <w:pPr>
        <w:rPr>
          <w:rFonts w:hint="eastAsia" w:ascii="Book Antiqua" w:hAnsi="Book Antiqua" w:eastAsia="宋体" w:cs="Times New Roman"/>
          <w:color w:val="auto"/>
          <w:sz w:val="24"/>
          <w:szCs w:val="24"/>
          <w:lang w:eastAsia="zh-CN"/>
        </w:rPr>
      </w:pPr>
    </w:p>
    <w:p w14:paraId="7694A04A">
      <w:pPr>
        <w:rPr>
          <w:rFonts w:hint="eastAsia" w:ascii="Book Antiqua" w:hAnsi="Book Antiqua" w:eastAsia="宋体" w:cs="Times New Roman"/>
          <w:color w:val="auto"/>
          <w:sz w:val="24"/>
          <w:szCs w:val="24"/>
          <w:lang w:eastAsia="zh-CN"/>
        </w:rPr>
      </w:pPr>
      <w:r>
        <w:rPr>
          <w:rFonts w:hint="eastAsia" w:ascii="Book Antiqua" w:hAnsi="Book Antiqua" w:eastAsia="宋体" w:cs="Times New Roman"/>
          <w:color w:val="auto"/>
          <w:sz w:val="24"/>
          <w:szCs w:val="24"/>
          <w:lang w:eastAsia="zh-CN"/>
        </w:rPr>
        <w:drawing>
          <wp:inline distT="0" distB="0" distL="114300" distR="114300">
            <wp:extent cx="5266690" cy="3950335"/>
            <wp:effectExtent l="0" t="0" r="635" b="2540"/>
            <wp:docPr id="2" name="图片 2" descr="ROC_fig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ROC_fig_01"/>
                    <pic:cNvPicPr>
                      <a:picLocks noChangeAspect="1"/>
                    </pic:cNvPicPr>
                  </pic:nvPicPr>
                  <pic:blipFill>
                    <a:blip r:embed="rId7"/>
                    <a:stretch>
                      <a:fillRect/>
                    </a:stretch>
                  </pic:blipFill>
                  <pic:spPr>
                    <a:xfrm>
                      <a:off x="0" y="0"/>
                      <a:ext cx="5266690" cy="3950335"/>
                    </a:xfrm>
                    <a:prstGeom prst="rect">
                      <a:avLst/>
                    </a:prstGeom>
                  </pic:spPr>
                </pic:pic>
              </a:graphicData>
            </a:graphic>
          </wp:inline>
        </w:drawing>
      </w:r>
    </w:p>
    <w:p w14:paraId="2B3C0BF8">
      <w:pPr>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color w:val="auto"/>
          <w:sz w:val="24"/>
          <w:szCs w:val="24"/>
        </w:rPr>
        <w:t>Figure</w:t>
      </w:r>
      <w:r>
        <w:rPr>
          <w:rFonts w:hint="eastAsia" w:ascii="Times New Roman" w:hAnsi="Times New Roman" w:eastAsia="宋体" w:cs="Times New Roman"/>
          <w:b/>
          <w:color w:val="auto"/>
          <w:sz w:val="24"/>
          <w:szCs w:val="24"/>
        </w:rPr>
        <w:t xml:space="preserve"> </w:t>
      </w:r>
      <w:r>
        <w:rPr>
          <w:rFonts w:hint="eastAsia" w:ascii="Times New Roman" w:hAnsi="Times New Roman" w:eastAsia="宋体" w:cs="Times New Roman"/>
          <w:b/>
          <w:color w:val="auto"/>
          <w:sz w:val="24"/>
          <w:szCs w:val="24"/>
          <w:lang w:val="en-US" w:eastAsia="zh-CN"/>
        </w:rPr>
        <w:t>4</w:t>
      </w:r>
      <w:r>
        <w:rPr>
          <w:rFonts w:hint="eastAsia" w:ascii="Times New Roman" w:hAnsi="Times New Roman" w:eastAsia="宋体" w:cs="Times New Roman"/>
          <w:b/>
          <w:color w:val="auto"/>
          <w:sz w:val="24"/>
          <w:szCs w:val="24"/>
        </w:rPr>
        <w:t>:</w:t>
      </w:r>
      <w:r>
        <w:rPr>
          <w:rFonts w:hint="eastAsia" w:ascii="Times New Roman" w:hAnsi="Times New Roman" w:eastAsia="宋体" w:cs="Times New Roman"/>
          <w:b/>
          <w:color w:val="auto"/>
          <w:sz w:val="24"/>
          <w:szCs w:val="24"/>
          <w:lang w:val="en-US" w:eastAsia="zh-CN"/>
        </w:rPr>
        <w:t xml:space="preserve"> </w:t>
      </w:r>
      <w:r>
        <w:rPr>
          <w:rFonts w:hint="default" w:ascii="Times New Roman" w:hAnsi="Times New Roman" w:eastAsia="宋体" w:cs="Times New Roman"/>
          <w:b w:val="0"/>
          <w:bCs/>
          <w:color w:val="auto"/>
          <w:sz w:val="24"/>
          <w:szCs w:val="24"/>
          <w:lang w:val="en-US" w:eastAsia="zh-CN"/>
        </w:rPr>
        <w:t xml:space="preserve">Comparison of the area under the receiver operating characteristic curves of </w:t>
      </w:r>
      <w:r>
        <w:rPr>
          <w:rFonts w:hint="default" w:ascii="Times New Roman" w:hAnsi="Times New Roman" w:eastAsia="宋体" w:cs="Times New Roman"/>
          <w:b w:val="0"/>
          <w:bCs/>
          <w:color w:val="auto"/>
          <w:sz w:val="24"/>
          <w:szCs w:val="24"/>
        </w:rPr>
        <w:t>the preoperative</w:t>
      </w:r>
      <w:r>
        <w:rPr>
          <w:rFonts w:hint="eastAsia" w:ascii="Times New Roman" w:hAnsi="Times New Roman" w:eastAsia="宋体" w:cs="Times New Roman"/>
          <w:b w:val="0"/>
          <w:bCs/>
          <w:color w:val="auto"/>
          <w:sz w:val="24"/>
          <w:szCs w:val="24"/>
        </w:rPr>
        <w:t xml:space="preserve"> AFP</w:t>
      </w:r>
      <w:r>
        <w:rPr>
          <w:rFonts w:hint="eastAsia" w:ascii="Times New Roman" w:hAnsi="Times New Roman" w:eastAsia="宋体" w:cs="Times New Roman"/>
          <w:b w:val="0"/>
          <w:bCs/>
          <w:color w:val="auto"/>
          <w:sz w:val="24"/>
          <w:szCs w:val="24"/>
          <w:lang w:val="en-US" w:eastAsia="zh-CN"/>
        </w:rPr>
        <w:t xml:space="preserve">, ALBI, </w:t>
      </w:r>
      <w:r>
        <w:rPr>
          <w:rFonts w:hint="eastAsia" w:ascii="Times New Roman" w:hAnsi="Times New Roman" w:eastAsia="宋体" w:cs="Times New Roman"/>
          <w:b w:val="0"/>
          <w:bCs/>
          <w:color w:val="auto"/>
          <w:sz w:val="24"/>
          <w:szCs w:val="24"/>
        </w:rPr>
        <w:t>FIB-4</w:t>
      </w:r>
      <w:r>
        <w:rPr>
          <w:rFonts w:hint="eastAsia" w:ascii="Times New Roman" w:hAnsi="Times New Roman" w:eastAsia="宋体" w:cs="Times New Roman"/>
          <w:b w:val="0"/>
          <w:bCs/>
          <w:color w:val="auto"/>
          <w:sz w:val="24"/>
          <w:szCs w:val="24"/>
          <w:lang w:val="en-US" w:eastAsia="zh-CN"/>
        </w:rPr>
        <w:t xml:space="preserve"> </w:t>
      </w:r>
      <w:r>
        <w:rPr>
          <w:rFonts w:hint="default" w:ascii="Times New Roman" w:hAnsi="Times New Roman" w:eastAsia="宋体" w:cs="Times New Roman"/>
          <w:b w:val="0"/>
          <w:bCs w:val="0"/>
          <w:color w:val="auto"/>
          <w:sz w:val="24"/>
          <w:szCs w:val="24"/>
        </w:rPr>
        <w:t>index</w:t>
      </w:r>
      <w:r>
        <w:rPr>
          <w:rFonts w:hint="eastAsia" w:ascii="Times New Roman" w:hAnsi="Times New Roman" w:eastAsia="宋体" w:cs="Times New Roman"/>
          <w:b w:val="0"/>
          <w:bCs/>
          <w:color w:val="auto"/>
          <w:sz w:val="24"/>
          <w:szCs w:val="24"/>
          <w:lang w:val="en-US" w:eastAsia="zh-CN"/>
        </w:rPr>
        <w:t xml:space="preserve"> </w:t>
      </w:r>
      <w:r>
        <w:rPr>
          <w:rFonts w:hint="eastAsia" w:ascii="Times New Roman" w:hAnsi="Times New Roman" w:eastAsia="宋体" w:cs="Times New Roman"/>
          <w:b w:val="0"/>
          <w:bCs/>
          <w:color w:val="auto"/>
          <w:sz w:val="24"/>
          <w:szCs w:val="24"/>
        </w:rPr>
        <w:t>and AFP</w:t>
      </w:r>
      <w:r>
        <w:rPr>
          <w:rFonts w:hint="eastAsia" w:ascii="Times New Roman" w:hAnsi="Times New Roman" w:eastAsia="宋体" w:cs="Times New Roman"/>
          <w:b w:val="0"/>
          <w:bCs/>
          <w:color w:val="auto"/>
          <w:sz w:val="24"/>
          <w:szCs w:val="24"/>
          <w:lang w:val="en-US" w:eastAsia="zh-CN"/>
        </w:rPr>
        <w:t>-</w:t>
      </w:r>
      <w:r>
        <w:rPr>
          <w:rFonts w:hint="eastAsia" w:ascii="Times New Roman" w:hAnsi="Times New Roman" w:eastAsia="宋体" w:cs="Times New Roman"/>
          <w:b w:val="0"/>
          <w:bCs/>
          <w:color w:val="auto"/>
          <w:sz w:val="24"/>
          <w:szCs w:val="24"/>
        </w:rPr>
        <w:t>FIB-4</w:t>
      </w:r>
      <w:r>
        <w:rPr>
          <w:rFonts w:hint="default" w:ascii="Times New Roman" w:hAnsi="Times New Roman" w:eastAsia="宋体" w:cs="Times New Roman"/>
          <w:b w:val="0"/>
          <w:bCs/>
          <w:color w:val="auto"/>
          <w:sz w:val="24"/>
          <w:szCs w:val="24"/>
        </w:rPr>
        <w:t xml:space="preserve"> </w:t>
      </w:r>
      <w:r>
        <w:rPr>
          <w:rFonts w:hint="eastAsia" w:ascii="Times New Roman" w:hAnsi="Times New Roman" w:eastAsia="宋体" w:cs="Times New Roman"/>
          <w:b w:val="0"/>
          <w:bCs/>
          <w:color w:val="auto"/>
          <w:sz w:val="24"/>
          <w:szCs w:val="24"/>
          <w:lang w:val="en-US" w:eastAsia="zh-CN"/>
        </w:rPr>
        <w:t xml:space="preserve">scores </w:t>
      </w:r>
      <w:r>
        <w:rPr>
          <w:rFonts w:hint="default" w:ascii="Times New Roman" w:hAnsi="Times New Roman" w:eastAsia="宋体" w:cs="Times New Roman"/>
          <w:b w:val="0"/>
          <w:bCs/>
          <w:color w:val="auto"/>
          <w:sz w:val="24"/>
          <w:szCs w:val="24"/>
          <w:lang w:val="en-US" w:eastAsia="zh-CN"/>
        </w:rPr>
        <w:t>in predicting long-term survival.</w:t>
      </w:r>
    </w:p>
    <w:p w14:paraId="04E3CA2B">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01698284">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75EE80F6">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7889A0FA">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2184C358">
      <w:pPr>
        <w:keepNext w:val="0"/>
        <w:keepLines w:val="0"/>
        <w:widowControl/>
        <w:suppressLineNumbers w:val="0"/>
        <w:jc w:val="center"/>
        <w:textAlignment w:val="center"/>
        <w:rPr>
          <w:rFonts w:hint="default" w:ascii="Times New Roman" w:hAnsi="Times New Roman" w:eastAsia="AdvOT9d0303c0.B" w:cs="Times New Roman"/>
          <w:color w:val="auto"/>
          <w:kern w:val="0"/>
          <w:sz w:val="20"/>
          <w:szCs w:val="20"/>
          <w:lang w:val="en-US" w:eastAsia="zh-CN" w:bidi="ar"/>
        </w:rPr>
      </w:pPr>
    </w:p>
    <w:p w14:paraId="5C210060">
      <w:pPr>
        <w:keepNext w:val="0"/>
        <w:keepLines w:val="0"/>
        <w:widowControl/>
        <w:suppressLineNumbers w:val="0"/>
        <w:jc w:val="center"/>
        <w:textAlignment w:val="center"/>
        <w:rPr>
          <w:rFonts w:hint="default" w:ascii="Times New Roman" w:hAnsi="Times New Roman" w:eastAsia="AdvOT9d0303c0.B" w:cs="Times New Roman"/>
          <w:color w:val="auto"/>
          <w:kern w:val="0"/>
          <w:sz w:val="20"/>
          <w:szCs w:val="20"/>
          <w:lang w:val="en-US" w:eastAsia="zh-CN" w:bidi="ar"/>
        </w:rPr>
      </w:pPr>
    </w:p>
    <w:p w14:paraId="4D87B8EF">
      <w:pPr>
        <w:keepNext w:val="0"/>
        <w:keepLines w:val="0"/>
        <w:widowControl/>
        <w:suppressLineNumbers w:val="0"/>
        <w:jc w:val="center"/>
        <w:textAlignment w:val="center"/>
        <w:rPr>
          <w:rFonts w:hint="default" w:ascii="Times New Roman" w:hAnsi="Times New Roman" w:eastAsia="AdvOT9d0303c0.B" w:cs="Times New Roman"/>
          <w:color w:val="auto"/>
          <w:kern w:val="0"/>
          <w:sz w:val="20"/>
          <w:szCs w:val="20"/>
          <w:lang w:val="en-US" w:eastAsia="zh-CN" w:bidi="ar"/>
        </w:rPr>
      </w:pPr>
      <w:r>
        <w:rPr>
          <w:rFonts w:hint="default" w:ascii="Times New Roman" w:hAnsi="Times New Roman" w:eastAsia="AdvOT9d0303c0.B" w:cs="Times New Roman"/>
          <w:color w:val="auto"/>
          <w:kern w:val="0"/>
          <w:sz w:val="20"/>
          <w:szCs w:val="20"/>
          <w:lang w:val="en-US" w:eastAsia="zh-CN" w:bidi="ar"/>
        </w:rPr>
        <w:drawing>
          <wp:inline distT="0" distB="0" distL="114300" distR="114300">
            <wp:extent cx="4082415" cy="4082415"/>
            <wp:effectExtent l="0" t="0" r="3810" b="3810"/>
            <wp:docPr id="7" name="图片 7" descr="AF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AFP"/>
                    <pic:cNvPicPr>
                      <a:picLocks noChangeAspect="1"/>
                    </pic:cNvPicPr>
                  </pic:nvPicPr>
                  <pic:blipFill>
                    <a:blip r:embed="rId8"/>
                    <a:stretch>
                      <a:fillRect/>
                    </a:stretch>
                  </pic:blipFill>
                  <pic:spPr>
                    <a:xfrm>
                      <a:off x="0" y="0"/>
                      <a:ext cx="4082415" cy="4082415"/>
                    </a:xfrm>
                    <a:prstGeom prst="rect">
                      <a:avLst/>
                    </a:prstGeom>
                  </pic:spPr>
                </pic:pic>
              </a:graphicData>
            </a:graphic>
          </wp:inline>
        </w:drawing>
      </w:r>
    </w:p>
    <w:p w14:paraId="602FBBE0">
      <w:pPr>
        <w:keepNext w:val="0"/>
        <w:keepLines w:val="0"/>
        <w:widowControl/>
        <w:suppressLineNumbers w:val="0"/>
        <w:jc w:val="center"/>
        <w:textAlignment w:val="center"/>
        <w:rPr>
          <w:rFonts w:hint="default" w:ascii="Times New Roman" w:hAnsi="Times New Roman" w:eastAsia="AdvOT9d0303c0.B" w:cs="Times New Roman"/>
          <w:color w:val="auto"/>
          <w:kern w:val="0"/>
          <w:sz w:val="20"/>
          <w:szCs w:val="20"/>
          <w:lang w:val="en-US" w:eastAsia="zh-CN" w:bidi="ar"/>
        </w:rPr>
      </w:pPr>
    </w:p>
    <w:p w14:paraId="6A734020">
      <w:pPr>
        <w:keepNext w:val="0"/>
        <w:keepLines w:val="0"/>
        <w:widowControl/>
        <w:suppressLineNumbers w:val="0"/>
        <w:jc w:val="both"/>
        <w:textAlignment w:val="center"/>
        <w:rPr>
          <w:rFonts w:hint="default" w:ascii="Times New Roman" w:hAnsi="Times New Roman" w:eastAsia="AdvOT9d0303c0.B" w:cs="Times New Roman"/>
          <w:color w:val="auto"/>
          <w:kern w:val="0"/>
          <w:sz w:val="20"/>
          <w:szCs w:val="20"/>
          <w:lang w:val="en-US" w:eastAsia="zh-CN" w:bidi="ar"/>
        </w:rPr>
      </w:pPr>
    </w:p>
    <w:p w14:paraId="1FDA28FB">
      <w:pPr>
        <w:rPr>
          <w:rFonts w:hint="eastAsia"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bCs w:val="0"/>
          <w:color w:val="auto"/>
          <w:sz w:val="24"/>
          <w:szCs w:val="24"/>
          <w:lang w:val="en-US" w:eastAsia="zh-CN"/>
        </w:rPr>
        <w:t xml:space="preserve">Figure </w:t>
      </w:r>
      <w:r>
        <w:rPr>
          <w:rFonts w:hint="eastAsia" w:ascii="Times New Roman" w:hAnsi="Times New Roman" w:eastAsia="宋体" w:cs="Times New Roman"/>
          <w:b/>
          <w:bCs w:val="0"/>
          <w:color w:val="auto"/>
          <w:sz w:val="24"/>
          <w:szCs w:val="24"/>
          <w:lang w:val="en-US" w:eastAsia="zh-CN"/>
        </w:rPr>
        <w:t>5</w:t>
      </w:r>
      <w:r>
        <w:rPr>
          <w:rFonts w:hint="eastAsia" w:ascii="Times New Roman" w:hAnsi="Times New Roman" w:eastAsia="宋体" w:cs="Times New Roman"/>
          <w:b/>
          <w:bCs w:val="0"/>
          <w:color w:val="auto"/>
          <w:sz w:val="24"/>
          <w:szCs w:val="24"/>
          <w:lang w:val="en-US" w:eastAsia="zh-CN"/>
        </w:rPr>
        <w:t>:</w:t>
      </w:r>
      <w:r>
        <w:rPr>
          <w:rFonts w:hint="default" w:ascii="Times New Roman" w:hAnsi="Times New Roman" w:eastAsia="宋体" w:cs="Times New Roman"/>
          <w:b w:val="0"/>
          <w:bCs/>
          <w:color w:val="auto"/>
          <w:sz w:val="24"/>
          <w:szCs w:val="24"/>
          <w:lang w:val="en-US" w:eastAsia="zh-CN"/>
        </w:rPr>
        <w:t xml:space="preserve"> Predictive performance of preoperative AFP for long-term survival across different AFP cutoff values</w:t>
      </w:r>
    </w:p>
    <w:p w14:paraId="6CA6A980">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19BA455C">
      <w:pPr>
        <w:rPr>
          <w:rFonts w:hint="eastAsia" w:eastAsiaTheme="minorEastAsia"/>
          <w:color w:val="auto"/>
          <w:lang w:eastAsia="zh-CN"/>
        </w:rPr>
      </w:pPr>
    </w:p>
    <w:p w14:paraId="69E7821D">
      <w:pPr>
        <w:rPr>
          <w:rFonts w:hint="eastAsia" w:eastAsiaTheme="minorEastAsia"/>
          <w:color w:val="auto"/>
          <w:lang w:eastAsia="zh-CN"/>
        </w:rPr>
      </w:pPr>
    </w:p>
    <w:p w14:paraId="0932799A">
      <w:pPr>
        <w:rPr>
          <w:rFonts w:hint="eastAsia" w:eastAsiaTheme="minorEastAsia"/>
          <w:color w:val="auto"/>
          <w:lang w:eastAsia="zh-CN"/>
        </w:rPr>
      </w:pPr>
    </w:p>
    <w:p w14:paraId="19BC8D02">
      <w:pPr>
        <w:rPr>
          <w:rFonts w:hint="eastAsia" w:eastAsiaTheme="minorEastAsia"/>
          <w:color w:val="auto"/>
          <w:lang w:eastAsia="zh-CN"/>
        </w:rPr>
      </w:pPr>
    </w:p>
    <w:p w14:paraId="70ED41C2">
      <w:pPr>
        <w:rPr>
          <w:rFonts w:hint="eastAsia" w:eastAsiaTheme="minorEastAsia"/>
          <w:color w:val="auto"/>
          <w:lang w:eastAsia="zh-CN"/>
        </w:rPr>
      </w:pPr>
    </w:p>
    <w:p w14:paraId="3D8726C1">
      <w:pPr>
        <w:rPr>
          <w:rFonts w:hint="eastAsia" w:eastAsiaTheme="minorEastAsia"/>
          <w:color w:val="auto"/>
          <w:lang w:eastAsia="zh-CN"/>
        </w:rPr>
      </w:pPr>
    </w:p>
    <w:p w14:paraId="45192948">
      <w:pPr>
        <w:rPr>
          <w:rFonts w:hint="eastAsia" w:eastAsiaTheme="minorEastAsia"/>
          <w:color w:val="auto"/>
          <w:lang w:eastAsia="zh-CN"/>
        </w:rPr>
      </w:pPr>
    </w:p>
    <w:p w14:paraId="2050A7B5">
      <w:pPr>
        <w:rPr>
          <w:rFonts w:hint="eastAsia" w:ascii="Times New Roman" w:hAnsi="Times New Roman" w:cs="Times New Roman"/>
          <w:b w:val="0"/>
          <w:bCs/>
          <w:color w:val="auto"/>
          <w:sz w:val="24"/>
          <w:szCs w:val="24"/>
          <w:lang w:val="en-US" w:eastAsia="zh-CN"/>
        </w:rPr>
      </w:pPr>
    </w:p>
    <w:p w14:paraId="7BDF6F96">
      <w:pPr>
        <w:rPr>
          <w:rFonts w:hint="eastAsia" w:ascii="Times New Roman" w:hAnsi="Times New Roman" w:cs="Times New Roman"/>
          <w:b w:val="0"/>
          <w:bCs/>
          <w:color w:val="auto"/>
          <w:sz w:val="24"/>
          <w:szCs w:val="24"/>
          <w:lang w:val="en-US" w:eastAsia="zh-CN"/>
        </w:rPr>
      </w:pPr>
    </w:p>
    <w:p w14:paraId="2DAFD0C0">
      <w:pPr>
        <w:rPr>
          <w:rFonts w:hint="eastAsia" w:ascii="Times New Roman" w:hAnsi="Times New Roman" w:cs="Times New Roman"/>
          <w:b w:val="0"/>
          <w:bCs/>
          <w:color w:val="auto"/>
          <w:sz w:val="24"/>
          <w:szCs w:val="24"/>
          <w:lang w:val="en-US" w:eastAsia="zh-CN"/>
        </w:rPr>
      </w:pPr>
    </w:p>
    <w:p w14:paraId="30A1CCB5">
      <w:pPr>
        <w:rPr>
          <w:rFonts w:hint="eastAsia" w:ascii="Times New Roman" w:hAnsi="Times New Roman" w:cs="Times New Roman"/>
          <w:b w:val="0"/>
          <w:bCs/>
          <w:color w:val="auto"/>
          <w:sz w:val="24"/>
          <w:szCs w:val="24"/>
          <w:lang w:val="en-US" w:eastAsia="zh-CN"/>
        </w:rPr>
      </w:pPr>
    </w:p>
    <w:p w14:paraId="1D6A9FCD">
      <w:pPr>
        <w:rPr>
          <w:rFonts w:hint="eastAsia" w:ascii="Times New Roman" w:hAnsi="Times New Roman" w:cs="Times New Roman"/>
          <w:b w:val="0"/>
          <w:bCs/>
          <w:color w:val="auto"/>
          <w:sz w:val="24"/>
          <w:szCs w:val="24"/>
          <w:lang w:val="en-US" w:eastAsia="zh-CN"/>
        </w:rPr>
      </w:pPr>
    </w:p>
    <w:p w14:paraId="4A095785">
      <w:pPr>
        <w:rPr>
          <w:rFonts w:hint="eastAsia" w:ascii="Times New Roman" w:hAnsi="Times New Roman" w:cs="Times New Roman"/>
          <w:b w:val="0"/>
          <w:bCs/>
          <w:color w:val="auto"/>
          <w:sz w:val="24"/>
          <w:szCs w:val="24"/>
          <w:lang w:val="en-US" w:eastAsia="zh-CN"/>
        </w:rPr>
      </w:pPr>
    </w:p>
    <w:p w14:paraId="5CB35A1F">
      <w:pPr>
        <w:rPr>
          <w:rFonts w:hint="eastAsia" w:ascii="Times New Roman" w:hAnsi="Times New Roman" w:cs="Times New Roman"/>
          <w:b w:val="0"/>
          <w:bCs/>
          <w:color w:val="auto"/>
          <w:sz w:val="24"/>
          <w:szCs w:val="24"/>
          <w:lang w:val="en-US" w:eastAsia="zh-CN"/>
        </w:rPr>
      </w:pPr>
    </w:p>
    <w:p w14:paraId="473DFBF0">
      <w:pPr>
        <w:rPr>
          <w:rFonts w:hint="eastAsia" w:ascii="Times New Roman" w:hAnsi="Times New Roman" w:cs="Times New Roman" w:eastAsiaTheme="minorEastAsia"/>
          <w:b/>
          <w:color w:val="auto"/>
          <w:sz w:val="24"/>
          <w:szCs w:val="24"/>
          <w:lang w:eastAsia="zh-CN"/>
        </w:rPr>
      </w:pPr>
    </w:p>
    <w:p w14:paraId="772946E7">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025F331A">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539094AA">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2BAE0983">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p>
    <w:p w14:paraId="129A656D">
      <w:pPr>
        <w:spacing w:beforeLines="0" w:afterLines="0"/>
        <w:jc w:val="left"/>
        <w:rPr>
          <w:rFonts w:hint="eastAsia" w:ascii="Times New Roman" w:hAnsi="Times New Roman" w:eastAsia="宋体" w:cs="Times New Roman"/>
          <w:color w:val="auto"/>
          <w:sz w:val="24"/>
          <w:szCs w:val="24"/>
          <w:lang w:val="en-US" w:eastAsia="zh-CN"/>
        </w:rPr>
      </w:pPr>
    </w:p>
    <w:p w14:paraId="37B13800">
      <w:pPr>
        <w:spacing w:beforeLines="0" w:afterLines="0"/>
        <w:jc w:val="left"/>
        <w:rPr>
          <w:rFonts w:hint="eastAsia" w:ascii="Times New Roman" w:hAnsi="Times New Roman" w:eastAsia="宋体" w:cs="Times New Roman"/>
          <w:color w:val="auto"/>
          <w:sz w:val="24"/>
          <w:szCs w:val="24"/>
          <w:lang w:val="en-US" w:eastAsia="zh-CN"/>
        </w:rPr>
      </w:pPr>
    </w:p>
    <w:p w14:paraId="31FBE175">
      <w:pPr>
        <w:spacing w:beforeLines="0" w:afterLines="0"/>
        <w:jc w:val="left"/>
        <w:rPr>
          <w:rFonts w:hint="default"/>
          <w:color w:val="auto"/>
          <w:sz w:val="24"/>
          <w:szCs w:val="24"/>
        </w:rPr>
      </w:pPr>
      <w:r>
        <w:rPr>
          <w:rFonts w:hint="eastAsia" w:ascii="Times New Roman" w:hAnsi="Times New Roman" w:eastAsia="宋体" w:cs="Times New Roman"/>
          <w:color w:val="auto"/>
          <w:sz w:val="24"/>
          <w:szCs w:val="24"/>
          <w:lang w:val="en-US" w:eastAsia="zh-CN"/>
        </w:rPr>
        <w:fldChar w:fldCharType="begin"/>
      </w:r>
      <w:r>
        <w:rPr>
          <w:rFonts w:hint="eastAsia" w:ascii="Times New Roman" w:hAnsi="Times New Roman" w:eastAsia="宋体" w:cs="Times New Roman"/>
          <w:color w:val="auto"/>
          <w:sz w:val="24"/>
          <w:szCs w:val="24"/>
          <w:lang w:val="en-US" w:eastAsia="zh-CN"/>
        </w:rPr>
        <w:instrText xml:space="preserve"> ADDIN NE.Bib</w:instrText>
      </w:r>
      <w:r>
        <w:rPr>
          <w:rFonts w:hint="eastAsia" w:ascii="Times New Roman" w:hAnsi="Times New Roman" w:eastAsia="宋体" w:cs="Times New Roman"/>
          <w:color w:val="auto"/>
          <w:sz w:val="24"/>
          <w:szCs w:val="24"/>
          <w:lang w:val="en-US" w:eastAsia="zh-CN"/>
        </w:rPr>
        <w:fldChar w:fldCharType="separate"/>
      </w:r>
    </w:p>
    <w:p w14:paraId="5D63BD3B">
      <w:pPr>
        <w:spacing w:beforeLines="0" w:afterLines="0"/>
        <w:jc w:val="center"/>
        <w:rPr>
          <w:rFonts w:hint="default"/>
          <w:color w:val="auto"/>
          <w:sz w:val="24"/>
          <w:szCs w:val="24"/>
        </w:rPr>
      </w:pPr>
      <w:r>
        <w:rPr>
          <w:rFonts w:hint="default" w:ascii="Times New Roman" w:hAnsi="Times New Roman" w:eastAsia="Times New Roman"/>
          <w:b/>
          <w:color w:val="auto"/>
          <w:sz w:val="40"/>
          <w:szCs w:val="24"/>
        </w:rPr>
        <w:t>References:</w:t>
      </w:r>
    </w:p>
    <w:p w14:paraId="2B0F8644">
      <w:pPr>
        <w:spacing w:beforeLines="0" w:afterLines="0"/>
        <w:rPr>
          <w:rFonts w:hint="default"/>
          <w:color w:val="auto"/>
          <w:sz w:val="24"/>
          <w:szCs w:val="24"/>
        </w:rPr>
      </w:pPr>
      <w:r>
        <w:rPr>
          <w:rFonts w:hint="default" w:ascii="Times New Roman" w:hAnsi="Times New Roman" w:eastAsia="Times New Roman"/>
          <w:color w:val="auto"/>
          <w:sz w:val="20"/>
          <w:szCs w:val="24"/>
        </w:rPr>
        <w:t xml:space="preserve"> 1.</w:t>
      </w:r>
      <w:r>
        <w:rPr>
          <w:rFonts w:hint="default" w:ascii="Times New Roman" w:hAnsi="Times New Roman" w:eastAsia="Times New Roman"/>
          <w:color w:val="auto"/>
          <w:sz w:val="20"/>
          <w:szCs w:val="24"/>
        </w:rPr>
        <w:tab/>
      </w:r>
      <w:bookmarkStart w:id="2" w:name="_neb2DADB34F_B57D_4831_B97D_BB1261C63C52"/>
      <w:r>
        <w:rPr>
          <w:rFonts w:hint="default" w:ascii="Times New Roman" w:hAnsi="Times New Roman" w:eastAsia="Times New Roman"/>
          <w:color w:val="auto"/>
          <w:sz w:val="20"/>
          <w:szCs w:val="24"/>
        </w:rPr>
        <w:t xml:space="preserve">Bray F, Laversanne M, Sung H, Ferlay J, Siegel RL, Soerjomataram I, Jemal A: </w:t>
      </w:r>
      <w:r>
        <w:rPr>
          <w:rFonts w:hint="default" w:ascii="Times New Roman" w:hAnsi="Times New Roman" w:eastAsia="Times New Roman"/>
          <w:b/>
          <w:color w:val="auto"/>
          <w:sz w:val="20"/>
          <w:szCs w:val="24"/>
        </w:rPr>
        <w:t>Global cancer statistics 2022: GLOBOCAN estimates of incidence and mortality  worldwide for 36 cancers in 185 countries</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CA-CANCER J CLIN</w:t>
      </w:r>
      <w:r>
        <w:rPr>
          <w:rFonts w:hint="default" w:ascii="Times New Roman" w:hAnsi="Times New Roman" w:eastAsia="Times New Roman"/>
          <w:color w:val="auto"/>
          <w:sz w:val="20"/>
          <w:szCs w:val="24"/>
        </w:rPr>
        <w:t xml:space="preserve"> 2024, </w:t>
      </w:r>
      <w:r>
        <w:rPr>
          <w:rFonts w:hint="default" w:ascii="Times New Roman" w:hAnsi="Times New Roman" w:eastAsia="Times New Roman"/>
          <w:b/>
          <w:color w:val="auto"/>
          <w:sz w:val="20"/>
          <w:szCs w:val="24"/>
        </w:rPr>
        <w:t>74</w:t>
      </w:r>
      <w:r>
        <w:rPr>
          <w:rFonts w:hint="default" w:ascii="Times New Roman" w:hAnsi="Times New Roman" w:eastAsia="Times New Roman"/>
          <w:color w:val="auto"/>
          <w:sz w:val="20"/>
          <w:szCs w:val="24"/>
        </w:rPr>
        <w:t>(3):229-263.</w:t>
      </w:r>
      <w:bookmarkEnd w:id="2"/>
    </w:p>
    <w:p w14:paraId="26F4C614">
      <w:pPr>
        <w:spacing w:beforeLines="0" w:afterLines="0"/>
        <w:rPr>
          <w:rFonts w:hint="default"/>
          <w:color w:val="auto"/>
          <w:sz w:val="24"/>
          <w:szCs w:val="24"/>
        </w:rPr>
      </w:pPr>
      <w:r>
        <w:rPr>
          <w:rFonts w:hint="default" w:ascii="Times New Roman" w:hAnsi="Times New Roman" w:eastAsia="Times New Roman"/>
          <w:color w:val="auto"/>
          <w:sz w:val="20"/>
          <w:szCs w:val="24"/>
        </w:rPr>
        <w:t xml:space="preserve"> 2.</w:t>
      </w:r>
      <w:r>
        <w:rPr>
          <w:rFonts w:hint="default" w:ascii="Times New Roman" w:hAnsi="Times New Roman" w:eastAsia="Times New Roman"/>
          <w:color w:val="auto"/>
          <w:sz w:val="20"/>
          <w:szCs w:val="24"/>
        </w:rPr>
        <w:tab/>
      </w:r>
      <w:bookmarkStart w:id="3" w:name="_neb0B57463B_07FD_4F9E_B483_632F7472FC6F"/>
      <w:r>
        <w:rPr>
          <w:rFonts w:hint="default" w:ascii="Times New Roman" w:hAnsi="Times New Roman" w:eastAsia="Times New Roman"/>
          <w:color w:val="auto"/>
          <w:sz w:val="20"/>
          <w:szCs w:val="24"/>
        </w:rPr>
        <w:t>Zhou J, Sun H, Wang Z, Cong W, Zeng M, Zhou W, Bie P, Liu L, Wen T, Kuang M</w:t>
      </w:r>
      <w:r>
        <w:rPr>
          <w:rFonts w:hint="default" w:ascii="Times New Roman" w:hAnsi="Times New Roman" w:eastAsia="Times New Roman"/>
          <w:i/>
          <w:color w:val="auto"/>
          <w:sz w:val="20"/>
          <w:szCs w:val="24"/>
        </w:rPr>
        <w:t xml:space="preserve"> et al</w:t>
      </w:r>
      <w:r>
        <w:rPr>
          <w:rFonts w:hint="default" w:ascii="Times New Roman" w:hAnsi="Times New Roman" w:eastAsia="Times New Roman"/>
          <w:color w:val="auto"/>
          <w:sz w:val="20"/>
          <w:szCs w:val="24"/>
        </w:rPr>
        <w:t xml:space="preserve">: </w:t>
      </w:r>
      <w:r>
        <w:rPr>
          <w:rFonts w:hint="default" w:ascii="Times New Roman" w:hAnsi="Times New Roman" w:eastAsia="Times New Roman"/>
          <w:b/>
          <w:color w:val="auto"/>
          <w:sz w:val="20"/>
          <w:szCs w:val="24"/>
        </w:rPr>
        <w:t>Guidelines for the Diagnosis and Treatment of Primary Liver Cancer (2022  Edition)</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LIVER CANCER</w:t>
      </w:r>
      <w:r>
        <w:rPr>
          <w:rFonts w:hint="default" w:ascii="Times New Roman" w:hAnsi="Times New Roman" w:eastAsia="Times New Roman"/>
          <w:color w:val="auto"/>
          <w:sz w:val="20"/>
          <w:szCs w:val="24"/>
        </w:rPr>
        <w:t xml:space="preserve"> 2023, </w:t>
      </w:r>
      <w:r>
        <w:rPr>
          <w:rFonts w:hint="default" w:ascii="Times New Roman" w:hAnsi="Times New Roman" w:eastAsia="Times New Roman"/>
          <w:b/>
          <w:color w:val="auto"/>
          <w:sz w:val="20"/>
          <w:szCs w:val="24"/>
        </w:rPr>
        <w:t>12</w:t>
      </w:r>
      <w:r>
        <w:rPr>
          <w:rFonts w:hint="default" w:ascii="Times New Roman" w:hAnsi="Times New Roman" w:eastAsia="Times New Roman"/>
          <w:color w:val="auto"/>
          <w:sz w:val="20"/>
          <w:szCs w:val="24"/>
        </w:rPr>
        <w:t>(5):405-444.</w:t>
      </w:r>
      <w:bookmarkEnd w:id="3"/>
    </w:p>
    <w:p w14:paraId="3C5FAC0F">
      <w:pPr>
        <w:spacing w:beforeLines="0" w:afterLines="0"/>
        <w:rPr>
          <w:rFonts w:hint="default"/>
          <w:color w:val="auto"/>
          <w:sz w:val="24"/>
          <w:szCs w:val="24"/>
        </w:rPr>
      </w:pPr>
      <w:r>
        <w:rPr>
          <w:rFonts w:hint="default" w:ascii="Times New Roman" w:hAnsi="Times New Roman" w:eastAsia="Times New Roman"/>
          <w:color w:val="auto"/>
          <w:sz w:val="20"/>
          <w:szCs w:val="24"/>
        </w:rPr>
        <w:t xml:space="preserve"> 3.</w:t>
      </w:r>
      <w:r>
        <w:rPr>
          <w:rFonts w:hint="default" w:ascii="Times New Roman" w:hAnsi="Times New Roman" w:eastAsia="Times New Roman"/>
          <w:color w:val="auto"/>
          <w:sz w:val="20"/>
          <w:szCs w:val="24"/>
        </w:rPr>
        <w:tab/>
      </w:r>
      <w:bookmarkStart w:id="4" w:name="_neb1A9B3DAD_E17C_4DCA_B5F5_290185926442"/>
      <w:r>
        <w:rPr>
          <w:rFonts w:hint="default" w:ascii="Times New Roman" w:hAnsi="Times New Roman" w:eastAsia="Times New Roman"/>
          <w:color w:val="auto"/>
          <w:sz w:val="20"/>
          <w:szCs w:val="24"/>
        </w:rPr>
        <w:t xml:space="preserve">Chan Y, Zhang C, Wu J, Lu P, Xu L, Yuan H, Feng Y, Chen Z, Wang N: </w:t>
      </w:r>
      <w:r>
        <w:rPr>
          <w:rFonts w:hint="default" w:ascii="Times New Roman" w:hAnsi="Times New Roman" w:eastAsia="Times New Roman"/>
          <w:b/>
          <w:color w:val="auto"/>
          <w:sz w:val="20"/>
          <w:szCs w:val="24"/>
        </w:rPr>
        <w:t>Biomarkers for diagnosis and therapeutic options in hepatocellular carcinoma</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MOL CANCER</w:t>
      </w:r>
      <w:r>
        <w:rPr>
          <w:rFonts w:hint="default" w:ascii="Times New Roman" w:hAnsi="Times New Roman" w:eastAsia="Times New Roman"/>
          <w:color w:val="auto"/>
          <w:sz w:val="20"/>
          <w:szCs w:val="24"/>
        </w:rPr>
        <w:t xml:space="preserve"> 2024, </w:t>
      </w:r>
      <w:r>
        <w:rPr>
          <w:rFonts w:hint="default" w:ascii="Times New Roman" w:hAnsi="Times New Roman" w:eastAsia="Times New Roman"/>
          <w:b/>
          <w:color w:val="auto"/>
          <w:sz w:val="20"/>
          <w:szCs w:val="24"/>
        </w:rPr>
        <w:t>23</w:t>
      </w:r>
      <w:r>
        <w:rPr>
          <w:rFonts w:hint="default" w:ascii="Times New Roman" w:hAnsi="Times New Roman" w:eastAsia="Times New Roman"/>
          <w:color w:val="auto"/>
          <w:sz w:val="20"/>
          <w:szCs w:val="24"/>
        </w:rPr>
        <w:t>(1):189.</w:t>
      </w:r>
      <w:bookmarkEnd w:id="4"/>
    </w:p>
    <w:p w14:paraId="33BBE46D">
      <w:pPr>
        <w:spacing w:beforeLines="0" w:afterLines="0"/>
        <w:rPr>
          <w:rFonts w:hint="default"/>
          <w:color w:val="auto"/>
          <w:sz w:val="24"/>
          <w:szCs w:val="24"/>
        </w:rPr>
      </w:pPr>
      <w:r>
        <w:rPr>
          <w:rFonts w:hint="default" w:ascii="Times New Roman" w:hAnsi="Times New Roman" w:eastAsia="Times New Roman"/>
          <w:color w:val="auto"/>
          <w:sz w:val="20"/>
          <w:szCs w:val="24"/>
        </w:rPr>
        <w:t xml:space="preserve"> 4.</w:t>
      </w:r>
      <w:r>
        <w:rPr>
          <w:rFonts w:hint="default" w:ascii="Times New Roman" w:hAnsi="Times New Roman" w:eastAsia="Times New Roman"/>
          <w:color w:val="auto"/>
          <w:sz w:val="20"/>
          <w:szCs w:val="24"/>
        </w:rPr>
        <w:tab/>
      </w:r>
      <w:bookmarkStart w:id="5" w:name="_neb12CFA13E_381E_48F4_BDA5_D870CA68D2B2"/>
      <w:r>
        <w:rPr>
          <w:rFonts w:hint="default" w:ascii="Times New Roman" w:hAnsi="Times New Roman" w:eastAsia="Times New Roman"/>
          <w:color w:val="auto"/>
          <w:sz w:val="20"/>
          <w:szCs w:val="24"/>
        </w:rPr>
        <w:t xml:space="preserve">Jiang K, Li J, Liu Z, Chen M, Cai W, Liu L, Yin D: </w:t>
      </w:r>
      <w:r>
        <w:rPr>
          <w:rFonts w:hint="default" w:ascii="Times New Roman" w:hAnsi="Times New Roman" w:eastAsia="Times New Roman"/>
          <w:b/>
          <w:color w:val="auto"/>
          <w:sz w:val="20"/>
          <w:szCs w:val="24"/>
        </w:rPr>
        <w:t>Impact of major hepatectomy on recurrence after resection of hepatocellular  carcinoma at CNLC Ib stage: a propensity score matching study</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INT J SURG</w:t>
      </w:r>
      <w:r>
        <w:rPr>
          <w:rFonts w:hint="default" w:ascii="Times New Roman" w:hAnsi="Times New Roman" w:eastAsia="Times New Roman"/>
          <w:color w:val="auto"/>
          <w:sz w:val="20"/>
          <w:szCs w:val="24"/>
        </w:rPr>
        <w:t xml:space="preserve"> 2025, </w:t>
      </w:r>
      <w:r>
        <w:rPr>
          <w:rFonts w:hint="default" w:ascii="Times New Roman" w:hAnsi="Times New Roman" w:eastAsia="Times New Roman"/>
          <w:b/>
          <w:color w:val="auto"/>
          <w:sz w:val="20"/>
          <w:szCs w:val="24"/>
        </w:rPr>
        <w:t>111</w:t>
      </w:r>
      <w:r>
        <w:rPr>
          <w:rFonts w:hint="default" w:ascii="Times New Roman" w:hAnsi="Times New Roman" w:eastAsia="Times New Roman"/>
          <w:color w:val="auto"/>
          <w:sz w:val="20"/>
          <w:szCs w:val="24"/>
        </w:rPr>
        <w:t>(1):857-864.</w:t>
      </w:r>
      <w:bookmarkEnd w:id="5"/>
    </w:p>
    <w:p w14:paraId="1FC022E2">
      <w:pPr>
        <w:spacing w:beforeLines="0" w:afterLines="0"/>
        <w:rPr>
          <w:rFonts w:hint="default"/>
          <w:color w:val="auto"/>
          <w:sz w:val="24"/>
          <w:szCs w:val="24"/>
        </w:rPr>
      </w:pPr>
      <w:r>
        <w:rPr>
          <w:rFonts w:hint="default" w:ascii="Times New Roman" w:hAnsi="Times New Roman" w:eastAsia="Times New Roman"/>
          <w:color w:val="auto"/>
          <w:sz w:val="20"/>
          <w:szCs w:val="24"/>
        </w:rPr>
        <w:t xml:space="preserve"> 5.</w:t>
      </w:r>
      <w:r>
        <w:rPr>
          <w:rFonts w:hint="default" w:ascii="Times New Roman" w:hAnsi="Times New Roman" w:eastAsia="Times New Roman"/>
          <w:color w:val="auto"/>
          <w:sz w:val="20"/>
          <w:szCs w:val="24"/>
        </w:rPr>
        <w:tab/>
      </w:r>
      <w:bookmarkStart w:id="6" w:name="_neb2009E012_DA61_4D46_9CD6_A98B3DE7C581"/>
      <w:r>
        <w:rPr>
          <w:rFonts w:hint="default" w:ascii="Times New Roman" w:hAnsi="Times New Roman" w:eastAsia="Times New Roman"/>
          <w:color w:val="auto"/>
          <w:sz w:val="20"/>
          <w:szCs w:val="24"/>
        </w:rPr>
        <w:t xml:space="preserve">Yasukawa K, Shimizu A, Kubota K, Notake T, Hosoda K, Hayashi H, Soejima Y: </w:t>
      </w:r>
      <w:r>
        <w:rPr>
          <w:rFonts w:hint="default" w:ascii="Times New Roman" w:hAnsi="Times New Roman" w:eastAsia="Times New Roman"/>
          <w:b/>
          <w:color w:val="auto"/>
          <w:sz w:val="20"/>
          <w:szCs w:val="24"/>
        </w:rPr>
        <w:t>Impact of Liver Fibrosis Severity on Oncological Prognosis in Hepatocellular  Carcinoma</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LIVER CANCER</w:t>
      </w:r>
      <w:r>
        <w:rPr>
          <w:rFonts w:hint="default" w:ascii="Times New Roman" w:hAnsi="Times New Roman" w:eastAsia="Times New Roman"/>
          <w:color w:val="auto"/>
          <w:sz w:val="20"/>
          <w:szCs w:val="24"/>
        </w:rPr>
        <w:t xml:space="preserve"> 2024, </w:t>
      </w:r>
      <w:r>
        <w:rPr>
          <w:rFonts w:hint="default" w:ascii="Times New Roman" w:hAnsi="Times New Roman" w:eastAsia="Times New Roman"/>
          <w:b/>
          <w:color w:val="auto"/>
          <w:sz w:val="20"/>
          <w:szCs w:val="24"/>
        </w:rPr>
        <w:t>13</w:t>
      </w:r>
      <w:r>
        <w:rPr>
          <w:rFonts w:hint="default" w:ascii="Times New Roman" w:hAnsi="Times New Roman" w:eastAsia="Times New Roman"/>
          <w:color w:val="auto"/>
          <w:sz w:val="20"/>
          <w:szCs w:val="24"/>
        </w:rPr>
        <w:t>(2):150-160.</w:t>
      </w:r>
      <w:bookmarkEnd w:id="6"/>
    </w:p>
    <w:p w14:paraId="5444F9ED">
      <w:pPr>
        <w:spacing w:beforeLines="0" w:afterLines="0"/>
        <w:rPr>
          <w:rFonts w:hint="default"/>
          <w:color w:val="auto"/>
          <w:sz w:val="24"/>
          <w:szCs w:val="24"/>
        </w:rPr>
      </w:pPr>
      <w:r>
        <w:rPr>
          <w:rFonts w:hint="default" w:ascii="Times New Roman" w:hAnsi="Times New Roman" w:eastAsia="Times New Roman"/>
          <w:color w:val="auto"/>
          <w:sz w:val="20"/>
          <w:szCs w:val="24"/>
        </w:rPr>
        <w:t xml:space="preserve"> 6.</w:t>
      </w:r>
      <w:r>
        <w:rPr>
          <w:rFonts w:hint="default" w:ascii="Times New Roman" w:hAnsi="Times New Roman" w:eastAsia="Times New Roman"/>
          <w:color w:val="auto"/>
          <w:sz w:val="20"/>
          <w:szCs w:val="24"/>
        </w:rPr>
        <w:tab/>
      </w:r>
      <w:bookmarkStart w:id="7" w:name="_neb4EF506EC_329C_4E5C_AAC5_CD21C3DF7AC2"/>
      <w:r>
        <w:rPr>
          <w:rFonts w:hint="default" w:ascii="Times New Roman" w:hAnsi="Times New Roman" w:eastAsia="Times New Roman"/>
          <w:color w:val="auto"/>
          <w:sz w:val="20"/>
          <w:szCs w:val="24"/>
        </w:rPr>
        <w:t>Yang T, Liu K, Liu C, Zhong Q, Zhang J, Yu J, Liang L, Li C, Wang M, Li Z</w:t>
      </w:r>
      <w:r>
        <w:rPr>
          <w:rFonts w:hint="default" w:ascii="Times New Roman" w:hAnsi="Times New Roman" w:eastAsia="Times New Roman"/>
          <w:i/>
          <w:color w:val="auto"/>
          <w:sz w:val="20"/>
          <w:szCs w:val="24"/>
        </w:rPr>
        <w:t xml:space="preserve"> et al</w:t>
      </w:r>
      <w:r>
        <w:rPr>
          <w:rFonts w:hint="default" w:ascii="Times New Roman" w:hAnsi="Times New Roman" w:eastAsia="Times New Roman"/>
          <w:color w:val="auto"/>
          <w:sz w:val="20"/>
          <w:szCs w:val="24"/>
        </w:rPr>
        <w:t xml:space="preserve">: </w:t>
      </w:r>
      <w:r>
        <w:rPr>
          <w:rFonts w:hint="default" w:ascii="Times New Roman" w:hAnsi="Times New Roman" w:eastAsia="Times New Roman"/>
          <w:b/>
          <w:color w:val="auto"/>
          <w:sz w:val="20"/>
          <w:szCs w:val="24"/>
        </w:rPr>
        <w:t>Impact of postoperative infective complications on long-term survival after liver  resection for hepatocellular carcinoma</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BRIT J SURG</w:t>
      </w:r>
      <w:r>
        <w:rPr>
          <w:rFonts w:hint="default" w:ascii="Times New Roman" w:hAnsi="Times New Roman" w:eastAsia="Times New Roman"/>
          <w:color w:val="auto"/>
          <w:sz w:val="20"/>
          <w:szCs w:val="24"/>
        </w:rPr>
        <w:t xml:space="preserve"> 2019, </w:t>
      </w:r>
      <w:r>
        <w:rPr>
          <w:rFonts w:hint="default" w:ascii="Times New Roman" w:hAnsi="Times New Roman" w:eastAsia="Times New Roman"/>
          <w:b/>
          <w:color w:val="auto"/>
          <w:sz w:val="20"/>
          <w:szCs w:val="24"/>
        </w:rPr>
        <w:t>106</w:t>
      </w:r>
      <w:r>
        <w:rPr>
          <w:rFonts w:hint="default" w:ascii="Times New Roman" w:hAnsi="Times New Roman" w:eastAsia="Times New Roman"/>
          <w:color w:val="auto"/>
          <w:sz w:val="20"/>
          <w:szCs w:val="24"/>
        </w:rPr>
        <w:t>(9):1228-1236.</w:t>
      </w:r>
      <w:bookmarkEnd w:id="7"/>
    </w:p>
    <w:p w14:paraId="57DC520E">
      <w:pPr>
        <w:spacing w:beforeLines="0" w:afterLines="0"/>
        <w:rPr>
          <w:rFonts w:hint="default"/>
          <w:color w:val="auto"/>
          <w:sz w:val="24"/>
          <w:szCs w:val="24"/>
        </w:rPr>
      </w:pPr>
      <w:r>
        <w:rPr>
          <w:rFonts w:hint="default" w:ascii="Times New Roman" w:hAnsi="Times New Roman" w:eastAsia="Times New Roman"/>
          <w:color w:val="auto"/>
          <w:sz w:val="20"/>
          <w:szCs w:val="24"/>
        </w:rPr>
        <w:t xml:space="preserve"> 7.</w:t>
      </w:r>
      <w:r>
        <w:rPr>
          <w:rFonts w:hint="default" w:ascii="Times New Roman" w:hAnsi="Times New Roman" w:eastAsia="Times New Roman"/>
          <w:color w:val="auto"/>
          <w:sz w:val="20"/>
          <w:szCs w:val="24"/>
        </w:rPr>
        <w:tab/>
      </w:r>
      <w:bookmarkStart w:id="8" w:name="_neb4AAD58FE_EC19_4BEC_9AB3_86E790A14D14"/>
      <w:r>
        <w:rPr>
          <w:rFonts w:hint="default" w:ascii="Times New Roman" w:hAnsi="Times New Roman" w:eastAsia="Times New Roman"/>
          <w:color w:val="auto"/>
          <w:sz w:val="20"/>
          <w:szCs w:val="24"/>
        </w:rPr>
        <w:t xml:space="preserve">Galun D, Bogdanovic A, Zivanovic M, Zuvela M: </w:t>
      </w:r>
      <w:r>
        <w:rPr>
          <w:rFonts w:hint="default" w:ascii="Times New Roman" w:hAnsi="Times New Roman" w:eastAsia="Times New Roman"/>
          <w:b/>
          <w:color w:val="auto"/>
          <w:sz w:val="20"/>
          <w:szCs w:val="24"/>
        </w:rPr>
        <w:t>Short- and Long-Term Outcomes After Hepatectomy in Elderly Patients with  Hepatocellular Carcinoma: An Analysis of 229 Cases from a Developing Country</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J HEPATOCELL CARCINO</w:t>
      </w:r>
      <w:r>
        <w:rPr>
          <w:rFonts w:hint="default" w:ascii="Times New Roman" w:hAnsi="Times New Roman" w:eastAsia="Times New Roman"/>
          <w:color w:val="auto"/>
          <w:sz w:val="20"/>
          <w:szCs w:val="24"/>
        </w:rPr>
        <w:t xml:space="preserve"> 2021, </w:t>
      </w:r>
      <w:r>
        <w:rPr>
          <w:rFonts w:hint="default" w:ascii="Times New Roman" w:hAnsi="Times New Roman" w:eastAsia="Times New Roman"/>
          <w:b/>
          <w:color w:val="auto"/>
          <w:sz w:val="20"/>
          <w:szCs w:val="24"/>
        </w:rPr>
        <w:t>8</w:t>
      </w:r>
      <w:r>
        <w:rPr>
          <w:rFonts w:hint="default" w:ascii="Times New Roman" w:hAnsi="Times New Roman" w:eastAsia="Times New Roman"/>
          <w:color w:val="auto"/>
          <w:sz w:val="20"/>
          <w:szCs w:val="24"/>
        </w:rPr>
        <w:t>:155-165.</w:t>
      </w:r>
      <w:bookmarkEnd w:id="8"/>
    </w:p>
    <w:p w14:paraId="7A2562F9">
      <w:pPr>
        <w:spacing w:beforeLines="0" w:afterLines="0"/>
        <w:rPr>
          <w:rFonts w:hint="default"/>
          <w:color w:val="auto"/>
          <w:sz w:val="24"/>
          <w:szCs w:val="24"/>
        </w:rPr>
      </w:pPr>
      <w:r>
        <w:rPr>
          <w:rFonts w:hint="default" w:ascii="Times New Roman" w:hAnsi="Times New Roman" w:eastAsia="Times New Roman"/>
          <w:color w:val="auto"/>
          <w:sz w:val="20"/>
          <w:szCs w:val="24"/>
        </w:rPr>
        <w:t xml:space="preserve"> 8.</w:t>
      </w:r>
      <w:r>
        <w:rPr>
          <w:rFonts w:hint="default" w:ascii="Times New Roman" w:hAnsi="Times New Roman" w:eastAsia="Times New Roman"/>
          <w:color w:val="auto"/>
          <w:sz w:val="20"/>
          <w:szCs w:val="24"/>
        </w:rPr>
        <w:tab/>
      </w:r>
      <w:bookmarkStart w:id="9" w:name="_nebC3997C97_F34F_419F_9487_387B8C0C8516"/>
      <w:r>
        <w:rPr>
          <w:rFonts w:hint="default" w:ascii="Times New Roman" w:hAnsi="Times New Roman" w:eastAsia="Times New Roman"/>
          <w:color w:val="auto"/>
          <w:sz w:val="20"/>
          <w:szCs w:val="24"/>
        </w:rPr>
        <w:t>Hobeika C, Nault JC, Barbier L, Schwarz L, Lim C, Laurent A, Gay S, Salamé E, Scatton O, Soubrane O</w:t>
      </w:r>
      <w:r>
        <w:rPr>
          <w:rFonts w:hint="default" w:ascii="Times New Roman" w:hAnsi="Times New Roman" w:eastAsia="Times New Roman"/>
          <w:i/>
          <w:color w:val="auto"/>
          <w:sz w:val="20"/>
          <w:szCs w:val="24"/>
        </w:rPr>
        <w:t xml:space="preserve"> et al</w:t>
      </w:r>
      <w:r>
        <w:rPr>
          <w:rFonts w:hint="default" w:ascii="Times New Roman" w:hAnsi="Times New Roman" w:eastAsia="Times New Roman"/>
          <w:color w:val="auto"/>
          <w:sz w:val="20"/>
          <w:szCs w:val="24"/>
        </w:rPr>
        <w:t xml:space="preserve">: </w:t>
      </w:r>
      <w:r>
        <w:rPr>
          <w:rFonts w:hint="default" w:ascii="Times New Roman" w:hAnsi="Times New Roman" w:eastAsia="Times New Roman"/>
          <w:b/>
          <w:color w:val="auto"/>
          <w:sz w:val="20"/>
          <w:szCs w:val="24"/>
        </w:rPr>
        <w:t>Influence of surgical approach and quality of resection on the probability of  cure for early-stage HCC occurring in cirrhosis</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JHEP REP</w:t>
      </w:r>
      <w:r>
        <w:rPr>
          <w:rFonts w:hint="default" w:ascii="Times New Roman" w:hAnsi="Times New Roman" w:eastAsia="Times New Roman"/>
          <w:color w:val="auto"/>
          <w:sz w:val="20"/>
          <w:szCs w:val="24"/>
        </w:rPr>
        <w:t xml:space="preserve"> 2020, </w:t>
      </w:r>
      <w:r>
        <w:rPr>
          <w:rFonts w:hint="default" w:ascii="Times New Roman" w:hAnsi="Times New Roman" w:eastAsia="Times New Roman"/>
          <w:b/>
          <w:color w:val="auto"/>
          <w:sz w:val="20"/>
          <w:szCs w:val="24"/>
        </w:rPr>
        <w:t>2</w:t>
      </w:r>
      <w:r>
        <w:rPr>
          <w:rFonts w:hint="default" w:ascii="Times New Roman" w:hAnsi="Times New Roman" w:eastAsia="Times New Roman"/>
          <w:color w:val="auto"/>
          <w:sz w:val="20"/>
          <w:szCs w:val="24"/>
        </w:rPr>
        <w:t>(6):100153.</w:t>
      </w:r>
      <w:bookmarkEnd w:id="9"/>
    </w:p>
    <w:p w14:paraId="7B69C59A">
      <w:pPr>
        <w:spacing w:beforeLines="0" w:afterLines="0"/>
        <w:rPr>
          <w:rFonts w:hint="default"/>
          <w:color w:val="auto"/>
          <w:sz w:val="24"/>
          <w:szCs w:val="24"/>
        </w:rPr>
      </w:pPr>
      <w:r>
        <w:rPr>
          <w:rFonts w:hint="default" w:ascii="Times New Roman" w:hAnsi="Times New Roman" w:eastAsia="Times New Roman"/>
          <w:color w:val="auto"/>
          <w:sz w:val="20"/>
          <w:szCs w:val="24"/>
        </w:rPr>
        <w:t xml:space="preserve"> 9.</w:t>
      </w:r>
      <w:r>
        <w:rPr>
          <w:rFonts w:hint="default" w:ascii="Times New Roman" w:hAnsi="Times New Roman" w:eastAsia="Times New Roman"/>
          <w:color w:val="auto"/>
          <w:sz w:val="20"/>
          <w:szCs w:val="24"/>
        </w:rPr>
        <w:tab/>
      </w:r>
      <w:bookmarkStart w:id="10" w:name="_neb0342849C_29E1_4D62_A99E_982BB49E149F"/>
      <w:r>
        <w:rPr>
          <w:rFonts w:hint="default" w:ascii="Times New Roman" w:hAnsi="Times New Roman" w:eastAsia="Times New Roman"/>
          <w:color w:val="auto"/>
          <w:sz w:val="20"/>
          <w:szCs w:val="24"/>
        </w:rPr>
        <w:t xml:space="preserve">Wang Y, Yang X, Wang S: </w:t>
      </w:r>
      <w:r>
        <w:rPr>
          <w:rFonts w:hint="default" w:ascii="Times New Roman" w:hAnsi="Times New Roman" w:eastAsia="Times New Roman"/>
          <w:b/>
          <w:color w:val="auto"/>
          <w:sz w:val="20"/>
          <w:szCs w:val="24"/>
        </w:rPr>
        <w:t>Progress and prospects of elastography techniques in the evaluation of fibrosis  in chronic liver disease</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ARCH MED SCI</w:t>
      </w:r>
      <w:r>
        <w:rPr>
          <w:rFonts w:hint="default" w:ascii="Times New Roman" w:hAnsi="Times New Roman" w:eastAsia="Times New Roman"/>
          <w:color w:val="auto"/>
          <w:sz w:val="20"/>
          <w:szCs w:val="24"/>
        </w:rPr>
        <w:t xml:space="preserve"> 2024, </w:t>
      </w:r>
      <w:r>
        <w:rPr>
          <w:rFonts w:hint="default" w:ascii="Times New Roman" w:hAnsi="Times New Roman" w:eastAsia="Times New Roman"/>
          <w:b/>
          <w:color w:val="auto"/>
          <w:sz w:val="20"/>
          <w:szCs w:val="24"/>
        </w:rPr>
        <w:t>20</w:t>
      </w:r>
      <w:r>
        <w:rPr>
          <w:rFonts w:hint="default" w:ascii="Times New Roman" w:hAnsi="Times New Roman" w:eastAsia="Times New Roman"/>
          <w:color w:val="auto"/>
          <w:sz w:val="20"/>
          <w:szCs w:val="24"/>
        </w:rPr>
        <w:t>(6):1784-1792.</w:t>
      </w:r>
      <w:bookmarkEnd w:id="10"/>
    </w:p>
    <w:p w14:paraId="666A416C">
      <w:pPr>
        <w:spacing w:beforeLines="0" w:afterLines="0"/>
        <w:rPr>
          <w:rFonts w:hint="default"/>
          <w:color w:val="auto"/>
          <w:sz w:val="24"/>
          <w:szCs w:val="24"/>
        </w:rPr>
      </w:pPr>
      <w:r>
        <w:rPr>
          <w:rFonts w:hint="default" w:ascii="Times New Roman" w:hAnsi="Times New Roman" w:eastAsia="Times New Roman"/>
          <w:color w:val="auto"/>
          <w:sz w:val="20"/>
          <w:szCs w:val="24"/>
        </w:rPr>
        <w:t>10.</w:t>
      </w:r>
      <w:r>
        <w:rPr>
          <w:rFonts w:hint="default" w:ascii="Times New Roman" w:hAnsi="Times New Roman" w:eastAsia="Times New Roman"/>
          <w:color w:val="auto"/>
          <w:sz w:val="20"/>
          <w:szCs w:val="24"/>
        </w:rPr>
        <w:tab/>
      </w:r>
      <w:bookmarkStart w:id="11" w:name="_nebDFB82060_AC68_4555_9F81_1A3CC3558F23"/>
      <w:r>
        <w:rPr>
          <w:rFonts w:hint="default" w:ascii="Times New Roman" w:hAnsi="Times New Roman" w:eastAsia="Times New Roman"/>
          <w:color w:val="auto"/>
          <w:sz w:val="20"/>
          <w:szCs w:val="24"/>
        </w:rPr>
        <w:t xml:space="preserve">Heyens LJM, Busschots D, Koek GH, Robaeys G, Francque S: </w:t>
      </w:r>
      <w:r>
        <w:rPr>
          <w:rFonts w:hint="default" w:ascii="Times New Roman" w:hAnsi="Times New Roman" w:eastAsia="Times New Roman"/>
          <w:b/>
          <w:color w:val="auto"/>
          <w:sz w:val="20"/>
          <w:szCs w:val="24"/>
        </w:rPr>
        <w:t>Liver Fibrosis in Non-alcoholic Fatty Liver Disease: From Liver Biopsy to  Non-invasive Biomarkers in Diagnosis and Treatment</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FRONT MED-LAUSANNE</w:t>
      </w:r>
      <w:r>
        <w:rPr>
          <w:rFonts w:hint="default" w:ascii="Times New Roman" w:hAnsi="Times New Roman" w:eastAsia="Times New Roman"/>
          <w:color w:val="auto"/>
          <w:sz w:val="20"/>
          <w:szCs w:val="24"/>
        </w:rPr>
        <w:t xml:space="preserve"> 2021, </w:t>
      </w:r>
      <w:r>
        <w:rPr>
          <w:rFonts w:hint="default" w:ascii="Times New Roman" w:hAnsi="Times New Roman" w:eastAsia="Times New Roman"/>
          <w:b/>
          <w:color w:val="auto"/>
          <w:sz w:val="20"/>
          <w:szCs w:val="24"/>
        </w:rPr>
        <w:t>8</w:t>
      </w:r>
      <w:r>
        <w:rPr>
          <w:rFonts w:hint="default" w:ascii="Times New Roman" w:hAnsi="Times New Roman" w:eastAsia="Times New Roman"/>
          <w:color w:val="auto"/>
          <w:sz w:val="20"/>
          <w:szCs w:val="24"/>
        </w:rPr>
        <w:t>:615978.</w:t>
      </w:r>
      <w:bookmarkEnd w:id="11"/>
    </w:p>
    <w:p w14:paraId="681FD277">
      <w:pPr>
        <w:spacing w:beforeLines="0" w:afterLines="0"/>
        <w:rPr>
          <w:rFonts w:hint="default"/>
          <w:color w:val="auto"/>
          <w:sz w:val="24"/>
          <w:szCs w:val="24"/>
        </w:rPr>
      </w:pPr>
      <w:r>
        <w:rPr>
          <w:rFonts w:hint="default" w:ascii="Times New Roman" w:hAnsi="Times New Roman" w:eastAsia="Times New Roman"/>
          <w:color w:val="auto"/>
          <w:sz w:val="20"/>
          <w:szCs w:val="24"/>
        </w:rPr>
        <w:t>11.</w:t>
      </w:r>
      <w:r>
        <w:rPr>
          <w:rFonts w:hint="default" w:ascii="Times New Roman" w:hAnsi="Times New Roman" w:eastAsia="Times New Roman"/>
          <w:color w:val="auto"/>
          <w:sz w:val="20"/>
          <w:szCs w:val="24"/>
        </w:rPr>
        <w:tab/>
      </w:r>
      <w:bookmarkStart w:id="12" w:name="_nebCDF5ED19_AFF7_4AE1_A6E5_E799F9F47A17"/>
      <w:r>
        <w:rPr>
          <w:rFonts w:hint="default" w:ascii="Times New Roman" w:hAnsi="Times New Roman" w:eastAsia="Times New Roman"/>
          <w:color w:val="auto"/>
          <w:sz w:val="20"/>
          <w:szCs w:val="24"/>
        </w:rPr>
        <w:t xml:space="preserve">Maegawa FB, Shehorn L, Aziz H, Kettelle J, Jie T, Riall TS: </w:t>
      </w:r>
      <w:r>
        <w:rPr>
          <w:rFonts w:hint="default" w:ascii="Times New Roman" w:hAnsi="Times New Roman" w:eastAsia="Times New Roman"/>
          <w:b/>
          <w:color w:val="auto"/>
          <w:sz w:val="20"/>
          <w:szCs w:val="24"/>
        </w:rPr>
        <w:t>Association Between Noninvasive Fibrosis Markers and Postoperative Mortality After Hepatectomy for Hepatocellular Carcinoma</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JAMA NETW OPEN</w:t>
      </w:r>
      <w:r>
        <w:rPr>
          <w:rFonts w:hint="default" w:ascii="Times New Roman" w:hAnsi="Times New Roman" w:eastAsia="Times New Roman"/>
          <w:color w:val="auto"/>
          <w:sz w:val="20"/>
          <w:szCs w:val="24"/>
        </w:rPr>
        <w:t xml:space="preserve"> 2019, </w:t>
      </w:r>
      <w:r>
        <w:rPr>
          <w:rFonts w:hint="default" w:ascii="Times New Roman" w:hAnsi="Times New Roman" w:eastAsia="Times New Roman"/>
          <w:b/>
          <w:color w:val="auto"/>
          <w:sz w:val="20"/>
          <w:szCs w:val="24"/>
        </w:rPr>
        <w:t>2</w:t>
      </w:r>
      <w:r>
        <w:rPr>
          <w:rFonts w:hint="default" w:ascii="Times New Roman" w:hAnsi="Times New Roman" w:eastAsia="Times New Roman"/>
          <w:color w:val="auto"/>
          <w:sz w:val="20"/>
          <w:szCs w:val="24"/>
        </w:rPr>
        <w:t>(1):e187142.</w:t>
      </w:r>
      <w:bookmarkEnd w:id="12"/>
    </w:p>
    <w:p w14:paraId="2816D2EF">
      <w:pPr>
        <w:spacing w:beforeLines="0" w:afterLines="0"/>
        <w:rPr>
          <w:rFonts w:hint="default"/>
          <w:color w:val="auto"/>
          <w:sz w:val="24"/>
          <w:szCs w:val="24"/>
        </w:rPr>
      </w:pPr>
      <w:r>
        <w:rPr>
          <w:rFonts w:hint="default" w:ascii="Times New Roman" w:hAnsi="Times New Roman" w:eastAsia="Times New Roman"/>
          <w:color w:val="auto"/>
          <w:sz w:val="20"/>
          <w:szCs w:val="24"/>
        </w:rPr>
        <w:t>12.</w:t>
      </w:r>
      <w:r>
        <w:rPr>
          <w:rFonts w:hint="default" w:ascii="Times New Roman" w:hAnsi="Times New Roman" w:eastAsia="Times New Roman"/>
          <w:color w:val="auto"/>
          <w:sz w:val="20"/>
          <w:szCs w:val="24"/>
        </w:rPr>
        <w:tab/>
      </w:r>
      <w:bookmarkStart w:id="13" w:name="_neb5A34F24A_C55D_45F4_B351_AC4E3D242511"/>
      <w:r>
        <w:rPr>
          <w:rFonts w:hint="default" w:ascii="Times New Roman" w:hAnsi="Times New Roman" w:eastAsia="Times New Roman"/>
          <w:color w:val="auto"/>
          <w:sz w:val="20"/>
          <w:szCs w:val="24"/>
        </w:rPr>
        <w:t>Kamada Y, Munekage K, Nakahara T, Fujii H, Sawai Y, Doi Y, Hyogo H, Sumida Y, Imai Y, Miyoshi E</w:t>
      </w:r>
      <w:r>
        <w:rPr>
          <w:rFonts w:hint="default" w:ascii="Times New Roman" w:hAnsi="Times New Roman" w:eastAsia="Times New Roman"/>
          <w:i/>
          <w:color w:val="auto"/>
          <w:sz w:val="20"/>
          <w:szCs w:val="24"/>
        </w:rPr>
        <w:t xml:space="preserve"> et al</w:t>
      </w:r>
      <w:r>
        <w:rPr>
          <w:rFonts w:hint="default" w:ascii="Times New Roman" w:hAnsi="Times New Roman" w:eastAsia="Times New Roman"/>
          <w:color w:val="auto"/>
          <w:sz w:val="20"/>
          <w:szCs w:val="24"/>
        </w:rPr>
        <w:t xml:space="preserve">: </w:t>
      </w:r>
      <w:r>
        <w:rPr>
          <w:rFonts w:hint="default" w:ascii="Times New Roman" w:hAnsi="Times New Roman" w:eastAsia="Times New Roman"/>
          <w:b/>
          <w:color w:val="auto"/>
          <w:sz w:val="20"/>
          <w:szCs w:val="24"/>
        </w:rPr>
        <w:t>The FIB-4 Index Predicts the Development of Liver-Related Events, Extrahepatic  Cancers, and Coronary Vascular Disease in Patients with NAFLD</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NUTRIENTS</w:t>
      </w:r>
      <w:r>
        <w:rPr>
          <w:rFonts w:hint="default" w:ascii="Times New Roman" w:hAnsi="Times New Roman" w:eastAsia="Times New Roman"/>
          <w:color w:val="auto"/>
          <w:sz w:val="20"/>
          <w:szCs w:val="24"/>
        </w:rPr>
        <w:t xml:space="preserve"> 2022, </w:t>
      </w:r>
      <w:r>
        <w:rPr>
          <w:rFonts w:hint="default" w:ascii="Times New Roman" w:hAnsi="Times New Roman" w:eastAsia="Times New Roman"/>
          <w:b/>
          <w:color w:val="auto"/>
          <w:sz w:val="20"/>
          <w:szCs w:val="24"/>
        </w:rPr>
        <w:t>15</w:t>
      </w:r>
      <w:r>
        <w:rPr>
          <w:rFonts w:hint="default" w:ascii="Times New Roman" w:hAnsi="Times New Roman" w:eastAsia="Times New Roman"/>
          <w:color w:val="auto"/>
          <w:sz w:val="20"/>
          <w:szCs w:val="24"/>
        </w:rPr>
        <w:t>(1).</w:t>
      </w:r>
      <w:bookmarkEnd w:id="13"/>
    </w:p>
    <w:p w14:paraId="363C1C4C">
      <w:pPr>
        <w:spacing w:beforeLines="0" w:afterLines="0"/>
        <w:rPr>
          <w:rFonts w:hint="default"/>
          <w:color w:val="auto"/>
          <w:sz w:val="24"/>
          <w:szCs w:val="24"/>
        </w:rPr>
      </w:pPr>
      <w:r>
        <w:rPr>
          <w:rFonts w:hint="default" w:ascii="Times New Roman" w:hAnsi="Times New Roman" w:eastAsia="Times New Roman"/>
          <w:color w:val="auto"/>
          <w:sz w:val="20"/>
          <w:szCs w:val="24"/>
        </w:rPr>
        <w:t>13.</w:t>
      </w:r>
      <w:r>
        <w:rPr>
          <w:rFonts w:hint="default" w:ascii="Times New Roman" w:hAnsi="Times New Roman" w:eastAsia="Times New Roman"/>
          <w:color w:val="auto"/>
          <w:sz w:val="20"/>
          <w:szCs w:val="24"/>
        </w:rPr>
        <w:tab/>
      </w:r>
      <w:bookmarkStart w:id="14" w:name="_neb03A38C81_339F_49DF_BA04_1735C45CFE0C"/>
      <w:r>
        <w:rPr>
          <w:rFonts w:hint="default" w:ascii="Times New Roman" w:hAnsi="Times New Roman" w:eastAsia="Times New Roman"/>
          <w:color w:val="auto"/>
          <w:sz w:val="20"/>
          <w:szCs w:val="24"/>
        </w:rPr>
        <w:t xml:space="preserve">Yun SO, Kim JM, Rhu J, Choi G, Joh J: </w:t>
      </w:r>
      <w:r>
        <w:rPr>
          <w:rFonts w:hint="default" w:ascii="Times New Roman" w:hAnsi="Times New Roman" w:eastAsia="Times New Roman"/>
          <w:b/>
          <w:color w:val="auto"/>
          <w:sz w:val="20"/>
          <w:szCs w:val="24"/>
        </w:rPr>
        <w:t>Fibrosis-4 index, a predictor for prognosis of hepatocellular carcinoma patients after curative hepatectomy even in hepatitis B virus dominant populations</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ANN SURG TREAT RES</w:t>
      </w:r>
      <w:r>
        <w:rPr>
          <w:rFonts w:hint="default" w:ascii="Times New Roman" w:hAnsi="Times New Roman" w:eastAsia="Times New Roman"/>
          <w:color w:val="auto"/>
          <w:sz w:val="20"/>
          <w:szCs w:val="24"/>
        </w:rPr>
        <w:t xml:space="preserve"> 2023, </w:t>
      </w:r>
      <w:r>
        <w:rPr>
          <w:rFonts w:hint="default" w:ascii="Times New Roman" w:hAnsi="Times New Roman" w:eastAsia="Times New Roman"/>
          <w:b/>
          <w:color w:val="auto"/>
          <w:sz w:val="20"/>
          <w:szCs w:val="24"/>
        </w:rPr>
        <w:t>104</w:t>
      </w:r>
      <w:r>
        <w:rPr>
          <w:rFonts w:hint="default" w:ascii="Times New Roman" w:hAnsi="Times New Roman" w:eastAsia="Times New Roman"/>
          <w:color w:val="auto"/>
          <w:sz w:val="20"/>
          <w:szCs w:val="24"/>
        </w:rPr>
        <w:t>(4):195.</w:t>
      </w:r>
      <w:bookmarkEnd w:id="14"/>
    </w:p>
    <w:p w14:paraId="456D107E">
      <w:pPr>
        <w:spacing w:beforeLines="0" w:afterLines="0"/>
        <w:rPr>
          <w:rFonts w:hint="default"/>
          <w:color w:val="auto"/>
          <w:sz w:val="24"/>
          <w:szCs w:val="24"/>
        </w:rPr>
      </w:pPr>
      <w:r>
        <w:rPr>
          <w:rFonts w:hint="default" w:ascii="Times New Roman" w:hAnsi="Times New Roman" w:eastAsia="Times New Roman"/>
          <w:color w:val="auto"/>
          <w:sz w:val="20"/>
          <w:szCs w:val="24"/>
        </w:rPr>
        <w:t>14.</w:t>
      </w:r>
      <w:r>
        <w:rPr>
          <w:rFonts w:hint="default" w:ascii="Times New Roman" w:hAnsi="Times New Roman" w:eastAsia="Times New Roman"/>
          <w:color w:val="auto"/>
          <w:sz w:val="20"/>
          <w:szCs w:val="24"/>
        </w:rPr>
        <w:tab/>
      </w:r>
      <w:bookmarkStart w:id="15" w:name="_neb7353432F_C354_4FC4_994A_1CEB4CA6237E"/>
      <w:r>
        <w:rPr>
          <w:rFonts w:hint="default" w:ascii="Times New Roman" w:hAnsi="Times New Roman" w:eastAsia="Times New Roman"/>
          <w:color w:val="auto"/>
          <w:sz w:val="20"/>
          <w:szCs w:val="24"/>
        </w:rPr>
        <w:t xml:space="preserve">Åberg F, Asteljoki J, Männistö V, Luukkonen PK: </w:t>
      </w:r>
      <w:r>
        <w:rPr>
          <w:rFonts w:hint="default" w:ascii="Times New Roman" w:hAnsi="Times New Roman" w:eastAsia="Times New Roman"/>
          <w:b/>
          <w:color w:val="auto"/>
          <w:sz w:val="20"/>
          <w:szCs w:val="24"/>
        </w:rPr>
        <w:t>Combined use of the CLivD score and FIB-4 for prediction of liver-related  outcomes in the population</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HEPATOLOGY</w:t>
      </w:r>
      <w:r>
        <w:rPr>
          <w:rFonts w:hint="default" w:ascii="Times New Roman" w:hAnsi="Times New Roman" w:eastAsia="Times New Roman"/>
          <w:color w:val="auto"/>
          <w:sz w:val="20"/>
          <w:szCs w:val="24"/>
        </w:rPr>
        <w:t xml:space="preserve"> 2024, </w:t>
      </w:r>
      <w:r>
        <w:rPr>
          <w:rFonts w:hint="default" w:ascii="Times New Roman" w:hAnsi="Times New Roman" w:eastAsia="Times New Roman"/>
          <w:b/>
          <w:color w:val="auto"/>
          <w:sz w:val="20"/>
          <w:szCs w:val="24"/>
        </w:rPr>
        <w:t>80</w:t>
      </w:r>
      <w:r>
        <w:rPr>
          <w:rFonts w:hint="default" w:ascii="Times New Roman" w:hAnsi="Times New Roman" w:eastAsia="Times New Roman"/>
          <w:color w:val="auto"/>
          <w:sz w:val="20"/>
          <w:szCs w:val="24"/>
        </w:rPr>
        <w:t>(1):163-172.</w:t>
      </w:r>
      <w:bookmarkEnd w:id="15"/>
    </w:p>
    <w:p w14:paraId="66A315BD">
      <w:pPr>
        <w:spacing w:beforeLines="0" w:afterLines="0"/>
        <w:rPr>
          <w:rFonts w:hint="default"/>
          <w:color w:val="auto"/>
          <w:sz w:val="24"/>
          <w:szCs w:val="24"/>
        </w:rPr>
      </w:pPr>
      <w:r>
        <w:rPr>
          <w:rFonts w:hint="default" w:ascii="Times New Roman" w:hAnsi="Times New Roman" w:eastAsia="Times New Roman"/>
          <w:color w:val="auto"/>
          <w:sz w:val="20"/>
          <w:szCs w:val="24"/>
        </w:rPr>
        <w:t>15.</w:t>
      </w:r>
      <w:r>
        <w:rPr>
          <w:rFonts w:hint="default" w:ascii="Times New Roman" w:hAnsi="Times New Roman" w:eastAsia="Times New Roman"/>
          <w:color w:val="auto"/>
          <w:sz w:val="20"/>
          <w:szCs w:val="24"/>
        </w:rPr>
        <w:tab/>
      </w:r>
      <w:bookmarkStart w:id="16" w:name="_neb9D8BBE8F_B1F7_470A_A0E4_92A45328317E"/>
      <w:r>
        <w:rPr>
          <w:rFonts w:hint="default" w:ascii="Times New Roman" w:hAnsi="Times New Roman" w:eastAsia="Times New Roman"/>
          <w:color w:val="auto"/>
          <w:sz w:val="20"/>
          <w:szCs w:val="24"/>
        </w:rPr>
        <w:t xml:space="preserve">Dong J, Xu X, Ke M, Xiang J, Liu W, Liu X, Wang B, Zhang X, Lv Y: </w:t>
      </w:r>
      <w:r>
        <w:rPr>
          <w:rFonts w:hint="default" w:ascii="Times New Roman" w:hAnsi="Times New Roman" w:eastAsia="Times New Roman"/>
          <w:b/>
          <w:color w:val="auto"/>
          <w:sz w:val="20"/>
          <w:szCs w:val="24"/>
        </w:rPr>
        <w:t>The FIB-4 score predicts postoperative short-term outcomes of hepatocellular  carcinoma fulfilling the milan criteria</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EJSO-EUR J SURG ONC</w:t>
      </w:r>
      <w:r>
        <w:rPr>
          <w:rFonts w:hint="default" w:ascii="Times New Roman" w:hAnsi="Times New Roman" w:eastAsia="Times New Roman"/>
          <w:color w:val="auto"/>
          <w:sz w:val="20"/>
          <w:szCs w:val="24"/>
        </w:rPr>
        <w:t xml:space="preserve"> 2016, </w:t>
      </w:r>
      <w:r>
        <w:rPr>
          <w:rFonts w:hint="default" w:ascii="Times New Roman" w:hAnsi="Times New Roman" w:eastAsia="Times New Roman"/>
          <w:b/>
          <w:color w:val="auto"/>
          <w:sz w:val="20"/>
          <w:szCs w:val="24"/>
        </w:rPr>
        <w:t>42</w:t>
      </w:r>
      <w:r>
        <w:rPr>
          <w:rFonts w:hint="default" w:ascii="Times New Roman" w:hAnsi="Times New Roman" w:eastAsia="Times New Roman"/>
          <w:color w:val="auto"/>
          <w:sz w:val="20"/>
          <w:szCs w:val="24"/>
        </w:rPr>
        <w:t>(5):722-727.</w:t>
      </w:r>
      <w:bookmarkEnd w:id="16"/>
    </w:p>
    <w:p w14:paraId="49751987">
      <w:pPr>
        <w:spacing w:beforeLines="0" w:afterLines="0"/>
        <w:rPr>
          <w:rFonts w:hint="default"/>
          <w:color w:val="auto"/>
          <w:sz w:val="24"/>
          <w:szCs w:val="24"/>
        </w:rPr>
      </w:pPr>
      <w:r>
        <w:rPr>
          <w:rFonts w:hint="default" w:ascii="Times New Roman" w:hAnsi="Times New Roman" w:eastAsia="Times New Roman"/>
          <w:color w:val="auto"/>
          <w:sz w:val="20"/>
          <w:szCs w:val="24"/>
        </w:rPr>
        <w:t>16.</w:t>
      </w:r>
      <w:r>
        <w:rPr>
          <w:rFonts w:hint="default" w:ascii="Times New Roman" w:hAnsi="Times New Roman" w:eastAsia="Times New Roman"/>
          <w:color w:val="auto"/>
          <w:sz w:val="20"/>
          <w:szCs w:val="24"/>
        </w:rPr>
        <w:tab/>
      </w:r>
      <w:bookmarkStart w:id="17" w:name="_nebF0A589D5_3120_4C8D_ABB6_39C0DA0B2716"/>
      <w:r>
        <w:rPr>
          <w:rFonts w:hint="default" w:ascii="Times New Roman" w:hAnsi="Times New Roman" w:eastAsia="Times New Roman"/>
          <w:color w:val="auto"/>
          <w:sz w:val="20"/>
          <w:szCs w:val="24"/>
        </w:rPr>
        <w:t xml:space="preserve">Toyoda H, Kumada T, Tada T, Kaneoka Y, Maeda A: </w:t>
      </w:r>
      <w:r>
        <w:rPr>
          <w:rFonts w:hint="default" w:ascii="Times New Roman" w:hAnsi="Times New Roman" w:eastAsia="Times New Roman"/>
          <w:b/>
          <w:color w:val="auto"/>
          <w:sz w:val="20"/>
          <w:szCs w:val="24"/>
        </w:rPr>
        <w:t>A laboratory marker, FIB-4 index, as a predictor for long-term outcomes of  hepatocellular carcinoma patients after curative hepatic resection</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SURGERY</w:t>
      </w:r>
      <w:r>
        <w:rPr>
          <w:rFonts w:hint="default" w:ascii="Times New Roman" w:hAnsi="Times New Roman" w:eastAsia="Times New Roman"/>
          <w:color w:val="auto"/>
          <w:sz w:val="20"/>
          <w:szCs w:val="24"/>
        </w:rPr>
        <w:t xml:space="preserve"> 2015, </w:t>
      </w:r>
      <w:r>
        <w:rPr>
          <w:rFonts w:hint="default" w:ascii="Times New Roman" w:hAnsi="Times New Roman" w:eastAsia="Times New Roman"/>
          <w:b/>
          <w:color w:val="auto"/>
          <w:sz w:val="20"/>
          <w:szCs w:val="24"/>
        </w:rPr>
        <w:t>157</w:t>
      </w:r>
      <w:r>
        <w:rPr>
          <w:rFonts w:hint="default" w:ascii="Times New Roman" w:hAnsi="Times New Roman" w:eastAsia="Times New Roman"/>
          <w:color w:val="auto"/>
          <w:sz w:val="20"/>
          <w:szCs w:val="24"/>
        </w:rPr>
        <w:t>(4):699-707.</w:t>
      </w:r>
      <w:bookmarkEnd w:id="17"/>
    </w:p>
    <w:p w14:paraId="17FC5B91">
      <w:pPr>
        <w:spacing w:beforeLines="0" w:afterLines="0"/>
        <w:rPr>
          <w:rFonts w:hint="default"/>
          <w:color w:val="auto"/>
          <w:sz w:val="24"/>
          <w:szCs w:val="24"/>
        </w:rPr>
      </w:pPr>
      <w:r>
        <w:rPr>
          <w:rFonts w:hint="default" w:ascii="Times New Roman" w:hAnsi="Times New Roman" w:eastAsia="Times New Roman"/>
          <w:color w:val="auto"/>
          <w:sz w:val="20"/>
          <w:szCs w:val="24"/>
        </w:rPr>
        <w:t>17.</w:t>
      </w:r>
      <w:r>
        <w:rPr>
          <w:rFonts w:hint="default" w:ascii="Times New Roman" w:hAnsi="Times New Roman" w:eastAsia="Times New Roman"/>
          <w:color w:val="auto"/>
          <w:sz w:val="20"/>
          <w:szCs w:val="24"/>
        </w:rPr>
        <w:tab/>
      </w:r>
      <w:bookmarkStart w:id="18" w:name="_neb2A0D264E_9B8D_45FC_818B_A3BBCD557CD9"/>
      <w:r>
        <w:rPr>
          <w:rFonts w:hint="default" w:ascii="Times New Roman" w:hAnsi="Times New Roman" w:eastAsia="Times New Roman"/>
          <w:color w:val="auto"/>
          <w:sz w:val="20"/>
          <w:szCs w:val="24"/>
        </w:rPr>
        <w:t xml:space="preserve">Zhang J, Luo Y, Li C, Liu J, Xiang H, Wen T: </w:t>
      </w:r>
      <w:r>
        <w:rPr>
          <w:rFonts w:hint="default" w:ascii="Times New Roman" w:hAnsi="Times New Roman" w:eastAsia="Times New Roman"/>
          <w:b/>
          <w:color w:val="auto"/>
          <w:sz w:val="20"/>
          <w:szCs w:val="24"/>
        </w:rPr>
        <w:t>The combination of the preoperative albumin-bilirubin grade and the fibrosis-4 index predicts the prognosis of patients with hepatocellular carcinoma after liver resection</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BIOSCI TRENDS</w:t>
      </w:r>
      <w:r>
        <w:rPr>
          <w:rFonts w:hint="default" w:ascii="Times New Roman" w:hAnsi="Times New Roman" w:eastAsia="Times New Roman"/>
          <w:color w:val="auto"/>
          <w:sz w:val="20"/>
          <w:szCs w:val="24"/>
        </w:rPr>
        <w:t xml:space="preserve"> 2019, </w:t>
      </w:r>
      <w:r>
        <w:rPr>
          <w:rFonts w:hint="default" w:ascii="Times New Roman" w:hAnsi="Times New Roman" w:eastAsia="Times New Roman"/>
          <w:b/>
          <w:color w:val="auto"/>
          <w:sz w:val="20"/>
          <w:szCs w:val="24"/>
        </w:rPr>
        <w:t>13</w:t>
      </w:r>
      <w:r>
        <w:rPr>
          <w:rFonts w:hint="default" w:ascii="Times New Roman" w:hAnsi="Times New Roman" w:eastAsia="Times New Roman"/>
          <w:color w:val="auto"/>
          <w:sz w:val="20"/>
          <w:szCs w:val="24"/>
        </w:rPr>
        <w:t>(4):351-357.</w:t>
      </w:r>
      <w:bookmarkEnd w:id="18"/>
    </w:p>
    <w:p w14:paraId="68B466B7">
      <w:pPr>
        <w:spacing w:beforeLines="0" w:afterLines="0"/>
        <w:rPr>
          <w:rFonts w:hint="default"/>
          <w:color w:val="auto"/>
          <w:sz w:val="24"/>
          <w:szCs w:val="24"/>
        </w:rPr>
      </w:pPr>
      <w:r>
        <w:rPr>
          <w:rFonts w:hint="default" w:ascii="Times New Roman" w:hAnsi="Times New Roman" w:eastAsia="Times New Roman"/>
          <w:color w:val="auto"/>
          <w:sz w:val="20"/>
          <w:szCs w:val="24"/>
        </w:rPr>
        <w:t>18.</w:t>
      </w:r>
      <w:r>
        <w:rPr>
          <w:rFonts w:hint="default" w:ascii="Times New Roman" w:hAnsi="Times New Roman" w:eastAsia="Times New Roman"/>
          <w:color w:val="auto"/>
          <w:sz w:val="20"/>
          <w:szCs w:val="24"/>
        </w:rPr>
        <w:tab/>
      </w:r>
      <w:bookmarkStart w:id="19" w:name="_neb9863D96B_A477_4564_86AD_96E957AEDBEF"/>
      <w:r>
        <w:rPr>
          <w:rFonts w:hint="default" w:ascii="Times New Roman" w:hAnsi="Times New Roman" w:eastAsia="Times New Roman"/>
          <w:color w:val="auto"/>
          <w:sz w:val="20"/>
          <w:szCs w:val="24"/>
        </w:rPr>
        <w:t>Sterling RK, Lissen E, Clumeck N, Sola R, Correa MC, Montaner J, S Sulkowski M, Torriani FJ, Dieterich DT, Thomas DL</w:t>
      </w:r>
      <w:r>
        <w:rPr>
          <w:rFonts w:hint="default" w:ascii="Times New Roman" w:hAnsi="Times New Roman" w:eastAsia="Times New Roman"/>
          <w:i/>
          <w:color w:val="auto"/>
          <w:sz w:val="20"/>
          <w:szCs w:val="24"/>
        </w:rPr>
        <w:t xml:space="preserve"> et al</w:t>
      </w:r>
      <w:r>
        <w:rPr>
          <w:rFonts w:hint="default" w:ascii="Times New Roman" w:hAnsi="Times New Roman" w:eastAsia="Times New Roman"/>
          <w:color w:val="auto"/>
          <w:sz w:val="20"/>
          <w:szCs w:val="24"/>
        </w:rPr>
        <w:t xml:space="preserve">: </w:t>
      </w:r>
      <w:r>
        <w:rPr>
          <w:rFonts w:hint="default" w:ascii="Times New Roman" w:hAnsi="Times New Roman" w:eastAsia="Times New Roman"/>
          <w:b/>
          <w:color w:val="auto"/>
          <w:sz w:val="20"/>
          <w:szCs w:val="24"/>
        </w:rPr>
        <w:t>Development of a simple noninvasive index to predict significant fibrosis in patients with HIV/HCV coinfection</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HEPATOLOGY</w:t>
      </w:r>
      <w:r>
        <w:rPr>
          <w:rFonts w:hint="default" w:ascii="Times New Roman" w:hAnsi="Times New Roman" w:eastAsia="Times New Roman"/>
          <w:color w:val="auto"/>
          <w:sz w:val="20"/>
          <w:szCs w:val="24"/>
        </w:rPr>
        <w:t xml:space="preserve"> 2006, </w:t>
      </w:r>
      <w:r>
        <w:rPr>
          <w:rFonts w:hint="default" w:ascii="Times New Roman" w:hAnsi="Times New Roman" w:eastAsia="Times New Roman"/>
          <w:b/>
          <w:color w:val="auto"/>
          <w:sz w:val="20"/>
          <w:szCs w:val="24"/>
        </w:rPr>
        <w:t>43</w:t>
      </w:r>
      <w:r>
        <w:rPr>
          <w:rFonts w:hint="default" w:ascii="Times New Roman" w:hAnsi="Times New Roman" w:eastAsia="Times New Roman"/>
          <w:color w:val="auto"/>
          <w:sz w:val="20"/>
          <w:szCs w:val="24"/>
        </w:rPr>
        <w:t>(6):1317-1325.</w:t>
      </w:r>
      <w:bookmarkEnd w:id="19"/>
    </w:p>
    <w:p w14:paraId="4A4C992B">
      <w:pPr>
        <w:spacing w:beforeLines="0" w:afterLines="0"/>
        <w:rPr>
          <w:rFonts w:hint="default"/>
          <w:color w:val="auto"/>
          <w:sz w:val="24"/>
          <w:szCs w:val="24"/>
        </w:rPr>
      </w:pPr>
      <w:r>
        <w:rPr>
          <w:rFonts w:hint="default" w:ascii="Times New Roman" w:hAnsi="Times New Roman" w:eastAsia="Times New Roman"/>
          <w:color w:val="auto"/>
          <w:sz w:val="20"/>
          <w:szCs w:val="24"/>
        </w:rPr>
        <w:t>19.</w:t>
      </w:r>
      <w:r>
        <w:rPr>
          <w:rFonts w:hint="default" w:ascii="Times New Roman" w:hAnsi="Times New Roman" w:eastAsia="Times New Roman"/>
          <w:color w:val="auto"/>
          <w:sz w:val="20"/>
          <w:szCs w:val="24"/>
        </w:rPr>
        <w:tab/>
      </w:r>
      <w:bookmarkStart w:id="20" w:name="_neb90C35E1E_0113_4F0E_BF36_F152FC09F31A"/>
      <w:r>
        <w:rPr>
          <w:rFonts w:hint="default" w:ascii="Times New Roman" w:hAnsi="Times New Roman" w:eastAsia="Times New Roman"/>
          <w:color w:val="auto"/>
          <w:sz w:val="20"/>
          <w:szCs w:val="24"/>
        </w:rPr>
        <w:t xml:space="preserve">Wang H, Liu A, Bo W, Feng X, Hu Y, Tian L, Zhang H, Tang X, Zhang L: </w:t>
      </w:r>
      <w:r>
        <w:rPr>
          <w:rFonts w:hint="default" w:ascii="Times New Roman" w:hAnsi="Times New Roman" w:eastAsia="Times New Roman"/>
          <w:b/>
          <w:color w:val="auto"/>
          <w:sz w:val="20"/>
          <w:szCs w:val="24"/>
        </w:rPr>
        <w:t>Fibrosis-4 Model Influences Results of Patients with Hepatocellular Carcinoma  Undergoing Hepatectomy</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BIOMED RES INT</w:t>
      </w:r>
      <w:r>
        <w:rPr>
          <w:rFonts w:hint="default" w:ascii="Times New Roman" w:hAnsi="Times New Roman" w:eastAsia="Times New Roman"/>
          <w:color w:val="auto"/>
          <w:sz w:val="20"/>
          <w:szCs w:val="24"/>
        </w:rPr>
        <w:t xml:space="preserve"> 2018, </w:t>
      </w:r>
      <w:r>
        <w:rPr>
          <w:rFonts w:hint="default" w:ascii="Times New Roman" w:hAnsi="Times New Roman" w:eastAsia="Times New Roman"/>
          <w:b/>
          <w:color w:val="auto"/>
          <w:sz w:val="20"/>
          <w:szCs w:val="24"/>
        </w:rPr>
        <w:t>2018</w:t>
      </w:r>
      <w:r>
        <w:rPr>
          <w:rFonts w:hint="default" w:ascii="Times New Roman" w:hAnsi="Times New Roman" w:eastAsia="Times New Roman"/>
          <w:color w:val="auto"/>
          <w:sz w:val="20"/>
          <w:szCs w:val="24"/>
        </w:rPr>
        <w:t>:4305408.</w:t>
      </w:r>
      <w:bookmarkEnd w:id="20"/>
    </w:p>
    <w:p w14:paraId="4F897DF3">
      <w:pPr>
        <w:spacing w:beforeLines="0" w:afterLines="0"/>
        <w:rPr>
          <w:rFonts w:hint="default"/>
          <w:color w:val="auto"/>
          <w:sz w:val="24"/>
          <w:szCs w:val="24"/>
        </w:rPr>
      </w:pPr>
      <w:r>
        <w:rPr>
          <w:rFonts w:hint="default" w:ascii="Times New Roman" w:hAnsi="Times New Roman" w:eastAsia="Times New Roman"/>
          <w:color w:val="auto"/>
          <w:sz w:val="20"/>
          <w:szCs w:val="24"/>
        </w:rPr>
        <w:t>20.</w:t>
      </w:r>
      <w:r>
        <w:rPr>
          <w:rFonts w:hint="default" w:ascii="Times New Roman" w:hAnsi="Times New Roman" w:eastAsia="Times New Roman"/>
          <w:color w:val="auto"/>
          <w:sz w:val="20"/>
          <w:szCs w:val="24"/>
        </w:rPr>
        <w:tab/>
      </w:r>
      <w:bookmarkStart w:id="21" w:name="_nebB81ACEF7_BDB9_4511_AB5E_80761A6DE603"/>
      <w:r>
        <w:rPr>
          <w:rFonts w:hint="default" w:ascii="Times New Roman" w:hAnsi="Times New Roman" w:eastAsia="Times New Roman"/>
          <w:color w:val="auto"/>
          <w:sz w:val="20"/>
          <w:szCs w:val="24"/>
        </w:rPr>
        <w:t xml:space="preserve">Hu X, Chen R, Wei Q, Xu X: </w:t>
      </w:r>
      <w:r>
        <w:rPr>
          <w:rFonts w:hint="default" w:ascii="Times New Roman" w:hAnsi="Times New Roman" w:eastAsia="Times New Roman"/>
          <w:b/>
          <w:color w:val="auto"/>
          <w:sz w:val="20"/>
          <w:szCs w:val="24"/>
        </w:rPr>
        <w:t>The Landscape Of Alpha Fetoprotein In Hepatocellular Carcinoma: Where Are We?</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INT J BIOL SCI</w:t>
      </w:r>
      <w:r>
        <w:rPr>
          <w:rFonts w:hint="default" w:ascii="Times New Roman" w:hAnsi="Times New Roman" w:eastAsia="Times New Roman"/>
          <w:color w:val="auto"/>
          <w:sz w:val="20"/>
          <w:szCs w:val="24"/>
        </w:rPr>
        <w:t xml:space="preserve"> 2022, </w:t>
      </w:r>
      <w:r>
        <w:rPr>
          <w:rFonts w:hint="default" w:ascii="Times New Roman" w:hAnsi="Times New Roman" w:eastAsia="Times New Roman"/>
          <w:b/>
          <w:color w:val="auto"/>
          <w:sz w:val="20"/>
          <w:szCs w:val="24"/>
        </w:rPr>
        <w:t>18</w:t>
      </w:r>
      <w:r>
        <w:rPr>
          <w:rFonts w:hint="default" w:ascii="Times New Roman" w:hAnsi="Times New Roman" w:eastAsia="Times New Roman"/>
          <w:color w:val="auto"/>
          <w:sz w:val="20"/>
          <w:szCs w:val="24"/>
        </w:rPr>
        <w:t>(2):536-551.</w:t>
      </w:r>
      <w:bookmarkEnd w:id="21"/>
    </w:p>
    <w:p w14:paraId="6106FCCB">
      <w:pPr>
        <w:spacing w:beforeLines="0" w:afterLines="0"/>
        <w:rPr>
          <w:rFonts w:hint="default"/>
          <w:color w:val="auto"/>
          <w:sz w:val="24"/>
          <w:szCs w:val="24"/>
        </w:rPr>
      </w:pPr>
      <w:r>
        <w:rPr>
          <w:rFonts w:hint="default" w:ascii="Times New Roman" w:hAnsi="Times New Roman" w:eastAsia="Times New Roman"/>
          <w:color w:val="auto"/>
          <w:sz w:val="20"/>
          <w:szCs w:val="24"/>
        </w:rPr>
        <w:t>21.</w:t>
      </w:r>
      <w:r>
        <w:rPr>
          <w:rFonts w:hint="default" w:ascii="Times New Roman" w:hAnsi="Times New Roman" w:eastAsia="Times New Roman"/>
          <w:color w:val="auto"/>
          <w:sz w:val="20"/>
          <w:szCs w:val="24"/>
        </w:rPr>
        <w:tab/>
      </w:r>
      <w:bookmarkStart w:id="22" w:name="_nebB4E161D7_52BD_42E0_9BDC_64CE93542498"/>
      <w:r>
        <w:rPr>
          <w:rFonts w:hint="default" w:ascii="Times New Roman" w:hAnsi="Times New Roman" w:eastAsia="Times New Roman"/>
          <w:color w:val="auto"/>
          <w:sz w:val="20"/>
          <w:szCs w:val="24"/>
        </w:rPr>
        <w:t xml:space="preserve">Lv X, Zhang P, Zhang E, Yang S: </w:t>
      </w:r>
      <w:r>
        <w:rPr>
          <w:rFonts w:hint="default" w:ascii="Times New Roman" w:hAnsi="Times New Roman" w:eastAsia="Times New Roman"/>
          <w:b/>
          <w:color w:val="auto"/>
          <w:sz w:val="20"/>
          <w:szCs w:val="24"/>
        </w:rPr>
        <w:t>Predictive factors and prognostic models for Hepatic arterial infusion  chemotherapy in Hepatocellular carcinoma: a comprehensive review</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WORLD J SURG ONCOL</w:t>
      </w:r>
      <w:r>
        <w:rPr>
          <w:rFonts w:hint="default" w:ascii="Times New Roman" w:hAnsi="Times New Roman" w:eastAsia="Times New Roman"/>
          <w:color w:val="auto"/>
          <w:sz w:val="20"/>
          <w:szCs w:val="24"/>
        </w:rPr>
        <w:t xml:space="preserve"> 2025, </w:t>
      </w:r>
      <w:r>
        <w:rPr>
          <w:rFonts w:hint="default" w:ascii="Times New Roman" w:hAnsi="Times New Roman" w:eastAsia="Times New Roman"/>
          <w:b/>
          <w:color w:val="auto"/>
          <w:sz w:val="20"/>
          <w:szCs w:val="24"/>
        </w:rPr>
        <w:t>23</w:t>
      </w:r>
      <w:r>
        <w:rPr>
          <w:rFonts w:hint="default" w:ascii="Times New Roman" w:hAnsi="Times New Roman" w:eastAsia="Times New Roman"/>
          <w:color w:val="auto"/>
          <w:sz w:val="20"/>
          <w:szCs w:val="24"/>
        </w:rPr>
        <w:t>(1):166.</w:t>
      </w:r>
      <w:bookmarkEnd w:id="22"/>
    </w:p>
    <w:p w14:paraId="1936C317">
      <w:pPr>
        <w:spacing w:beforeLines="0" w:afterLines="0"/>
        <w:rPr>
          <w:rFonts w:hint="default"/>
          <w:color w:val="auto"/>
          <w:sz w:val="24"/>
          <w:szCs w:val="24"/>
        </w:rPr>
      </w:pPr>
      <w:r>
        <w:rPr>
          <w:rFonts w:hint="default" w:ascii="Times New Roman" w:hAnsi="Times New Roman" w:eastAsia="Times New Roman"/>
          <w:color w:val="auto"/>
          <w:sz w:val="20"/>
          <w:szCs w:val="24"/>
        </w:rPr>
        <w:t>22.</w:t>
      </w:r>
      <w:r>
        <w:rPr>
          <w:rFonts w:hint="default" w:ascii="Times New Roman" w:hAnsi="Times New Roman" w:eastAsia="Times New Roman"/>
          <w:color w:val="auto"/>
          <w:sz w:val="20"/>
          <w:szCs w:val="24"/>
        </w:rPr>
        <w:tab/>
      </w:r>
      <w:bookmarkStart w:id="23" w:name="_nebBA07AB40_4A85_419E_9FA0_4FFB2C505A75"/>
      <w:r>
        <w:rPr>
          <w:rFonts w:hint="default" w:ascii="Times New Roman" w:hAnsi="Times New Roman" w:eastAsia="Times New Roman"/>
          <w:color w:val="auto"/>
          <w:sz w:val="20"/>
          <w:szCs w:val="24"/>
        </w:rPr>
        <w:t xml:space="preserve">Yang H, Shen S, Yang Y, Zhou H, Xiang B: </w:t>
      </w:r>
      <w:r>
        <w:rPr>
          <w:rFonts w:hint="default" w:ascii="Times New Roman" w:hAnsi="Times New Roman" w:eastAsia="Times New Roman"/>
          <w:b/>
          <w:color w:val="auto"/>
          <w:sz w:val="20"/>
          <w:szCs w:val="24"/>
        </w:rPr>
        <w:t>Platelet-albumin-bilirubin versus albumin-bilirubin as a predictor of long-term  survival for hepatitis B-Induced hepatocellular carcinoma after hepatic  resection</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BMC CANCER</w:t>
      </w:r>
      <w:r>
        <w:rPr>
          <w:rFonts w:hint="default" w:ascii="Times New Roman" w:hAnsi="Times New Roman" w:eastAsia="Times New Roman"/>
          <w:color w:val="auto"/>
          <w:sz w:val="20"/>
          <w:szCs w:val="24"/>
        </w:rPr>
        <w:t xml:space="preserve"> 2025, </w:t>
      </w:r>
      <w:r>
        <w:rPr>
          <w:rFonts w:hint="default" w:ascii="Times New Roman" w:hAnsi="Times New Roman" w:eastAsia="Times New Roman"/>
          <w:b/>
          <w:color w:val="auto"/>
          <w:sz w:val="20"/>
          <w:szCs w:val="24"/>
        </w:rPr>
        <w:t>25</w:t>
      </w:r>
      <w:r>
        <w:rPr>
          <w:rFonts w:hint="default" w:ascii="Times New Roman" w:hAnsi="Times New Roman" w:eastAsia="Times New Roman"/>
          <w:color w:val="auto"/>
          <w:sz w:val="20"/>
          <w:szCs w:val="24"/>
        </w:rPr>
        <w:t>(1):855.</w:t>
      </w:r>
      <w:bookmarkEnd w:id="23"/>
    </w:p>
    <w:p w14:paraId="6B21B7D1">
      <w:pPr>
        <w:spacing w:beforeLines="0" w:afterLines="0"/>
        <w:rPr>
          <w:rFonts w:hint="default"/>
          <w:color w:val="auto"/>
          <w:sz w:val="24"/>
          <w:szCs w:val="24"/>
        </w:rPr>
      </w:pPr>
      <w:r>
        <w:rPr>
          <w:rFonts w:hint="default" w:ascii="Times New Roman" w:hAnsi="Times New Roman" w:eastAsia="Times New Roman"/>
          <w:color w:val="auto"/>
          <w:sz w:val="20"/>
          <w:szCs w:val="24"/>
        </w:rPr>
        <w:t>23.</w:t>
      </w:r>
      <w:r>
        <w:rPr>
          <w:rFonts w:hint="default" w:ascii="Times New Roman" w:hAnsi="Times New Roman" w:eastAsia="Times New Roman"/>
          <w:color w:val="auto"/>
          <w:sz w:val="20"/>
          <w:szCs w:val="24"/>
        </w:rPr>
        <w:tab/>
      </w:r>
      <w:bookmarkStart w:id="24" w:name="_nebCA294519_23B7_4B3C_8EBF_86901DF73614"/>
      <w:r>
        <w:rPr>
          <w:rFonts w:hint="default" w:ascii="Times New Roman" w:hAnsi="Times New Roman" w:eastAsia="Times New Roman"/>
          <w:color w:val="auto"/>
          <w:sz w:val="20"/>
          <w:szCs w:val="24"/>
        </w:rPr>
        <w:t xml:space="preserve">Byeon J, Cho E, Kim SB, Choi DW: </w:t>
      </w:r>
      <w:r>
        <w:rPr>
          <w:rFonts w:hint="default" w:ascii="Times New Roman" w:hAnsi="Times New Roman" w:eastAsia="Times New Roman"/>
          <w:b/>
          <w:color w:val="auto"/>
          <w:sz w:val="20"/>
          <w:szCs w:val="24"/>
        </w:rPr>
        <w:t>Extrahepatic recurrence of hepatocellular carcinoma after curative hepatic  resection</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Korean J Hepatobiliary Pancreat Surg</w:t>
      </w:r>
      <w:r>
        <w:rPr>
          <w:rFonts w:hint="default" w:ascii="Times New Roman" w:hAnsi="Times New Roman" w:eastAsia="Times New Roman"/>
          <w:color w:val="auto"/>
          <w:sz w:val="20"/>
          <w:szCs w:val="24"/>
        </w:rPr>
        <w:t xml:space="preserve"> 2012, </w:t>
      </w:r>
      <w:r>
        <w:rPr>
          <w:rFonts w:hint="default" w:ascii="Times New Roman" w:hAnsi="Times New Roman" w:eastAsia="Times New Roman"/>
          <w:b/>
          <w:color w:val="auto"/>
          <w:sz w:val="20"/>
          <w:szCs w:val="24"/>
        </w:rPr>
        <w:t>16</w:t>
      </w:r>
      <w:r>
        <w:rPr>
          <w:rFonts w:hint="default" w:ascii="Times New Roman" w:hAnsi="Times New Roman" w:eastAsia="Times New Roman"/>
          <w:color w:val="auto"/>
          <w:sz w:val="20"/>
          <w:szCs w:val="24"/>
        </w:rPr>
        <w:t>(3):93-97.</w:t>
      </w:r>
      <w:bookmarkEnd w:id="24"/>
    </w:p>
    <w:p w14:paraId="0F8E8094">
      <w:pPr>
        <w:spacing w:beforeLines="0" w:afterLines="0"/>
        <w:rPr>
          <w:rFonts w:hint="default"/>
          <w:color w:val="auto"/>
          <w:sz w:val="24"/>
          <w:szCs w:val="24"/>
        </w:rPr>
      </w:pPr>
      <w:r>
        <w:rPr>
          <w:rFonts w:hint="default" w:ascii="Times New Roman" w:hAnsi="Times New Roman" w:eastAsia="Times New Roman"/>
          <w:color w:val="auto"/>
          <w:sz w:val="20"/>
          <w:szCs w:val="24"/>
        </w:rPr>
        <w:t>24.</w:t>
      </w:r>
      <w:r>
        <w:rPr>
          <w:rFonts w:hint="default" w:ascii="Times New Roman" w:hAnsi="Times New Roman" w:eastAsia="Times New Roman"/>
          <w:color w:val="auto"/>
          <w:sz w:val="20"/>
          <w:szCs w:val="24"/>
        </w:rPr>
        <w:tab/>
      </w:r>
      <w:bookmarkStart w:id="25" w:name="_neb9BF2B8E1_ED10_44B3_B77B_2E7B093A18AF"/>
      <w:r>
        <w:rPr>
          <w:rFonts w:hint="default" w:ascii="Times New Roman" w:hAnsi="Times New Roman" w:eastAsia="Times New Roman"/>
          <w:color w:val="auto"/>
          <w:sz w:val="20"/>
          <w:szCs w:val="24"/>
        </w:rPr>
        <w:t xml:space="preserve">Zhao H, Hua Y, Lu Z, Gu S, Zhu L, Ji Y, Qiu Y, Dai T, Jin H: </w:t>
      </w:r>
      <w:r>
        <w:rPr>
          <w:rFonts w:hint="default" w:ascii="Times New Roman" w:hAnsi="Times New Roman" w:eastAsia="Times New Roman"/>
          <w:b/>
          <w:color w:val="auto"/>
          <w:sz w:val="20"/>
          <w:szCs w:val="24"/>
        </w:rPr>
        <w:t xml:space="preserve">Prognostic value and preoperative predictors of microvascular invasion in  solitary hepatocellular carcinoma </w:t>
      </w:r>
      <w:r>
        <w:rPr>
          <w:rFonts w:hint="eastAsia" w:ascii="宋体" w:hAnsi="宋体"/>
          <w:b/>
          <w:color w:val="auto"/>
          <w:sz w:val="20"/>
          <w:szCs w:val="24"/>
        </w:rPr>
        <w:t>≤</w:t>
      </w:r>
      <w:r>
        <w:rPr>
          <w:rFonts w:hint="default" w:ascii="Times New Roman" w:hAnsi="Times New Roman" w:eastAsia="Times New Roman"/>
          <w:b/>
          <w:color w:val="auto"/>
          <w:sz w:val="20"/>
          <w:szCs w:val="24"/>
        </w:rPr>
        <w:t xml:space="preserve"> 5 cm without macrovascular invasion</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Oncotarget</w:t>
      </w:r>
      <w:r>
        <w:rPr>
          <w:rFonts w:hint="default" w:ascii="Times New Roman" w:hAnsi="Times New Roman" w:eastAsia="Times New Roman"/>
          <w:color w:val="auto"/>
          <w:sz w:val="20"/>
          <w:szCs w:val="24"/>
        </w:rPr>
        <w:t xml:space="preserve"> 2017, </w:t>
      </w:r>
      <w:r>
        <w:rPr>
          <w:rFonts w:hint="default" w:ascii="Times New Roman" w:hAnsi="Times New Roman" w:eastAsia="Times New Roman"/>
          <w:b/>
          <w:color w:val="auto"/>
          <w:sz w:val="20"/>
          <w:szCs w:val="24"/>
        </w:rPr>
        <w:t>8</w:t>
      </w:r>
      <w:r>
        <w:rPr>
          <w:rFonts w:hint="default" w:ascii="Times New Roman" w:hAnsi="Times New Roman" w:eastAsia="Times New Roman"/>
          <w:color w:val="auto"/>
          <w:sz w:val="20"/>
          <w:szCs w:val="24"/>
        </w:rPr>
        <w:t>(37):61203-61214.</w:t>
      </w:r>
      <w:bookmarkEnd w:id="25"/>
    </w:p>
    <w:p w14:paraId="37A27450">
      <w:pPr>
        <w:spacing w:beforeLines="0" w:afterLines="0"/>
        <w:rPr>
          <w:rFonts w:hint="default"/>
          <w:color w:val="auto"/>
          <w:sz w:val="24"/>
          <w:szCs w:val="24"/>
        </w:rPr>
      </w:pPr>
      <w:r>
        <w:rPr>
          <w:rFonts w:hint="default" w:ascii="Times New Roman" w:hAnsi="Times New Roman" w:eastAsia="Times New Roman"/>
          <w:color w:val="auto"/>
          <w:sz w:val="20"/>
          <w:szCs w:val="24"/>
        </w:rPr>
        <w:t>25.</w:t>
      </w:r>
      <w:r>
        <w:rPr>
          <w:rFonts w:hint="default" w:ascii="Times New Roman" w:hAnsi="Times New Roman" w:eastAsia="Times New Roman"/>
          <w:color w:val="auto"/>
          <w:sz w:val="20"/>
          <w:szCs w:val="24"/>
        </w:rPr>
        <w:tab/>
      </w:r>
      <w:bookmarkStart w:id="26" w:name="_nebDFE6F260_6A6C_44D1_B03E_8FDBFE14BE72"/>
      <w:r>
        <w:rPr>
          <w:rFonts w:hint="default" w:ascii="Times New Roman" w:hAnsi="Times New Roman" w:eastAsia="Times New Roman"/>
          <w:color w:val="auto"/>
          <w:sz w:val="20"/>
          <w:szCs w:val="24"/>
        </w:rPr>
        <w:t xml:space="preserve">Lu M, Yin X, Xie X, Xu H, Xu Z, Liu G, Kuang M, Zheng Y: </w:t>
      </w:r>
      <w:r>
        <w:rPr>
          <w:rFonts w:hint="default" w:ascii="Times New Roman" w:hAnsi="Times New Roman" w:eastAsia="Times New Roman"/>
          <w:b/>
          <w:color w:val="auto"/>
          <w:sz w:val="20"/>
          <w:szCs w:val="24"/>
        </w:rPr>
        <w:t>Percutaneous thermal ablation for recurrent hepatocellular carcinoma after  hepatectomy</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BRIT J SURG</w:t>
      </w:r>
      <w:r>
        <w:rPr>
          <w:rFonts w:hint="default" w:ascii="Times New Roman" w:hAnsi="Times New Roman" w:eastAsia="Times New Roman"/>
          <w:color w:val="auto"/>
          <w:sz w:val="20"/>
          <w:szCs w:val="24"/>
        </w:rPr>
        <w:t xml:space="preserve"> 2005, </w:t>
      </w:r>
      <w:r>
        <w:rPr>
          <w:rFonts w:hint="default" w:ascii="Times New Roman" w:hAnsi="Times New Roman" w:eastAsia="Times New Roman"/>
          <w:b/>
          <w:color w:val="auto"/>
          <w:sz w:val="20"/>
          <w:szCs w:val="24"/>
        </w:rPr>
        <w:t>92</w:t>
      </w:r>
      <w:r>
        <w:rPr>
          <w:rFonts w:hint="default" w:ascii="Times New Roman" w:hAnsi="Times New Roman" w:eastAsia="Times New Roman"/>
          <w:color w:val="auto"/>
          <w:sz w:val="20"/>
          <w:szCs w:val="24"/>
        </w:rPr>
        <w:t>(11):1393-1398.</w:t>
      </w:r>
      <w:bookmarkEnd w:id="26"/>
    </w:p>
    <w:p w14:paraId="58CD1B48">
      <w:pPr>
        <w:spacing w:beforeLines="0" w:afterLines="0"/>
        <w:rPr>
          <w:rFonts w:hint="default"/>
          <w:color w:val="auto"/>
          <w:sz w:val="24"/>
          <w:szCs w:val="24"/>
        </w:rPr>
      </w:pPr>
      <w:r>
        <w:rPr>
          <w:rFonts w:hint="default" w:ascii="Times New Roman" w:hAnsi="Times New Roman" w:eastAsia="Times New Roman"/>
          <w:color w:val="auto"/>
          <w:sz w:val="20"/>
          <w:szCs w:val="24"/>
        </w:rPr>
        <w:t>26.</w:t>
      </w:r>
      <w:r>
        <w:rPr>
          <w:rFonts w:hint="default" w:ascii="Times New Roman" w:hAnsi="Times New Roman" w:eastAsia="Times New Roman"/>
          <w:color w:val="auto"/>
          <w:sz w:val="20"/>
          <w:szCs w:val="24"/>
        </w:rPr>
        <w:tab/>
      </w:r>
      <w:bookmarkStart w:id="27" w:name="_neb6789C14B_CC3A_41F8_A03D_40A5FB5F6087"/>
      <w:r>
        <w:rPr>
          <w:rFonts w:hint="default" w:ascii="Times New Roman" w:hAnsi="Times New Roman" w:eastAsia="Times New Roman"/>
          <w:color w:val="auto"/>
          <w:sz w:val="20"/>
          <w:szCs w:val="24"/>
        </w:rPr>
        <w:t>Liu L, Qin S, Lin K, Xu Q, Yang Y, Cai J, Zeng Y, Yuan S, Xiang B, Lau WY</w:t>
      </w:r>
      <w:r>
        <w:rPr>
          <w:rFonts w:hint="default" w:ascii="Times New Roman" w:hAnsi="Times New Roman" w:eastAsia="Times New Roman"/>
          <w:i/>
          <w:color w:val="auto"/>
          <w:sz w:val="20"/>
          <w:szCs w:val="24"/>
        </w:rPr>
        <w:t xml:space="preserve"> et al</w:t>
      </w:r>
      <w:r>
        <w:rPr>
          <w:rFonts w:hint="default" w:ascii="Times New Roman" w:hAnsi="Times New Roman" w:eastAsia="Times New Roman"/>
          <w:color w:val="auto"/>
          <w:sz w:val="20"/>
          <w:szCs w:val="24"/>
        </w:rPr>
        <w:t xml:space="preserve">: </w:t>
      </w:r>
      <w:r>
        <w:rPr>
          <w:rFonts w:hint="default" w:ascii="Times New Roman" w:hAnsi="Times New Roman" w:eastAsia="Times New Roman"/>
          <w:b/>
          <w:color w:val="auto"/>
          <w:sz w:val="20"/>
          <w:szCs w:val="24"/>
        </w:rPr>
        <w:t>Development and comprehensive validation of a predictive prognosis model for very early HCC recurrence within one year after curative resection: a multicenter cohort study</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INT J SURG</w:t>
      </w:r>
      <w:r>
        <w:rPr>
          <w:rFonts w:hint="default" w:ascii="Times New Roman" w:hAnsi="Times New Roman" w:eastAsia="Times New Roman"/>
          <w:color w:val="auto"/>
          <w:sz w:val="20"/>
          <w:szCs w:val="24"/>
        </w:rPr>
        <w:t xml:space="preserve"> 2024, </w:t>
      </w:r>
      <w:r>
        <w:rPr>
          <w:rFonts w:hint="default" w:ascii="Times New Roman" w:hAnsi="Times New Roman" w:eastAsia="Times New Roman"/>
          <w:b/>
          <w:color w:val="auto"/>
          <w:sz w:val="20"/>
          <w:szCs w:val="24"/>
        </w:rPr>
        <w:t>110</w:t>
      </w:r>
      <w:r>
        <w:rPr>
          <w:rFonts w:hint="default" w:ascii="Times New Roman" w:hAnsi="Times New Roman" w:eastAsia="Times New Roman"/>
          <w:color w:val="auto"/>
          <w:sz w:val="20"/>
          <w:szCs w:val="24"/>
        </w:rPr>
        <w:t>(6):3401-3411.</w:t>
      </w:r>
      <w:bookmarkEnd w:id="27"/>
    </w:p>
    <w:p w14:paraId="27081D3D">
      <w:pPr>
        <w:spacing w:beforeLines="0" w:afterLines="0"/>
        <w:rPr>
          <w:rFonts w:hint="default"/>
          <w:color w:val="auto"/>
          <w:sz w:val="24"/>
          <w:szCs w:val="24"/>
        </w:rPr>
      </w:pPr>
      <w:r>
        <w:rPr>
          <w:rFonts w:hint="default" w:ascii="Times New Roman" w:hAnsi="Times New Roman" w:eastAsia="Times New Roman"/>
          <w:color w:val="auto"/>
          <w:sz w:val="20"/>
          <w:szCs w:val="24"/>
        </w:rPr>
        <w:t>27.</w:t>
      </w:r>
      <w:r>
        <w:rPr>
          <w:rFonts w:hint="default" w:ascii="Times New Roman" w:hAnsi="Times New Roman" w:eastAsia="Times New Roman"/>
          <w:color w:val="auto"/>
          <w:sz w:val="20"/>
          <w:szCs w:val="24"/>
        </w:rPr>
        <w:tab/>
      </w:r>
      <w:bookmarkStart w:id="28" w:name="_neb86C957C1_65DB_4464_8572_9492E5E9DA6A"/>
      <w:r>
        <w:rPr>
          <w:rFonts w:hint="default" w:ascii="Times New Roman" w:hAnsi="Times New Roman" w:eastAsia="Times New Roman"/>
          <w:color w:val="auto"/>
          <w:sz w:val="20"/>
          <w:szCs w:val="24"/>
        </w:rPr>
        <w:t xml:space="preserve">Kudo M, Chung H, Osaki Y: </w:t>
      </w:r>
      <w:r>
        <w:rPr>
          <w:rFonts w:hint="default" w:ascii="Times New Roman" w:hAnsi="Times New Roman" w:eastAsia="Times New Roman"/>
          <w:b/>
          <w:color w:val="auto"/>
          <w:sz w:val="20"/>
          <w:szCs w:val="24"/>
        </w:rPr>
        <w:t>Prognostic staging system for hepatocellular carcinoma (CLIP score): its value  and limitations, and a proposal for a new staging system, the Japan Integrated  Staging Score (JIS score)</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J GASTROENTEROL</w:t>
      </w:r>
      <w:r>
        <w:rPr>
          <w:rFonts w:hint="default" w:ascii="Times New Roman" w:hAnsi="Times New Roman" w:eastAsia="Times New Roman"/>
          <w:color w:val="auto"/>
          <w:sz w:val="20"/>
          <w:szCs w:val="24"/>
        </w:rPr>
        <w:t xml:space="preserve"> 2003, </w:t>
      </w:r>
      <w:r>
        <w:rPr>
          <w:rFonts w:hint="default" w:ascii="Times New Roman" w:hAnsi="Times New Roman" w:eastAsia="Times New Roman"/>
          <w:b/>
          <w:color w:val="auto"/>
          <w:sz w:val="20"/>
          <w:szCs w:val="24"/>
        </w:rPr>
        <w:t>38</w:t>
      </w:r>
      <w:r>
        <w:rPr>
          <w:rFonts w:hint="default" w:ascii="Times New Roman" w:hAnsi="Times New Roman" w:eastAsia="Times New Roman"/>
          <w:color w:val="auto"/>
          <w:sz w:val="20"/>
          <w:szCs w:val="24"/>
        </w:rPr>
        <w:t>(3):207-215.</w:t>
      </w:r>
      <w:bookmarkEnd w:id="28"/>
    </w:p>
    <w:p w14:paraId="7B699201">
      <w:pPr>
        <w:spacing w:beforeLines="0" w:afterLines="0"/>
        <w:rPr>
          <w:rFonts w:hint="default"/>
          <w:color w:val="auto"/>
          <w:sz w:val="24"/>
          <w:szCs w:val="24"/>
        </w:rPr>
      </w:pPr>
      <w:r>
        <w:rPr>
          <w:rFonts w:hint="default" w:ascii="Times New Roman" w:hAnsi="Times New Roman" w:eastAsia="Times New Roman"/>
          <w:color w:val="auto"/>
          <w:sz w:val="20"/>
          <w:szCs w:val="24"/>
        </w:rPr>
        <w:t>28.</w:t>
      </w:r>
      <w:r>
        <w:rPr>
          <w:rFonts w:hint="default" w:ascii="Times New Roman" w:hAnsi="Times New Roman" w:eastAsia="Times New Roman"/>
          <w:color w:val="auto"/>
          <w:sz w:val="20"/>
          <w:szCs w:val="24"/>
        </w:rPr>
        <w:tab/>
      </w:r>
      <w:bookmarkStart w:id="29" w:name="_neb2A1A0D91_08CA_4E91_81CA_26C590F317FC"/>
      <w:r>
        <w:rPr>
          <w:rFonts w:hint="default" w:ascii="Times New Roman" w:hAnsi="Times New Roman" w:eastAsia="Times New Roman"/>
          <w:color w:val="auto"/>
          <w:sz w:val="20"/>
          <w:szCs w:val="24"/>
        </w:rPr>
        <w:t xml:space="preserve">Piñero F, Dirchwolf M, Pessôa MG: </w:t>
      </w:r>
      <w:r>
        <w:rPr>
          <w:rFonts w:hint="default" w:ascii="Times New Roman" w:hAnsi="Times New Roman" w:eastAsia="Times New Roman"/>
          <w:b/>
          <w:color w:val="auto"/>
          <w:sz w:val="20"/>
          <w:szCs w:val="24"/>
        </w:rPr>
        <w:t>Biomarkers in Hepatocellular Carcinoma: Diagnosis, Prognosis and Treatment  Response Assessment</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CELLS-BASEL</w:t>
      </w:r>
      <w:r>
        <w:rPr>
          <w:rFonts w:hint="default" w:ascii="Times New Roman" w:hAnsi="Times New Roman" w:eastAsia="Times New Roman"/>
          <w:color w:val="auto"/>
          <w:sz w:val="20"/>
          <w:szCs w:val="24"/>
        </w:rPr>
        <w:t xml:space="preserve"> 2020, </w:t>
      </w:r>
      <w:r>
        <w:rPr>
          <w:rFonts w:hint="default" w:ascii="Times New Roman" w:hAnsi="Times New Roman" w:eastAsia="Times New Roman"/>
          <w:b/>
          <w:color w:val="auto"/>
          <w:sz w:val="20"/>
          <w:szCs w:val="24"/>
        </w:rPr>
        <w:t>9</w:t>
      </w:r>
      <w:r>
        <w:rPr>
          <w:rFonts w:hint="default" w:ascii="Times New Roman" w:hAnsi="Times New Roman" w:eastAsia="Times New Roman"/>
          <w:color w:val="auto"/>
          <w:sz w:val="20"/>
          <w:szCs w:val="24"/>
        </w:rPr>
        <w:t>(6).</w:t>
      </w:r>
      <w:bookmarkEnd w:id="29"/>
    </w:p>
    <w:p w14:paraId="433A9BAB">
      <w:pPr>
        <w:spacing w:beforeLines="0" w:afterLines="0"/>
        <w:rPr>
          <w:rFonts w:hint="default"/>
          <w:color w:val="auto"/>
          <w:sz w:val="24"/>
          <w:szCs w:val="24"/>
        </w:rPr>
      </w:pPr>
      <w:r>
        <w:rPr>
          <w:rFonts w:hint="default" w:ascii="Times New Roman" w:hAnsi="Times New Roman" w:eastAsia="Times New Roman"/>
          <w:color w:val="auto"/>
          <w:sz w:val="20"/>
          <w:szCs w:val="24"/>
        </w:rPr>
        <w:t>29.</w:t>
      </w:r>
      <w:r>
        <w:rPr>
          <w:rFonts w:hint="default" w:ascii="Times New Roman" w:hAnsi="Times New Roman" w:eastAsia="Times New Roman"/>
          <w:color w:val="auto"/>
          <w:sz w:val="20"/>
          <w:szCs w:val="24"/>
        </w:rPr>
        <w:tab/>
      </w:r>
      <w:bookmarkStart w:id="30" w:name="_neb3941154F_1FD7_47C3_A9CC_D2AAC3A1AE34"/>
      <w:r>
        <w:rPr>
          <w:rFonts w:hint="default" w:ascii="Times New Roman" w:hAnsi="Times New Roman" w:eastAsia="Times New Roman"/>
          <w:color w:val="auto"/>
          <w:sz w:val="20"/>
          <w:szCs w:val="24"/>
        </w:rPr>
        <w:t>Reig M, Forner A, Rimola J, Ferrer-Fàbrega J, Burrel M, Garcia-Criado Á, Kelley RK, Galle PR, Mazzaferro V, Salem R</w:t>
      </w:r>
      <w:r>
        <w:rPr>
          <w:rFonts w:hint="default" w:ascii="Times New Roman" w:hAnsi="Times New Roman" w:eastAsia="Times New Roman"/>
          <w:i/>
          <w:color w:val="auto"/>
          <w:sz w:val="20"/>
          <w:szCs w:val="24"/>
        </w:rPr>
        <w:t xml:space="preserve"> et al</w:t>
      </w:r>
      <w:r>
        <w:rPr>
          <w:rFonts w:hint="default" w:ascii="Times New Roman" w:hAnsi="Times New Roman" w:eastAsia="Times New Roman"/>
          <w:color w:val="auto"/>
          <w:sz w:val="20"/>
          <w:szCs w:val="24"/>
        </w:rPr>
        <w:t xml:space="preserve">: </w:t>
      </w:r>
      <w:r>
        <w:rPr>
          <w:rFonts w:hint="default" w:ascii="Times New Roman" w:hAnsi="Times New Roman" w:eastAsia="Times New Roman"/>
          <w:b/>
          <w:color w:val="auto"/>
          <w:sz w:val="20"/>
          <w:szCs w:val="24"/>
        </w:rPr>
        <w:t>BCLC strategy for prognosis prediction and treatment recommendation: The 2022  update</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J HEPATOL</w:t>
      </w:r>
      <w:r>
        <w:rPr>
          <w:rFonts w:hint="default" w:ascii="Times New Roman" w:hAnsi="Times New Roman" w:eastAsia="Times New Roman"/>
          <w:color w:val="auto"/>
          <w:sz w:val="20"/>
          <w:szCs w:val="24"/>
        </w:rPr>
        <w:t xml:space="preserve"> 2022, </w:t>
      </w:r>
      <w:r>
        <w:rPr>
          <w:rFonts w:hint="default" w:ascii="Times New Roman" w:hAnsi="Times New Roman" w:eastAsia="Times New Roman"/>
          <w:b/>
          <w:color w:val="auto"/>
          <w:sz w:val="20"/>
          <w:szCs w:val="24"/>
        </w:rPr>
        <w:t>76</w:t>
      </w:r>
      <w:r>
        <w:rPr>
          <w:rFonts w:hint="default" w:ascii="Times New Roman" w:hAnsi="Times New Roman" w:eastAsia="Times New Roman"/>
          <w:color w:val="auto"/>
          <w:sz w:val="20"/>
          <w:szCs w:val="24"/>
        </w:rPr>
        <w:t>(3):681-693.</w:t>
      </w:r>
      <w:bookmarkEnd w:id="30"/>
    </w:p>
    <w:p w14:paraId="0FB273AF">
      <w:pPr>
        <w:spacing w:beforeLines="0" w:afterLines="0"/>
        <w:rPr>
          <w:rFonts w:hint="default"/>
          <w:color w:val="auto"/>
          <w:sz w:val="24"/>
          <w:szCs w:val="24"/>
        </w:rPr>
      </w:pPr>
      <w:r>
        <w:rPr>
          <w:rFonts w:hint="default" w:ascii="Times New Roman" w:hAnsi="Times New Roman" w:eastAsia="Times New Roman"/>
          <w:color w:val="auto"/>
          <w:sz w:val="20"/>
          <w:szCs w:val="24"/>
        </w:rPr>
        <w:t>30.</w:t>
      </w:r>
      <w:r>
        <w:rPr>
          <w:rFonts w:hint="default" w:ascii="Times New Roman" w:hAnsi="Times New Roman" w:eastAsia="Times New Roman"/>
          <w:color w:val="auto"/>
          <w:sz w:val="20"/>
          <w:szCs w:val="24"/>
        </w:rPr>
        <w:tab/>
      </w:r>
      <w:bookmarkStart w:id="31" w:name="_nebCB845311_74B5_409C_8530_C8245A9F1BB8"/>
      <w:r>
        <w:rPr>
          <w:rFonts w:hint="default" w:ascii="Times New Roman" w:hAnsi="Times New Roman" w:eastAsia="Times New Roman"/>
          <w:color w:val="auto"/>
          <w:sz w:val="20"/>
          <w:szCs w:val="24"/>
        </w:rPr>
        <w:t xml:space="preserve">Takamoto T, Nara S, Ban D, Mizui T, Mukai M, Esaki M, Shimada K: </w:t>
      </w:r>
      <w:r>
        <w:rPr>
          <w:rFonts w:hint="default" w:ascii="Times New Roman" w:hAnsi="Times New Roman" w:eastAsia="Times New Roman"/>
          <w:b/>
          <w:color w:val="auto"/>
          <w:sz w:val="20"/>
          <w:szCs w:val="24"/>
        </w:rPr>
        <w:t>Chronological evolution in liver resection for hepatocellular carcinoma:  Prognostic trends across three decades in early to advanced stages</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EJSO-EUR J SURG ONC</w:t>
      </w:r>
      <w:r>
        <w:rPr>
          <w:rFonts w:hint="default" w:ascii="Times New Roman" w:hAnsi="Times New Roman" w:eastAsia="Times New Roman"/>
          <w:color w:val="auto"/>
          <w:sz w:val="20"/>
          <w:szCs w:val="24"/>
        </w:rPr>
        <w:t xml:space="preserve"> 2025, </w:t>
      </w:r>
      <w:r>
        <w:rPr>
          <w:rFonts w:hint="default" w:ascii="Times New Roman" w:hAnsi="Times New Roman" w:eastAsia="Times New Roman"/>
          <w:b/>
          <w:color w:val="auto"/>
          <w:sz w:val="20"/>
          <w:szCs w:val="24"/>
        </w:rPr>
        <w:t>51</w:t>
      </w:r>
      <w:r>
        <w:rPr>
          <w:rFonts w:hint="default" w:ascii="Times New Roman" w:hAnsi="Times New Roman" w:eastAsia="Times New Roman"/>
          <w:color w:val="auto"/>
          <w:sz w:val="20"/>
          <w:szCs w:val="24"/>
        </w:rPr>
        <w:t>(2):109461.</w:t>
      </w:r>
      <w:bookmarkEnd w:id="31"/>
    </w:p>
    <w:p w14:paraId="607B6F98">
      <w:pPr>
        <w:spacing w:beforeLines="0" w:afterLines="0"/>
        <w:rPr>
          <w:rFonts w:hint="default"/>
          <w:color w:val="auto"/>
          <w:sz w:val="24"/>
          <w:szCs w:val="24"/>
        </w:rPr>
      </w:pPr>
      <w:r>
        <w:rPr>
          <w:rFonts w:hint="default" w:ascii="Times New Roman" w:hAnsi="Times New Roman" w:eastAsia="Times New Roman"/>
          <w:color w:val="auto"/>
          <w:sz w:val="20"/>
          <w:szCs w:val="24"/>
        </w:rPr>
        <w:t>31.</w:t>
      </w:r>
      <w:r>
        <w:rPr>
          <w:rFonts w:hint="default" w:ascii="Times New Roman" w:hAnsi="Times New Roman" w:eastAsia="Times New Roman"/>
          <w:color w:val="auto"/>
          <w:sz w:val="20"/>
          <w:szCs w:val="24"/>
        </w:rPr>
        <w:tab/>
      </w:r>
      <w:bookmarkStart w:id="32" w:name="_neb9F701D4B_58A2_4DE0_B89A_95C37B69F01C"/>
      <w:r>
        <w:rPr>
          <w:rFonts w:hint="default" w:ascii="Times New Roman" w:hAnsi="Times New Roman" w:eastAsia="Times New Roman"/>
          <w:color w:val="auto"/>
          <w:sz w:val="20"/>
          <w:szCs w:val="24"/>
        </w:rPr>
        <w:t xml:space="preserve">Yen Y, Cheng Y, Wang J, Lin C, Chen C, Wang C: </w:t>
      </w:r>
      <w:r>
        <w:rPr>
          <w:rFonts w:hint="default" w:ascii="Times New Roman" w:hAnsi="Times New Roman" w:eastAsia="Times New Roman"/>
          <w:b/>
          <w:color w:val="auto"/>
          <w:sz w:val="20"/>
          <w:szCs w:val="24"/>
        </w:rPr>
        <w:t>Adherence to the modified Barcelona Clinic Liver Cancer guidelines: Results from  a high-volume liver surgery center in East Asias</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PLOS ONE</w:t>
      </w:r>
      <w:r>
        <w:rPr>
          <w:rFonts w:hint="default" w:ascii="Times New Roman" w:hAnsi="Times New Roman" w:eastAsia="Times New Roman"/>
          <w:color w:val="auto"/>
          <w:sz w:val="20"/>
          <w:szCs w:val="24"/>
        </w:rPr>
        <w:t xml:space="preserve"> 2021, </w:t>
      </w:r>
      <w:r>
        <w:rPr>
          <w:rFonts w:hint="default" w:ascii="Times New Roman" w:hAnsi="Times New Roman" w:eastAsia="Times New Roman"/>
          <w:b/>
          <w:color w:val="auto"/>
          <w:sz w:val="20"/>
          <w:szCs w:val="24"/>
        </w:rPr>
        <w:t>16</w:t>
      </w:r>
      <w:r>
        <w:rPr>
          <w:rFonts w:hint="default" w:ascii="Times New Roman" w:hAnsi="Times New Roman" w:eastAsia="Times New Roman"/>
          <w:color w:val="auto"/>
          <w:sz w:val="20"/>
          <w:szCs w:val="24"/>
        </w:rPr>
        <w:t>(3):e249194.</w:t>
      </w:r>
      <w:bookmarkEnd w:id="32"/>
    </w:p>
    <w:p w14:paraId="52A46DE1">
      <w:pPr>
        <w:spacing w:beforeLines="0" w:afterLines="0"/>
        <w:rPr>
          <w:rFonts w:hint="default"/>
          <w:color w:val="auto"/>
          <w:sz w:val="24"/>
          <w:szCs w:val="24"/>
        </w:rPr>
      </w:pPr>
      <w:r>
        <w:rPr>
          <w:rFonts w:hint="default" w:ascii="Times New Roman" w:hAnsi="Times New Roman" w:eastAsia="Times New Roman"/>
          <w:color w:val="auto"/>
          <w:sz w:val="20"/>
          <w:szCs w:val="24"/>
        </w:rPr>
        <w:t>32.</w:t>
      </w:r>
      <w:r>
        <w:rPr>
          <w:rFonts w:hint="default" w:ascii="Times New Roman" w:hAnsi="Times New Roman" w:eastAsia="Times New Roman"/>
          <w:color w:val="auto"/>
          <w:sz w:val="20"/>
          <w:szCs w:val="24"/>
        </w:rPr>
        <w:tab/>
      </w:r>
      <w:bookmarkStart w:id="33" w:name="_nebEDB9B1F3_F004_417A_95D2_3F2021A7E985"/>
      <w:r>
        <w:rPr>
          <w:rFonts w:hint="default" w:ascii="Times New Roman" w:hAnsi="Times New Roman" w:eastAsia="Times New Roman"/>
          <w:color w:val="auto"/>
          <w:sz w:val="20"/>
          <w:szCs w:val="24"/>
        </w:rPr>
        <w:t>Tsai M, Yen Y, Huang P, Sou F, Lin C, Cho W, Wang H, Chen D, Chang K, Wu C</w:t>
      </w:r>
      <w:r>
        <w:rPr>
          <w:rFonts w:hint="default" w:ascii="Times New Roman" w:hAnsi="Times New Roman" w:eastAsia="Times New Roman"/>
          <w:i/>
          <w:color w:val="auto"/>
          <w:sz w:val="20"/>
          <w:szCs w:val="24"/>
        </w:rPr>
        <w:t xml:space="preserve"> et al</w:t>
      </w:r>
      <w:r>
        <w:rPr>
          <w:rFonts w:hint="default" w:ascii="Times New Roman" w:hAnsi="Times New Roman" w:eastAsia="Times New Roman"/>
          <w:color w:val="auto"/>
          <w:sz w:val="20"/>
          <w:szCs w:val="24"/>
        </w:rPr>
        <w:t xml:space="preserve">: </w:t>
      </w:r>
      <w:r>
        <w:rPr>
          <w:rFonts w:hint="default" w:ascii="Times New Roman" w:hAnsi="Times New Roman" w:eastAsia="Times New Roman"/>
          <w:b/>
          <w:color w:val="auto"/>
          <w:sz w:val="20"/>
          <w:szCs w:val="24"/>
        </w:rPr>
        <w:t>The Pre- and Postoperative FIB-4 Indexes Are Good Predictors to the Outcomes of  HBV-Related HCC Patients after Resection</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GASTROENT RES PRACT</w:t>
      </w:r>
      <w:r>
        <w:rPr>
          <w:rFonts w:hint="default" w:ascii="Times New Roman" w:hAnsi="Times New Roman" w:eastAsia="Times New Roman"/>
          <w:color w:val="auto"/>
          <w:sz w:val="20"/>
          <w:szCs w:val="24"/>
        </w:rPr>
        <w:t xml:space="preserve"> 2019, </w:t>
      </w:r>
      <w:r>
        <w:rPr>
          <w:rFonts w:hint="default" w:ascii="Times New Roman" w:hAnsi="Times New Roman" w:eastAsia="Times New Roman"/>
          <w:b/>
          <w:color w:val="auto"/>
          <w:sz w:val="20"/>
          <w:szCs w:val="24"/>
        </w:rPr>
        <w:t>2019</w:t>
      </w:r>
      <w:r>
        <w:rPr>
          <w:rFonts w:hint="default" w:ascii="Times New Roman" w:hAnsi="Times New Roman" w:eastAsia="Times New Roman"/>
          <w:color w:val="auto"/>
          <w:sz w:val="20"/>
          <w:szCs w:val="24"/>
        </w:rPr>
        <w:t>:8945798.</w:t>
      </w:r>
      <w:bookmarkEnd w:id="33"/>
    </w:p>
    <w:p w14:paraId="22B84756">
      <w:pPr>
        <w:spacing w:beforeLines="0" w:afterLines="0"/>
        <w:rPr>
          <w:rFonts w:hint="default"/>
          <w:color w:val="auto"/>
          <w:sz w:val="24"/>
          <w:szCs w:val="24"/>
        </w:rPr>
      </w:pPr>
      <w:r>
        <w:rPr>
          <w:rFonts w:hint="default" w:ascii="Times New Roman" w:hAnsi="Times New Roman" w:eastAsia="Times New Roman"/>
          <w:color w:val="auto"/>
          <w:sz w:val="20"/>
          <w:szCs w:val="24"/>
        </w:rPr>
        <w:t>33.</w:t>
      </w:r>
      <w:r>
        <w:rPr>
          <w:rFonts w:hint="default" w:ascii="Times New Roman" w:hAnsi="Times New Roman" w:eastAsia="Times New Roman"/>
          <w:color w:val="auto"/>
          <w:sz w:val="20"/>
          <w:szCs w:val="24"/>
        </w:rPr>
        <w:tab/>
      </w:r>
      <w:bookmarkStart w:id="34" w:name="_neb325D6D52_D4E8_4B2A_8E68_33557D6D6B2F"/>
      <w:r>
        <w:rPr>
          <w:rFonts w:hint="default" w:ascii="Times New Roman" w:hAnsi="Times New Roman" w:eastAsia="Times New Roman"/>
          <w:color w:val="auto"/>
          <w:sz w:val="20"/>
          <w:szCs w:val="24"/>
        </w:rPr>
        <w:t xml:space="preserve">Yun SO, Kim JM, Rhu J, Choi G, Joh J: </w:t>
      </w:r>
      <w:r>
        <w:rPr>
          <w:rFonts w:hint="default" w:ascii="Times New Roman" w:hAnsi="Times New Roman" w:eastAsia="Times New Roman"/>
          <w:b/>
          <w:color w:val="auto"/>
          <w:sz w:val="20"/>
          <w:szCs w:val="24"/>
        </w:rPr>
        <w:t>Fibrosis-4 index, a predictor for prognosis of hepatocellular carcinoma patients  after curative hepatectomy even in hepatitis B virus dominant populations</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ANN SURG TREAT RES</w:t>
      </w:r>
      <w:r>
        <w:rPr>
          <w:rFonts w:hint="default" w:ascii="Times New Roman" w:hAnsi="Times New Roman" w:eastAsia="Times New Roman"/>
          <w:color w:val="auto"/>
          <w:sz w:val="20"/>
          <w:szCs w:val="24"/>
        </w:rPr>
        <w:t xml:space="preserve"> 2023, </w:t>
      </w:r>
      <w:r>
        <w:rPr>
          <w:rFonts w:hint="default" w:ascii="Times New Roman" w:hAnsi="Times New Roman" w:eastAsia="Times New Roman"/>
          <w:b/>
          <w:color w:val="auto"/>
          <w:sz w:val="20"/>
          <w:szCs w:val="24"/>
        </w:rPr>
        <w:t>104</w:t>
      </w:r>
      <w:r>
        <w:rPr>
          <w:rFonts w:hint="default" w:ascii="Times New Roman" w:hAnsi="Times New Roman" w:eastAsia="Times New Roman"/>
          <w:color w:val="auto"/>
          <w:sz w:val="20"/>
          <w:szCs w:val="24"/>
        </w:rPr>
        <w:t>(4):195-204.</w:t>
      </w:r>
      <w:bookmarkEnd w:id="34"/>
    </w:p>
    <w:p w14:paraId="1FCCFEB4">
      <w:pPr>
        <w:spacing w:beforeLines="0" w:afterLines="0"/>
        <w:rPr>
          <w:rFonts w:hint="default"/>
          <w:color w:val="auto"/>
          <w:sz w:val="24"/>
          <w:szCs w:val="24"/>
        </w:rPr>
      </w:pPr>
      <w:r>
        <w:rPr>
          <w:rFonts w:hint="default" w:ascii="Times New Roman" w:hAnsi="Times New Roman" w:eastAsia="Times New Roman"/>
          <w:color w:val="auto"/>
          <w:sz w:val="20"/>
          <w:szCs w:val="24"/>
        </w:rPr>
        <w:t>34.</w:t>
      </w:r>
      <w:r>
        <w:rPr>
          <w:rFonts w:hint="default" w:ascii="Times New Roman" w:hAnsi="Times New Roman" w:eastAsia="Times New Roman"/>
          <w:color w:val="auto"/>
          <w:sz w:val="20"/>
          <w:szCs w:val="24"/>
        </w:rPr>
        <w:tab/>
      </w:r>
      <w:bookmarkStart w:id="35" w:name="_neb19197D68_66D7_4FA1_B10A_A5EB4CFD5FFE"/>
      <w:r>
        <w:rPr>
          <w:rFonts w:hint="default" w:ascii="Times New Roman" w:hAnsi="Times New Roman" w:eastAsia="Times New Roman"/>
          <w:color w:val="auto"/>
          <w:sz w:val="20"/>
          <w:szCs w:val="24"/>
        </w:rPr>
        <w:t xml:space="preserve">Wang T, Zhang K: </w:t>
      </w:r>
      <w:r>
        <w:rPr>
          <w:rFonts w:hint="default" w:ascii="Times New Roman" w:hAnsi="Times New Roman" w:eastAsia="Times New Roman"/>
          <w:b/>
          <w:color w:val="auto"/>
          <w:sz w:val="20"/>
          <w:szCs w:val="24"/>
        </w:rPr>
        <w:t>New Blood Biomarkers for the Diagnosis of AFP-Negative Hepatocellular Carcinoma</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FRONT ONCOL</w:t>
      </w:r>
      <w:r>
        <w:rPr>
          <w:rFonts w:hint="default" w:ascii="Times New Roman" w:hAnsi="Times New Roman" w:eastAsia="Times New Roman"/>
          <w:color w:val="auto"/>
          <w:sz w:val="20"/>
          <w:szCs w:val="24"/>
        </w:rPr>
        <w:t xml:space="preserve"> 2020, </w:t>
      </w:r>
      <w:r>
        <w:rPr>
          <w:rFonts w:hint="default" w:ascii="Times New Roman" w:hAnsi="Times New Roman" w:eastAsia="Times New Roman"/>
          <w:b/>
          <w:color w:val="auto"/>
          <w:sz w:val="20"/>
          <w:szCs w:val="24"/>
        </w:rPr>
        <w:t>10</w:t>
      </w:r>
      <w:r>
        <w:rPr>
          <w:rFonts w:hint="default" w:ascii="Times New Roman" w:hAnsi="Times New Roman" w:eastAsia="Times New Roman"/>
          <w:color w:val="auto"/>
          <w:sz w:val="20"/>
          <w:szCs w:val="24"/>
        </w:rPr>
        <w:t>:1316.</w:t>
      </w:r>
      <w:bookmarkEnd w:id="35"/>
    </w:p>
    <w:p w14:paraId="0C699ABE">
      <w:pPr>
        <w:spacing w:beforeLines="0" w:afterLines="0"/>
        <w:rPr>
          <w:rFonts w:hint="default"/>
          <w:color w:val="auto"/>
          <w:sz w:val="24"/>
          <w:szCs w:val="24"/>
        </w:rPr>
      </w:pPr>
      <w:r>
        <w:rPr>
          <w:rFonts w:hint="default" w:ascii="Times New Roman" w:hAnsi="Times New Roman" w:eastAsia="Times New Roman"/>
          <w:color w:val="auto"/>
          <w:sz w:val="20"/>
          <w:szCs w:val="24"/>
        </w:rPr>
        <w:t>35.</w:t>
      </w:r>
      <w:r>
        <w:rPr>
          <w:rFonts w:hint="default" w:ascii="Times New Roman" w:hAnsi="Times New Roman" w:eastAsia="Times New Roman"/>
          <w:color w:val="auto"/>
          <w:sz w:val="20"/>
          <w:szCs w:val="24"/>
        </w:rPr>
        <w:tab/>
      </w:r>
      <w:bookmarkStart w:id="36" w:name="_neb6413EE6B_B520_476B_A2AB_88F2A57EE8B1"/>
      <w:r>
        <w:rPr>
          <w:rFonts w:hint="default" w:ascii="Times New Roman" w:hAnsi="Times New Roman" w:eastAsia="Times New Roman"/>
          <w:color w:val="auto"/>
          <w:sz w:val="20"/>
          <w:szCs w:val="24"/>
        </w:rPr>
        <w:t>Kocheise L, Schoenlein M, Behrends B, Joerg V, Casar C, Fruendt TW, Renné T, Heumann A, Li J, Huber S</w:t>
      </w:r>
      <w:r>
        <w:rPr>
          <w:rFonts w:hint="default" w:ascii="Times New Roman" w:hAnsi="Times New Roman" w:eastAsia="Times New Roman"/>
          <w:i/>
          <w:color w:val="auto"/>
          <w:sz w:val="20"/>
          <w:szCs w:val="24"/>
        </w:rPr>
        <w:t xml:space="preserve"> et al</w:t>
      </w:r>
      <w:r>
        <w:rPr>
          <w:rFonts w:hint="default" w:ascii="Times New Roman" w:hAnsi="Times New Roman" w:eastAsia="Times New Roman"/>
          <w:color w:val="auto"/>
          <w:sz w:val="20"/>
          <w:szCs w:val="24"/>
        </w:rPr>
        <w:t xml:space="preserve">: </w:t>
      </w:r>
      <w:r>
        <w:rPr>
          <w:rFonts w:hint="default" w:ascii="Times New Roman" w:hAnsi="Times New Roman" w:eastAsia="Times New Roman"/>
          <w:b/>
          <w:color w:val="auto"/>
          <w:sz w:val="20"/>
          <w:szCs w:val="24"/>
        </w:rPr>
        <w:t>EpCAM-positive circulating tumor cells and serum AFP levels predict outcome after  curative resection of hepatocellular carcinoma</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SCI REP-UK</w:t>
      </w:r>
      <w:r>
        <w:rPr>
          <w:rFonts w:hint="default" w:ascii="Times New Roman" w:hAnsi="Times New Roman" w:eastAsia="Times New Roman"/>
          <w:color w:val="auto"/>
          <w:sz w:val="20"/>
          <w:szCs w:val="24"/>
        </w:rPr>
        <w:t xml:space="preserve"> 2023, </w:t>
      </w:r>
      <w:r>
        <w:rPr>
          <w:rFonts w:hint="default" w:ascii="Times New Roman" w:hAnsi="Times New Roman" w:eastAsia="Times New Roman"/>
          <w:b/>
          <w:color w:val="auto"/>
          <w:sz w:val="20"/>
          <w:szCs w:val="24"/>
        </w:rPr>
        <w:t>13</w:t>
      </w:r>
      <w:r>
        <w:rPr>
          <w:rFonts w:hint="default" w:ascii="Times New Roman" w:hAnsi="Times New Roman" w:eastAsia="Times New Roman"/>
          <w:color w:val="auto"/>
          <w:sz w:val="20"/>
          <w:szCs w:val="24"/>
        </w:rPr>
        <w:t>(1):20827.</w:t>
      </w:r>
      <w:bookmarkEnd w:id="36"/>
    </w:p>
    <w:p w14:paraId="1BFDAB82">
      <w:pPr>
        <w:spacing w:beforeLines="0" w:afterLines="0"/>
        <w:rPr>
          <w:rFonts w:hint="default"/>
          <w:color w:val="auto"/>
          <w:sz w:val="24"/>
          <w:szCs w:val="24"/>
        </w:rPr>
      </w:pPr>
      <w:r>
        <w:rPr>
          <w:rFonts w:hint="default" w:ascii="Times New Roman" w:hAnsi="Times New Roman" w:eastAsia="Times New Roman"/>
          <w:color w:val="auto"/>
          <w:sz w:val="20"/>
          <w:szCs w:val="24"/>
        </w:rPr>
        <w:t>36.</w:t>
      </w:r>
      <w:r>
        <w:rPr>
          <w:rFonts w:hint="default" w:ascii="Times New Roman" w:hAnsi="Times New Roman" w:eastAsia="Times New Roman"/>
          <w:color w:val="auto"/>
          <w:sz w:val="20"/>
          <w:szCs w:val="24"/>
        </w:rPr>
        <w:tab/>
      </w:r>
      <w:bookmarkStart w:id="37" w:name="_nebD2E03DA9_F41B_4E5B_9A11_45E3E0FE8031"/>
      <w:r>
        <w:rPr>
          <w:rFonts w:hint="default" w:ascii="Times New Roman" w:hAnsi="Times New Roman" w:eastAsia="Times New Roman"/>
          <w:color w:val="auto"/>
          <w:sz w:val="20"/>
          <w:szCs w:val="24"/>
        </w:rPr>
        <w:t>Saillard C, Schmauch B, Laifa O, Moarii M, Toldo S, Zaslavskiy M, Pronier E, Laurent A, Amaddeo G, Regnault H</w:t>
      </w:r>
      <w:r>
        <w:rPr>
          <w:rFonts w:hint="default" w:ascii="Times New Roman" w:hAnsi="Times New Roman" w:eastAsia="Times New Roman"/>
          <w:i/>
          <w:color w:val="auto"/>
          <w:sz w:val="20"/>
          <w:szCs w:val="24"/>
        </w:rPr>
        <w:t xml:space="preserve"> et al</w:t>
      </w:r>
      <w:r>
        <w:rPr>
          <w:rFonts w:hint="default" w:ascii="Times New Roman" w:hAnsi="Times New Roman" w:eastAsia="Times New Roman"/>
          <w:color w:val="auto"/>
          <w:sz w:val="20"/>
          <w:szCs w:val="24"/>
        </w:rPr>
        <w:t xml:space="preserve">: </w:t>
      </w:r>
      <w:r>
        <w:rPr>
          <w:rFonts w:hint="default" w:ascii="Times New Roman" w:hAnsi="Times New Roman" w:eastAsia="Times New Roman"/>
          <w:b/>
          <w:color w:val="auto"/>
          <w:sz w:val="20"/>
          <w:szCs w:val="24"/>
        </w:rPr>
        <w:t>Predicting Survival After Hepatocellular Carcinoma Resection Using Deep Learning  on Histological Slides</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HEPATOLOGY</w:t>
      </w:r>
      <w:r>
        <w:rPr>
          <w:rFonts w:hint="default" w:ascii="Times New Roman" w:hAnsi="Times New Roman" w:eastAsia="Times New Roman"/>
          <w:color w:val="auto"/>
          <w:sz w:val="20"/>
          <w:szCs w:val="24"/>
        </w:rPr>
        <w:t xml:space="preserve"> 2020, </w:t>
      </w:r>
      <w:r>
        <w:rPr>
          <w:rFonts w:hint="default" w:ascii="Times New Roman" w:hAnsi="Times New Roman" w:eastAsia="Times New Roman"/>
          <w:b/>
          <w:color w:val="auto"/>
          <w:sz w:val="20"/>
          <w:szCs w:val="24"/>
        </w:rPr>
        <w:t>72</w:t>
      </w:r>
      <w:r>
        <w:rPr>
          <w:rFonts w:hint="default" w:ascii="Times New Roman" w:hAnsi="Times New Roman" w:eastAsia="Times New Roman"/>
          <w:color w:val="auto"/>
          <w:sz w:val="20"/>
          <w:szCs w:val="24"/>
        </w:rPr>
        <w:t>(6):2000-2013.</w:t>
      </w:r>
      <w:bookmarkEnd w:id="37"/>
    </w:p>
    <w:p w14:paraId="18707984">
      <w:pPr>
        <w:spacing w:beforeLines="0" w:afterLines="0"/>
        <w:rPr>
          <w:rFonts w:hint="default"/>
          <w:color w:val="auto"/>
          <w:sz w:val="24"/>
          <w:szCs w:val="24"/>
        </w:rPr>
      </w:pPr>
      <w:r>
        <w:rPr>
          <w:rFonts w:hint="default" w:ascii="Times New Roman" w:hAnsi="Times New Roman" w:eastAsia="Times New Roman"/>
          <w:color w:val="auto"/>
          <w:sz w:val="20"/>
          <w:szCs w:val="24"/>
        </w:rPr>
        <w:t>37.</w:t>
      </w:r>
      <w:r>
        <w:rPr>
          <w:rFonts w:hint="default" w:ascii="Times New Roman" w:hAnsi="Times New Roman" w:eastAsia="Times New Roman"/>
          <w:color w:val="auto"/>
          <w:sz w:val="20"/>
          <w:szCs w:val="24"/>
        </w:rPr>
        <w:tab/>
      </w:r>
      <w:bookmarkStart w:id="38" w:name="_neb41D5F862_E2DA_4362_9EC4_272594DC6793"/>
      <w:r>
        <w:rPr>
          <w:rFonts w:hint="default" w:ascii="Times New Roman" w:hAnsi="Times New Roman" w:eastAsia="Times New Roman"/>
          <w:color w:val="auto"/>
          <w:sz w:val="20"/>
          <w:szCs w:val="24"/>
        </w:rPr>
        <w:t xml:space="preserve">Zhou J, Yang D: </w:t>
      </w:r>
      <w:r>
        <w:rPr>
          <w:rFonts w:hint="default" w:ascii="Times New Roman" w:hAnsi="Times New Roman" w:eastAsia="Times New Roman"/>
          <w:b/>
          <w:color w:val="auto"/>
          <w:sz w:val="20"/>
          <w:szCs w:val="24"/>
        </w:rPr>
        <w:t>Prognostic Significance of Hemoglobin, Albumin, Lymphocyte and Platelet (HALP)  Score in Hepatocellular Carcinoma</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J HEPATOCELL CARCINO</w:t>
      </w:r>
      <w:r>
        <w:rPr>
          <w:rFonts w:hint="default" w:ascii="Times New Roman" w:hAnsi="Times New Roman" w:eastAsia="Times New Roman"/>
          <w:color w:val="auto"/>
          <w:sz w:val="20"/>
          <w:szCs w:val="24"/>
        </w:rPr>
        <w:t xml:space="preserve"> 2023, </w:t>
      </w:r>
      <w:r>
        <w:rPr>
          <w:rFonts w:hint="default" w:ascii="Times New Roman" w:hAnsi="Times New Roman" w:eastAsia="Times New Roman"/>
          <w:b/>
          <w:color w:val="auto"/>
          <w:sz w:val="20"/>
          <w:szCs w:val="24"/>
        </w:rPr>
        <w:t>10</w:t>
      </w:r>
      <w:r>
        <w:rPr>
          <w:rFonts w:hint="default" w:ascii="Times New Roman" w:hAnsi="Times New Roman" w:eastAsia="Times New Roman"/>
          <w:color w:val="auto"/>
          <w:sz w:val="20"/>
          <w:szCs w:val="24"/>
        </w:rPr>
        <w:t>:821-831.</w:t>
      </w:r>
      <w:bookmarkEnd w:id="38"/>
    </w:p>
    <w:p w14:paraId="7D8E8F04">
      <w:pPr>
        <w:spacing w:beforeLines="0" w:afterLines="0"/>
        <w:rPr>
          <w:rFonts w:hint="default"/>
          <w:color w:val="auto"/>
          <w:sz w:val="24"/>
          <w:szCs w:val="24"/>
        </w:rPr>
      </w:pPr>
      <w:r>
        <w:rPr>
          <w:rFonts w:hint="default" w:ascii="Times New Roman" w:hAnsi="Times New Roman" w:eastAsia="Times New Roman"/>
          <w:color w:val="auto"/>
          <w:sz w:val="20"/>
          <w:szCs w:val="24"/>
        </w:rPr>
        <w:t>38.</w:t>
      </w:r>
      <w:r>
        <w:rPr>
          <w:rFonts w:hint="default" w:ascii="Times New Roman" w:hAnsi="Times New Roman" w:eastAsia="Times New Roman"/>
          <w:color w:val="auto"/>
          <w:sz w:val="20"/>
          <w:szCs w:val="24"/>
        </w:rPr>
        <w:tab/>
      </w:r>
      <w:bookmarkStart w:id="39" w:name="_neb5E248DE4_8434_48E4_AB99_ECBC93AC0409"/>
      <w:r>
        <w:rPr>
          <w:rFonts w:hint="default" w:ascii="Times New Roman" w:hAnsi="Times New Roman" w:eastAsia="Times New Roman"/>
          <w:color w:val="auto"/>
          <w:sz w:val="20"/>
          <w:szCs w:val="24"/>
        </w:rPr>
        <w:t xml:space="preserve">Ho C, Tan EC, Lee P, Chu C, Huang Y, Huo T, Su Y, Hou M, Wu J, Su C: </w:t>
      </w:r>
      <w:r>
        <w:rPr>
          <w:rFonts w:hint="default" w:ascii="Times New Roman" w:hAnsi="Times New Roman" w:eastAsia="Times New Roman"/>
          <w:b/>
          <w:color w:val="auto"/>
          <w:sz w:val="20"/>
          <w:szCs w:val="24"/>
        </w:rPr>
        <w:t>Conventional and machine learning-based risk scores for patients with early-stage  hepatocellular carcinoma</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CLIN MOL HEPATOL</w:t>
      </w:r>
      <w:r>
        <w:rPr>
          <w:rFonts w:hint="default" w:ascii="Times New Roman" w:hAnsi="Times New Roman" w:eastAsia="Times New Roman"/>
          <w:color w:val="auto"/>
          <w:sz w:val="20"/>
          <w:szCs w:val="24"/>
        </w:rPr>
        <w:t xml:space="preserve"> 2024, </w:t>
      </w:r>
      <w:r>
        <w:rPr>
          <w:rFonts w:hint="default" w:ascii="Times New Roman" w:hAnsi="Times New Roman" w:eastAsia="Times New Roman"/>
          <w:b/>
          <w:color w:val="auto"/>
          <w:sz w:val="20"/>
          <w:szCs w:val="24"/>
        </w:rPr>
        <w:t>30</w:t>
      </w:r>
      <w:r>
        <w:rPr>
          <w:rFonts w:hint="default" w:ascii="Times New Roman" w:hAnsi="Times New Roman" w:eastAsia="Times New Roman"/>
          <w:color w:val="auto"/>
          <w:sz w:val="20"/>
          <w:szCs w:val="24"/>
        </w:rPr>
        <w:t>(3):406-420.</w:t>
      </w:r>
      <w:bookmarkEnd w:id="39"/>
    </w:p>
    <w:p w14:paraId="2E5642CB">
      <w:pPr>
        <w:spacing w:beforeLines="0" w:afterLines="0"/>
        <w:rPr>
          <w:rFonts w:hint="default"/>
          <w:color w:val="auto"/>
          <w:sz w:val="24"/>
          <w:szCs w:val="24"/>
        </w:rPr>
      </w:pPr>
      <w:r>
        <w:rPr>
          <w:rFonts w:hint="default" w:ascii="Times New Roman" w:hAnsi="Times New Roman" w:eastAsia="Times New Roman"/>
          <w:color w:val="auto"/>
          <w:sz w:val="20"/>
          <w:szCs w:val="24"/>
        </w:rPr>
        <w:t>39.</w:t>
      </w:r>
      <w:r>
        <w:rPr>
          <w:rFonts w:hint="default" w:ascii="Times New Roman" w:hAnsi="Times New Roman" w:eastAsia="Times New Roman"/>
          <w:color w:val="auto"/>
          <w:sz w:val="20"/>
          <w:szCs w:val="24"/>
        </w:rPr>
        <w:tab/>
      </w:r>
      <w:bookmarkStart w:id="40" w:name="_nebCBDE5D05_6979_4512_AD1F_A751A9F2517D"/>
      <w:r>
        <w:rPr>
          <w:rFonts w:hint="default" w:ascii="Times New Roman" w:hAnsi="Times New Roman" w:eastAsia="Times New Roman"/>
          <w:color w:val="auto"/>
          <w:sz w:val="20"/>
          <w:szCs w:val="24"/>
        </w:rPr>
        <w:t xml:space="preserve">Tian Y, Niu H, Xu F, Shang-Guan P, Song W: </w:t>
      </w:r>
      <w:r>
        <w:rPr>
          <w:rFonts w:hint="default" w:ascii="Times New Roman" w:hAnsi="Times New Roman" w:eastAsia="Times New Roman"/>
          <w:b/>
          <w:color w:val="auto"/>
          <w:sz w:val="20"/>
          <w:szCs w:val="24"/>
        </w:rPr>
        <w:t>ALBI score combined with FIB-4 index to predict post-hepatectomy liver failure in  patients with hepatocellular carcinoma</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SCI REP-UK</w:t>
      </w:r>
      <w:r>
        <w:rPr>
          <w:rFonts w:hint="default" w:ascii="Times New Roman" w:hAnsi="Times New Roman" w:eastAsia="Times New Roman"/>
          <w:color w:val="auto"/>
          <w:sz w:val="20"/>
          <w:szCs w:val="24"/>
        </w:rPr>
        <w:t xml:space="preserve"> 2024, </w:t>
      </w:r>
      <w:r>
        <w:rPr>
          <w:rFonts w:hint="default" w:ascii="Times New Roman" w:hAnsi="Times New Roman" w:eastAsia="Times New Roman"/>
          <w:b/>
          <w:color w:val="auto"/>
          <w:sz w:val="20"/>
          <w:szCs w:val="24"/>
        </w:rPr>
        <w:t>14</w:t>
      </w:r>
      <w:r>
        <w:rPr>
          <w:rFonts w:hint="default" w:ascii="Times New Roman" w:hAnsi="Times New Roman" w:eastAsia="Times New Roman"/>
          <w:color w:val="auto"/>
          <w:sz w:val="20"/>
          <w:szCs w:val="24"/>
        </w:rPr>
        <w:t>(1):8034.</w:t>
      </w:r>
      <w:bookmarkEnd w:id="40"/>
    </w:p>
    <w:p w14:paraId="571E49AB">
      <w:pPr>
        <w:spacing w:beforeLines="0" w:afterLines="0"/>
        <w:rPr>
          <w:rFonts w:hint="default"/>
          <w:color w:val="auto"/>
          <w:sz w:val="24"/>
          <w:szCs w:val="24"/>
        </w:rPr>
      </w:pPr>
      <w:r>
        <w:rPr>
          <w:rFonts w:hint="default" w:ascii="Times New Roman" w:hAnsi="Times New Roman" w:eastAsia="Times New Roman"/>
          <w:color w:val="auto"/>
          <w:sz w:val="20"/>
          <w:szCs w:val="24"/>
        </w:rPr>
        <w:t>40.</w:t>
      </w:r>
      <w:r>
        <w:rPr>
          <w:rFonts w:hint="default" w:ascii="Times New Roman" w:hAnsi="Times New Roman" w:eastAsia="Times New Roman"/>
          <w:color w:val="auto"/>
          <w:sz w:val="20"/>
          <w:szCs w:val="24"/>
        </w:rPr>
        <w:tab/>
      </w:r>
      <w:bookmarkStart w:id="41" w:name="_neb4FBE7110_E3B7_483B_B49A_5867AF4368D4"/>
      <w:r>
        <w:rPr>
          <w:rFonts w:hint="default" w:ascii="Times New Roman" w:hAnsi="Times New Roman" w:eastAsia="Times New Roman"/>
          <w:color w:val="auto"/>
          <w:sz w:val="20"/>
          <w:szCs w:val="24"/>
        </w:rPr>
        <w:t xml:space="preserve">Kim J, Kang W, Sinn DH, Gwak G, Paik Y, Choi MS, Lee JH, Koh KC, Paik SW: </w:t>
      </w:r>
      <w:r>
        <w:rPr>
          <w:rFonts w:hint="default" w:ascii="Times New Roman" w:hAnsi="Times New Roman" w:eastAsia="Times New Roman"/>
          <w:b/>
          <w:color w:val="auto"/>
          <w:sz w:val="20"/>
          <w:szCs w:val="24"/>
        </w:rPr>
        <w:t>Substantial risk of recurrence even after 5 recurrence-free years in early-stage  hepatocellular carcinoma patients</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CLIN MOL HEPATOL</w:t>
      </w:r>
      <w:r>
        <w:rPr>
          <w:rFonts w:hint="default" w:ascii="Times New Roman" w:hAnsi="Times New Roman" w:eastAsia="Times New Roman"/>
          <w:color w:val="auto"/>
          <w:sz w:val="20"/>
          <w:szCs w:val="24"/>
        </w:rPr>
        <w:t xml:space="preserve"> 2020, </w:t>
      </w:r>
      <w:r>
        <w:rPr>
          <w:rFonts w:hint="default" w:ascii="Times New Roman" w:hAnsi="Times New Roman" w:eastAsia="Times New Roman"/>
          <w:b/>
          <w:color w:val="auto"/>
          <w:sz w:val="20"/>
          <w:szCs w:val="24"/>
        </w:rPr>
        <w:t>26</w:t>
      </w:r>
      <w:r>
        <w:rPr>
          <w:rFonts w:hint="default" w:ascii="Times New Roman" w:hAnsi="Times New Roman" w:eastAsia="Times New Roman"/>
          <w:color w:val="auto"/>
          <w:sz w:val="20"/>
          <w:szCs w:val="24"/>
        </w:rPr>
        <w:t>(4):516-528.</w:t>
      </w:r>
      <w:bookmarkEnd w:id="41"/>
    </w:p>
    <w:p w14:paraId="6974B4CB">
      <w:pPr>
        <w:spacing w:beforeLines="0" w:afterLines="0"/>
        <w:rPr>
          <w:rFonts w:hint="default"/>
          <w:color w:val="auto"/>
          <w:sz w:val="24"/>
          <w:szCs w:val="24"/>
        </w:rPr>
      </w:pPr>
      <w:r>
        <w:rPr>
          <w:rFonts w:hint="default" w:ascii="Times New Roman" w:hAnsi="Times New Roman" w:eastAsia="Times New Roman"/>
          <w:color w:val="auto"/>
          <w:sz w:val="20"/>
          <w:szCs w:val="24"/>
        </w:rPr>
        <w:t>41.</w:t>
      </w:r>
      <w:r>
        <w:rPr>
          <w:rFonts w:hint="default" w:ascii="Times New Roman" w:hAnsi="Times New Roman" w:eastAsia="Times New Roman"/>
          <w:color w:val="auto"/>
          <w:sz w:val="20"/>
          <w:szCs w:val="24"/>
        </w:rPr>
        <w:tab/>
      </w:r>
      <w:bookmarkStart w:id="42" w:name="_nebD18B4D9C_5DBD_4ED9_9A5A_DC75D5FAC269"/>
      <w:r>
        <w:rPr>
          <w:rFonts w:hint="default" w:ascii="Times New Roman" w:hAnsi="Times New Roman" w:eastAsia="Times New Roman"/>
          <w:color w:val="auto"/>
          <w:sz w:val="20"/>
          <w:szCs w:val="24"/>
        </w:rPr>
        <w:t xml:space="preserve">Liu M, Wen Y: </w:t>
      </w:r>
      <w:r>
        <w:rPr>
          <w:rFonts w:hint="default" w:ascii="Times New Roman" w:hAnsi="Times New Roman" w:eastAsia="Times New Roman"/>
          <w:b/>
          <w:color w:val="auto"/>
          <w:sz w:val="20"/>
          <w:szCs w:val="24"/>
        </w:rPr>
        <w:t>Point-of-care testing for early-stage liver cancer diagnosis and personalized  medicine: Biomarkers, current technologies and perspectives</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HELIYON</w:t>
      </w:r>
      <w:r>
        <w:rPr>
          <w:rFonts w:hint="default" w:ascii="Times New Roman" w:hAnsi="Times New Roman" w:eastAsia="Times New Roman"/>
          <w:color w:val="auto"/>
          <w:sz w:val="20"/>
          <w:szCs w:val="24"/>
        </w:rPr>
        <w:t xml:space="preserve"> 2024, </w:t>
      </w:r>
      <w:r>
        <w:rPr>
          <w:rFonts w:hint="default" w:ascii="Times New Roman" w:hAnsi="Times New Roman" w:eastAsia="Times New Roman"/>
          <w:b/>
          <w:color w:val="auto"/>
          <w:sz w:val="20"/>
          <w:szCs w:val="24"/>
        </w:rPr>
        <w:t>10</w:t>
      </w:r>
      <w:r>
        <w:rPr>
          <w:rFonts w:hint="default" w:ascii="Times New Roman" w:hAnsi="Times New Roman" w:eastAsia="Times New Roman"/>
          <w:color w:val="auto"/>
          <w:sz w:val="20"/>
          <w:szCs w:val="24"/>
        </w:rPr>
        <w:t>(19):e38444.</w:t>
      </w:r>
      <w:bookmarkEnd w:id="42"/>
    </w:p>
    <w:p w14:paraId="4945416C">
      <w:pPr>
        <w:spacing w:beforeLines="0" w:afterLines="0"/>
        <w:rPr>
          <w:rFonts w:hint="default"/>
          <w:color w:val="auto"/>
          <w:sz w:val="24"/>
          <w:szCs w:val="24"/>
        </w:rPr>
      </w:pPr>
      <w:r>
        <w:rPr>
          <w:rFonts w:hint="default" w:ascii="Times New Roman" w:hAnsi="Times New Roman" w:eastAsia="Times New Roman"/>
          <w:color w:val="auto"/>
          <w:sz w:val="20"/>
          <w:szCs w:val="24"/>
        </w:rPr>
        <w:t>42.</w:t>
      </w:r>
      <w:r>
        <w:rPr>
          <w:rFonts w:hint="default" w:ascii="Times New Roman" w:hAnsi="Times New Roman" w:eastAsia="Times New Roman"/>
          <w:color w:val="auto"/>
          <w:sz w:val="20"/>
          <w:szCs w:val="24"/>
        </w:rPr>
        <w:tab/>
      </w:r>
      <w:bookmarkStart w:id="43" w:name="_neb5750158C_324B_4DB3_AA8D_3ACC86008A49"/>
      <w:r>
        <w:rPr>
          <w:rFonts w:hint="default" w:ascii="Times New Roman" w:hAnsi="Times New Roman" w:eastAsia="Times New Roman"/>
          <w:color w:val="auto"/>
          <w:sz w:val="20"/>
          <w:szCs w:val="24"/>
        </w:rPr>
        <w:t>Luo B, Ma F, Liu H, Hu J, Rao L, Liu C, Jiang Y, Kuangzeng S, Lin X, Wang C</w:t>
      </w:r>
      <w:r>
        <w:rPr>
          <w:rFonts w:hint="default" w:ascii="Times New Roman" w:hAnsi="Times New Roman" w:eastAsia="Times New Roman"/>
          <w:i/>
          <w:color w:val="auto"/>
          <w:sz w:val="20"/>
          <w:szCs w:val="24"/>
        </w:rPr>
        <w:t xml:space="preserve"> et al</w:t>
      </w:r>
      <w:r>
        <w:rPr>
          <w:rFonts w:hint="default" w:ascii="Times New Roman" w:hAnsi="Times New Roman" w:eastAsia="Times New Roman"/>
          <w:color w:val="auto"/>
          <w:sz w:val="20"/>
          <w:szCs w:val="24"/>
        </w:rPr>
        <w:t xml:space="preserve">: </w:t>
      </w:r>
      <w:r>
        <w:rPr>
          <w:rFonts w:hint="default" w:ascii="Times New Roman" w:hAnsi="Times New Roman" w:eastAsia="Times New Roman"/>
          <w:b/>
          <w:color w:val="auto"/>
          <w:sz w:val="20"/>
          <w:szCs w:val="24"/>
        </w:rPr>
        <w:t>Cell-free DNA methylation markers for differential diagnosis of hepatocellular  carcinoma</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BMC MED</w:t>
      </w:r>
      <w:r>
        <w:rPr>
          <w:rFonts w:hint="default" w:ascii="Times New Roman" w:hAnsi="Times New Roman" w:eastAsia="Times New Roman"/>
          <w:color w:val="auto"/>
          <w:sz w:val="20"/>
          <w:szCs w:val="24"/>
        </w:rPr>
        <w:t xml:space="preserve"> 2022, </w:t>
      </w:r>
      <w:r>
        <w:rPr>
          <w:rFonts w:hint="default" w:ascii="Times New Roman" w:hAnsi="Times New Roman" w:eastAsia="Times New Roman"/>
          <w:b/>
          <w:color w:val="auto"/>
          <w:sz w:val="20"/>
          <w:szCs w:val="24"/>
        </w:rPr>
        <w:t>20</w:t>
      </w:r>
      <w:r>
        <w:rPr>
          <w:rFonts w:hint="default" w:ascii="Times New Roman" w:hAnsi="Times New Roman" w:eastAsia="Times New Roman"/>
          <w:color w:val="auto"/>
          <w:sz w:val="20"/>
          <w:szCs w:val="24"/>
        </w:rPr>
        <w:t>(1):8.</w:t>
      </w:r>
      <w:bookmarkEnd w:id="43"/>
    </w:p>
    <w:p w14:paraId="279EEB37">
      <w:pPr>
        <w:spacing w:beforeLines="0" w:afterLines="0"/>
        <w:rPr>
          <w:rFonts w:hint="default"/>
          <w:color w:val="auto"/>
          <w:sz w:val="24"/>
          <w:szCs w:val="24"/>
        </w:rPr>
      </w:pPr>
      <w:r>
        <w:rPr>
          <w:rFonts w:hint="default" w:ascii="Times New Roman" w:hAnsi="Times New Roman" w:eastAsia="Times New Roman"/>
          <w:color w:val="auto"/>
          <w:sz w:val="20"/>
          <w:szCs w:val="24"/>
        </w:rPr>
        <w:t>43.</w:t>
      </w:r>
      <w:r>
        <w:rPr>
          <w:rFonts w:hint="default" w:ascii="Times New Roman" w:hAnsi="Times New Roman" w:eastAsia="Times New Roman"/>
          <w:color w:val="auto"/>
          <w:sz w:val="20"/>
          <w:szCs w:val="24"/>
        </w:rPr>
        <w:tab/>
      </w:r>
      <w:bookmarkStart w:id="44" w:name="_neb9F48CE76_49AD_49B0_A285_B7E8088D7C58"/>
      <w:r>
        <w:rPr>
          <w:rFonts w:hint="default" w:ascii="Times New Roman" w:hAnsi="Times New Roman" w:eastAsia="Times New Roman"/>
          <w:color w:val="auto"/>
          <w:sz w:val="20"/>
          <w:szCs w:val="24"/>
        </w:rPr>
        <w:t xml:space="preserve">Hanif H, Ali MJ, Susheela AT, Khan IW, Luna-Cuadros MA, Khan MM, Lau DT: </w:t>
      </w:r>
      <w:r>
        <w:rPr>
          <w:rFonts w:hint="default" w:ascii="Times New Roman" w:hAnsi="Times New Roman" w:eastAsia="Times New Roman"/>
          <w:b/>
          <w:color w:val="auto"/>
          <w:sz w:val="20"/>
          <w:szCs w:val="24"/>
        </w:rPr>
        <w:t>Update on the applications and limitations of alpha-fetoprotein for  hepatocellular carcinoma</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WORLD J GASTROENTERO</w:t>
      </w:r>
      <w:r>
        <w:rPr>
          <w:rFonts w:hint="default" w:ascii="Times New Roman" w:hAnsi="Times New Roman" w:eastAsia="Times New Roman"/>
          <w:color w:val="auto"/>
          <w:sz w:val="20"/>
          <w:szCs w:val="24"/>
        </w:rPr>
        <w:t xml:space="preserve"> 2022, </w:t>
      </w:r>
      <w:r>
        <w:rPr>
          <w:rFonts w:hint="default" w:ascii="Times New Roman" w:hAnsi="Times New Roman" w:eastAsia="Times New Roman"/>
          <w:b/>
          <w:color w:val="auto"/>
          <w:sz w:val="20"/>
          <w:szCs w:val="24"/>
        </w:rPr>
        <w:t>28</w:t>
      </w:r>
      <w:r>
        <w:rPr>
          <w:rFonts w:hint="default" w:ascii="Times New Roman" w:hAnsi="Times New Roman" w:eastAsia="Times New Roman"/>
          <w:color w:val="auto"/>
          <w:sz w:val="20"/>
          <w:szCs w:val="24"/>
        </w:rPr>
        <w:t>(2):216-229.</w:t>
      </w:r>
      <w:bookmarkEnd w:id="44"/>
    </w:p>
    <w:p w14:paraId="7C059C2E">
      <w:pPr>
        <w:spacing w:beforeLines="0" w:afterLines="0"/>
        <w:rPr>
          <w:rFonts w:hint="default"/>
          <w:color w:val="auto"/>
          <w:sz w:val="24"/>
          <w:szCs w:val="24"/>
        </w:rPr>
      </w:pPr>
      <w:r>
        <w:rPr>
          <w:rFonts w:hint="default" w:ascii="Times New Roman" w:hAnsi="Times New Roman" w:eastAsia="Times New Roman"/>
          <w:color w:val="auto"/>
          <w:sz w:val="20"/>
          <w:szCs w:val="24"/>
        </w:rPr>
        <w:t>44.</w:t>
      </w:r>
      <w:r>
        <w:rPr>
          <w:rFonts w:hint="default" w:ascii="Times New Roman" w:hAnsi="Times New Roman" w:eastAsia="Times New Roman"/>
          <w:color w:val="auto"/>
          <w:sz w:val="20"/>
          <w:szCs w:val="24"/>
        </w:rPr>
        <w:tab/>
      </w:r>
      <w:bookmarkStart w:id="45" w:name="_neb12DFB97E_3572_4CB1_B05B_8C8099B40A6D"/>
      <w:r>
        <w:rPr>
          <w:rFonts w:hint="default" w:ascii="Times New Roman" w:hAnsi="Times New Roman" w:eastAsia="Times New Roman"/>
          <w:color w:val="auto"/>
          <w:sz w:val="20"/>
          <w:szCs w:val="24"/>
        </w:rPr>
        <w:t xml:space="preserve">Gao R, Cai C, Gan J, Yang X, Shuang Z, Liu M, Li S, Tang H: </w:t>
      </w:r>
      <w:r>
        <w:rPr>
          <w:rFonts w:hint="default" w:ascii="Times New Roman" w:hAnsi="Times New Roman" w:eastAsia="Times New Roman"/>
          <w:b/>
          <w:color w:val="auto"/>
          <w:sz w:val="20"/>
          <w:szCs w:val="24"/>
        </w:rPr>
        <w:t>miR-1236 down-regulates alpha-fetoprotein, thus causing PTEN accumulation, which  inhibits the PI3K/Akt pathway and malignant phenotype in hepatoma cells</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Oncotarget</w:t>
      </w:r>
      <w:r>
        <w:rPr>
          <w:rFonts w:hint="default" w:ascii="Times New Roman" w:hAnsi="Times New Roman" w:eastAsia="Times New Roman"/>
          <w:color w:val="auto"/>
          <w:sz w:val="20"/>
          <w:szCs w:val="24"/>
        </w:rPr>
        <w:t xml:space="preserve"> 2015, </w:t>
      </w:r>
      <w:r>
        <w:rPr>
          <w:rFonts w:hint="default" w:ascii="Times New Roman" w:hAnsi="Times New Roman" w:eastAsia="Times New Roman"/>
          <w:b/>
          <w:color w:val="auto"/>
          <w:sz w:val="20"/>
          <w:szCs w:val="24"/>
        </w:rPr>
        <w:t>6</w:t>
      </w:r>
      <w:r>
        <w:rPr>
          <w:rFonts w:hint="default" w:ascii="Times New Roman" w:hAnsi="Times New Roman" w:eastAsia="Times New Roman"/>
          <w:color w:val="auto"/>
          <w:sz w:val="20"/>
          <w:szCs w:val="24"/>
        </w:rPr>
        <w:t>(8):6014-6028.</w:t>
      </w:r>
      <w:bookmarkEnd w:id="45"/>
    </w:p>
    <w:p w14:paraId="4BDBBE0B">
      <w:pPr>
        <w:spacing w:beforeLines="0" w:afterLines="0"/>
        <w:rPr>
          <w:rFonts w:hint="default"/>
          <w:color w:val="auto"/>
          <w:sz w:val="24"/>
          <w:szCs w:val="24"/>
        </w:rPr>
      </w:pPr>
      <w:r>
        <w:rPr>
          <w:rFonts w:hint="default" w:ascii="Times New Roman" w:hAnsi="Times New Roman" w:eastAsia="Times New Roman"/>
          <w:color w:val="auto"/>
          <w:sz w:val="20"/>
          <w:szCs w:val="24"/>
        </w:rPr>
        <w:t>45.</w:t>
      </w:r>
      <w:r>
        <w:rPr>
          <w:rFonts w:hint="default" w:ascii="Times New Roman" w:hAnsi="Times New Roman" w:eastAsia="Times New Roman"/>
          <w:color w:val="auto"/>
          <w:sz w:val="20"/>
          <w:szCs w:val="24"/>
        </w:rPr>
        <w:tab/>
      </w:r>
      <w:bookmarkStart w:id="46" w:name="_nebDA58CB83_5739_4704_A926_9291AB7F1342"/>
      <w:r>
        <w:rPr>
          <w:rFonts w:hint="default" w:ascii="Times New Roman" w:hAnsi="Times New Roman" w:eastAsia="Times New Roman"/>
          <w:color w:val="auto"/>
          <w:sz w:val="20"/>
          <w:szCs w:val="24"/>
        </w:rPr>
        <w:t xml:space="preserve">Li P, Chen P, Peng X, Ma C, Zhang W, Dai X: </w:t>
      </w:r>
      <w:r>
        <w:rPr>
          <w:rFonts w:hint="default" w:ascii="Times New Roman" w:hAnsi="Times New Roman" w:eastAsia="Times New Roman"/>
          <w:b/>
          <w:color w:val="auto"/>
          <w:sz w:val="20"/>
          <w:szCs w:val="24"/>
        </w:rPr>
        <w:t>HOXC6 predicts invasion and poor survival in hepatocellular carcinoma by driving  epithelial-mesenchymal transition</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Aging (Albany NY)</w:t>
      </w:r>
      <w:r>
        <w:rPr>
          <w:rFonts w:hint="default" w:ascii="Times New Roman" w:hAnsi="Times New Roman" w:eastAsia="Times New Roman"/>
          <w:color w:val="auto"/>
          <w:sz w:val="20"/>
          <w:szCs w:val="24"/>
        </w:rPr>
        <w:t xml:space="preserve"> 2018, </w:t>
      </w:r>
      <w:r>
        <w:rPr>
          <w:rFonts w:hint="default" w:ascii="Times New Roman" w:hAnsi="Times New Roman" w:eastAsia="Times New Roman"/>
          <w:b/>
          <w:color w:val="auto"/>
          <w:sz w:val="20"/>
          <w:szCs w:val="24"/>
        </w:rPr>
        <w:t>10</w:t>
      </w:r>
      <w:r>
        <w:rPr>
          <w:rFonts w:hint="default" w:ascii="Times New Roman" w:hAnsi="Times New Roman" w:eastAsia="Times New Roman"/>
          <w:color w:val="auto"/>
          <w:sz w:val="20"/>
          <w:szCs w:val="24"/>
        </w:rPr>
        <w:t>(1):115-130.</w:t>
      </w:r>
      <w:bookmarkEnd w:id="46"/>
    </w:p>
    <w:p w14:paraId="089E1FEB">
      <w:pPr>
        <w:spacing w:beforeLines="0" w:afterLines="0"/>
        <w:rPr>
          <w:rFonts w:hint="default"/>
          <w:color w:val="auto"/>
          <w:sz w:val="24"/>
          <w:szCs w:val="24"/>
        </w:rPr>
      </w:pPr>
      <w:r>
        <w:rPr>
          <w:rFonts w:hint="default" w:ascii="Times New Roman" w:hAnsi="Times New Roman" w:eastAsia="Times New Roman"/>
          <w:color w:val="auto"/>
          <w:sz w:val="20"/>
          <w:szCs w:val="24"/>
        </w:rPr>
        <w:t>46.</w:t>
      </w:r>
      <w:r>
        <w:rPr>
          <w:rFonts w:hint="default" w:ascii="Times New Roman" w:hAnsi="Times New Roman" w:eastAsia="Times New Roman"/>
          <w:color w:val="auto"/>
          <w:sz w:val="20"/>
          <w:szCs w:val="24"/>
        </w:rPr>
        <w:tab/>
      </w:r>
      <w:bookmarkStart w:id="47" w:name="_neb8576306A_DC3B_44A6_8789_1AB15F543E8B"/>
      <w:r>
        <w:rPr>
          <w:rFonts w:hint="default" w:ascii="Times New Roman" w:hAnsi="Times New Roman" w:eastAsia="Times New Roman"/>
          <w:color w:val="auto"/>
          <w:sz w:val="20"/>
          <w:szCs w:val="24"/>
        </w:rPr>
        <w:t>Wu R, Gao Y, Zhao X, Guo S, Zhou H, Zhang Y, Hou Y, Mei L, Zhi H, Wang P</w:t>
      </w:r>
      <w:r>
        <w:rPr>
          <w:rFonts w:hint="default" w:ascii="Times New Roman" w:hAnsi="Times New Roman" w:eastAsia="Times New Roman"/>
          <w:i/>
          <w:color w:val="auto"/>
          <w:sz w:val="20"/>
          <w:szCs w:val="24"/>
        </w:rPr>
        <w:t xml:space="preserve"> et al</w:t>
      </w:r>
      <w:r>
        <w:rPr>
          <w:rFonts w:hint="default" w:ascii="Times New Roman" w:hAnsi="Times New Roman" w:eastAsia="Times New Roman"/>
          <w:color w:val="auto"/>
          <w:sz w:val="20"/>
          <w:szCs w:val="24"/>
        </w:rPr>
        <w:t xml:space="preserve">: </w:t>
      </w:r>
      <w:r>
        <w:rPr>
          <w:rFonts w:hint="default" w:ascii="Times New Roman" w:hAnsi="Times New Roman" w:eastAsia="Times New Roman"/>
          <w:b/>
          <w:color w:val="auto"/>
          <w:sz w:val="20"/>
          <w:szCs w:val="24"/>
        </w:rPr>
        <w:t>Tumor biology, immune infiltration and liver function define seven hepatocellular  carcinoma subtypes linked to distinct drivers, survival and drug response</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COMPUT BIOL MED</w:t>
      </w:r>
      <w:r>
        <w:rPr>
          <w:rFonts w:hint="default" w:ascii="Times New Roman" w:hAnsi="Times New Roman" w:eastAsia="Times New Roman"/>
          <w:color w:val="auto"/>
          <w:sz w:val="20"/>
          <w:szCs w:val="24"/>
        </w:rPr>
        <w:t xml:space="preserve"> 2023, </w:t>
      </w:r>
      <w:r>
        <w:rPr>
          <w:rFonts w:hint="default" w:ascii="Times New Roman" w:hAnsi="Times New Roman" w:eastAsia="Times New Roman"/>
          <w:b/>
          <w:color w:val="auto"/>
          <w:sz w:val="20"/>
          <w:szCs w:val="24"/>
        </w:rPr>
        <w:t>167</w:t>
      </w:r>
      <w:r>
        <w:rPr>
          <w:rFonts w:hint="default" w:ascii="Times New Roman" w:hAnsi="Times New Roman" w:eastAsia="Times New Roman"/>
          <w:color w:val="auto"/>
          <w:sz w:val="20"/>
          <w:szCs w:val="24"/>
        </w:rPr>
        <w:t>:107593.</w:t>
      </w:r>
      <w:bookmarkEnd w:id="47"/>
    </w:p>
    <w:p w14:paraId="328E7712">
      <w:pPr>
        <w:spacing w:beforeLines="0" w:afterLines="0"/>
        <w:rPr>
          <w:rFonts w:hint="default"/>
          <w:color w:val="auto"/>
          <w:sz w:val="24"/>
          <w:szCs w:val="24"/>
        </w:rPr>
      </w:pPr>
      <w:r>
        <w:rPr>
          <w:rFonts w:hint="default" w:ascii="Times New Roman" w:hAnsi="Times New Roman" w:eastAsia="Times New Roman"/>
          <w:color w:val="auto"/>
          <w:sz w:val="20"/>
          <w:szCs w:val="24"/>
        </w:rPr>
        <w:t>47.</w:t>
      </w:r>
      <w:r>
        <w:rPr>
          <w:rFonts w:hint="default" w:ascii="Times New Roman" w:hAnsi="Times New Roman" w:eastAsia="Times New Roman"/>
          <w:color w:val="auto"/>
          <w:sz w:val="20"/>
          <w:szCs w:val="24"/>
        </w:rPr>
        <w:tab/>
      </w:r>
      <w:bookmarkStart w:id="48" w:name="_neb2E124698_05A5_4491_AFC0_FC877F0BFCE1"/>
      <w:r>
        <w:rPr>
          <w:rFonts w:hint="default" w:ascii="Times New Roman" w:hAnsi="Times New Roman" w:eastAsia="Times New Roman"/>
          <w:color w:val="auto"/>
          <w:sz w:val="20"/>
          <w:szCs w:val="24"/>
        </w:rPr>
        <w:t>Sterling RK, Lissen E, Clumeck N, Sola R, Correa MC, Montaner J, S Sulkowski M, Torriani FJ, Dieterich DT, Thomas DL</w:t>
      </w:r>
      <w:r>
        <w:rPr>
          <w:rFonts w:hint="default" w:ascii="Times New Roman" w:hAnsi="Times New Roman" w:eastAsia="Times New Roman"/>
          <w:i/>
          <w:color w:val="auto"/>
          <w:sz w:val="20"/>
          <w:szCs w:val="24"/>
        </w:rPr>
        <w:t xml:space="preserve"> et al</w:t>
      </w:r>
      <w:r>
        <w:rPr>
          <w:rFonts w:hint="default" w:ascii="Times New Roman" w:hAnsi="Times New Roman" w:eastAsia="Times New Roman"/>
          <w:color w:val="auto"/>
          <w:sz w:val="20"/>
          <w:szCs w:val="24"/>
        </w:rPr>
        <w:t xml:space="preserve">: </w:t>
      </w:r>
      <w:r>
        <w:rPr>
          <w:rFonts w:hint="default" w:ascii="Times New Roman" w:hAnsi="Times New Roman" w:eastAsia="Times New Roman"/>
          <w:b/>
          <w:color w:val="auto"/>
          <w:sz w:val="20"/>
          <w:szCs w:val="24"/>
        </w:rPr>
        <w:t>Development of a simple noninvasive index to predict significant fibrosis in  patients with HIV/HCV coinfection</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HEPATOLOGY</w:t>
      </w:r>
      <w:r>
        <w:rPr>
          <w:rFonts w:hint="default" w:ascii="Times New Roman" w:hAnsi="Times New Roman" w:eastAsia="Times New Roman"/>
          <w:color w:val="auto"/>
          <w:sz w:val="20"/>
          <w:szCs w:val="24"/>
        </w:rPr>
        <w:t xml:space="preserve"> 2006, </w:t>
      </w:r>
      <w:r>
        <w:rPr>
          <w:rFonts w:hint="default" w:ascii="Times New Roman" w:hAnsi="Times New Roman" w:eastAsia="Times New Roman"/>
          <w:b/>
          <w:color w:val="auto"/>
          <w:sz w:val="20"/>
          <w:szCs w:val="24"/>
        </w:rPr>
        <w:t>43</w:t>
      </w:r>
      <w:r>
        <w:rPr>
          <w:rFonts w:hint="default" w:ascii="Times New Roman" w:hAnsi="Times New Roman" w:eastAsia="Times New Roman"/>
          <w:color w:val="auto"/>
          <w:sz w:val="20"/>
          <w:szCs w:val="24"/>
        </w:rPr>
        <w:t>(6):1317-1325.</w:t>
      </w:r>
      <w:bookmarkEnd w:id="48"/>
    </w:p>
    <w:p w14:paraId="60478A96">
      <w:pPr>
        <w:spacing w:beforeLines="0" w:afterLines="0"/>
        <w:rPr>
          <w:rFonts w:hint="default"/>
          <w:color w:val="auto"/>
          <w:sz w:val="24"/>
          <w:szCs w:val="24"/>
        </w:rPr>
      </w:pPr>
      <w:r>
        <w:rPr>
          <w:rFonts w:hint="default" w:ascii="Times New Roman" w:hAnsi="Times New Roman" w:eastAsia="Times New Roman"/>
          <w:color w:val="auto"/>
          <w:sz w:val="20"/>
          <w:szCs w:val="24"/>
        </w:rPr>
        <w:t>48.</w:t>
      </w:r>
      <w:r>
        <w:rPr>
          <w:rFonts w:hint="default" w:ascii="Times New Roman" w:hAnsi="Times New Roman" w:eastAsia="Times New Roman"/>
          <w:color w:val="auto"/>
          <w:sz w:val="20"/>
          <w:szCs w:val="24"/>
        </w:rPr>
        <w:tab/>
      </w:r>
      <w:bookmarkStart w:id="49" w:name="_neb6C51328E_F512_4282_851D_DB890CAB197B"/>
      <w:r>
        <w:rPr>
          <w:rFonts w:hint="default" w:ascii="Times New Roman" w:hAnsi="Times New Roman" w:eastAsia="Times New Roman"/>
          <w:color w:val="auto"/>
          <w:sz w:val="20"/>
          <w:szCs w:val="24"/>
        </w:rPr>
        <w:t>Johnson PJ, Berhane S, Kagebayashi C, Satomura S, Teng M, Reeves HL, O'Beirne J, Fox R, Skowronska A, Palmer D</w:t>
      </w:r>
      <w:r>
        <w:rPr>
          <w:rFonts w:hint="default" w:ascii="Times New Roman" w:hAnsi="Times New Roman" w:eastAsia="Times New Roman"/>
          <w:i/>
          <w:color w:val="auto"/>
          <w:sz w:val="20"/>
          <w:szCs w:val="24"/>
        </w:rPr>
        <w:t xml:space="preserve"> et al</w:t>
      </w:r>
      <w:r>
        <w:rPr>
          <w:rFonts w:hint="default" w:ascii="Times New Roman" w:hAnsi="Times New Roman" w:eastAsia="Times New Roman"/>
          <w:color w:val="auto"/>
          <w:sz w:val="20"/>
          <w:szCs w:val="24"/>
        </w:rPr>
        <w:t xml:space="preserve">: </w:t>
      </w:r>
      <w:r>
        <w:rPr>
          <w:rFonts w:hint="default" w:ascii="Times New Roman" w:hAnsi="Times New Roman" w:eastAsia="Times New Roman"/>
          <w:b/>
          <w:color w:val="auto"/>
          <w:sz w:val="20"/>
          <w:szCs w:val="24"/>
        </w:rPr>
        <w:t>Assessment of liver function in patients with hepatocellular carcinoma: a new  evidence-based approach-the ALBI grade</w:t>
      </w:r>
      <w:r>
        <w:rPr>
          <w:rFonts w:hint="default" w:ascii="Times New Roman" w:hAnsi="Times New Roman" w:eastAsia="Times New Roman"/>
          <w:color w:val="auto"/>
          <w:sz w:val="20"/>
          <w:szCs w:val="24"/>
        </w:rPr>
        <w:t xml:space="preserve">. </w:t>
      </w:r>
      <w:r>
        <w:rPr>
          <w:rFonts w:hint="default" w:ascii="Times New Roman" w:hAnsi="Times New Roman" w:eastAsia="Times New Roman"/>
          <w:i/>
          <w:color w:val="auto"/>
          <w:sz w:val="20"/>
          <w:szCs w:val="24"/>
        </w:rPr>
        <w:t>J CLIN ONCOL</w:t>
      </w:r>
      <w:r>
        <w:rPr>
          <w:rFonts w:hint="default" w:ascii="Times New Roman" w:hAnsi="Times New Roman" w:eastAsia="Times New Roman"/>
          <w:color w:val="auto"/>
          <w:sz w:val="20"/>
          <w:szCs w:val="24"/>
        </w:rPr>
        <w:t xml:space="preserve"> 2015, </w:t>
      </w:r>
      <w:r>
        <w:rPr>
          <w:rFonts w:hint="default" w:ascii="Times New Roman" w:hAnsi="Times New Roman" w:eastAsia="Times New Roman"/>
          <w:b/>
          <w:color w:val="auto"/>
          <w:sz w:val="20"/>
          <w:szCs w:val="24"/>
        </w:rPr>
        <w:t>33</w:t>
      </w:r>
      <w:r>
        <w:rPr>
          <w:rFonts w:hint="default" w:ascii="Times New Roman" w:hAnsi="Times New Roman" w:eastAsia="Times New Roman"/>
          <w:color w:val="auto"/>
          <w:sz w:val="20"/>
          <w:szCs w:val="24"/>
        </w:rPr>
        <w:t>(6):550-558.</w:t>
      </w:r>
      <w:bookmarkEnd w:id="49"/>
    </w:p>
    <w:p w14:paraId="15AF4758">
      <w:pPr>
        <w:keepNext w:val="0"/>
        <w:keepLines w:val="0"/>
        <w:pageBreakBefore w:val="0"/>
        <w:widowControl w:val="0"/>
        <w:kinsoku w:val="0"/>
        <w:wordWrap w:val="0"/>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fldChar w:fldCharType="end"/>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vPTimes">
    <w:altName w:val="Times New Roman"/>
    <w:panose1 w:val="00000000000000000000"/>
    <w:charset w:val="00"/>
    <w:family w:val="roman"/>
    <w:pitch w:val="default"/>
    <w:sig w:usb0="00000000" w:usb1="00000000" w:usb2="00000000" w:usb3="00000000" w:csb0="00000001" w:csb1="00000000"/>
  </w:font>
  <w:font w:name="Book Antiqua">
    <w:panose1 w:val="02040602050305030304"/>
    <w:charset w:val="00"/>
    <w:family w:val="roman"/>
    <w:pitch w:val="default"/>
    <w:sig w:usb0="00000287" w:usb1="00000000" w:usb2="00000000" w:usb3="00000000" w:csb0="2000009F" w:csb1="DFD70000"/>
  </w:font>
  <w:font w:name="AdvOT9d0303c0.B">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NE.Ref{0062959B-0803-4FF0-82F7-54C4E04B750B}" w:val=" ADDIN NE.Ref.{0062959B-0803-4FF0-82F7-54C4E04B750B}&lt;Citation&gt;&lt;Group&gt;&lt;References&gt;&lt;Item&gt;&lt;ID&gt;5330&lt;/ID&gt;&lt;UID&gt;{CBDE5D05-6979-4512-AD1F-A751A9F2517D}&lt;/UID&gt;&lt;Title&gt;ALBI score combined with FIB-4 index to predict post-hepatectomy liver failure in  patients with hepatocellular carcinoma&lt;/Title&gt;&lt;Template&gt;Journal Article&lt;/Template&gt;&lt;Star&gt;0&lt;/Star&gt;&lt;Tag&gt;0&lt;/Tag&gt;&lt;Author&gt;Tian, Yi-Bo; Niu, Hong; Xu, Feng; Shang-Guan, Peng-Wei; Song, Wei-Wei&lt;/Author&gt;&lt;Year&gt;2024&lt;/Year&gt;&lt;Details&gt;&lt;_author_adr&gt;Department of Hepatobiliary Surgery, Jincheng People&amp;apos;s Hospital, Jincheng,  048026, Shanxi Province, China.; Department of Emergency, Jincheng General Hospital, Jincheng, 048000, Shanxi  Province, China.; Department of Gastroenterology, Jincheng General Hospital, Jincheng, 048000,  Shanxi Province, China.; Department of General Surgery, Jincheng General Hospital, Jincheng, 048000,  Shanxi Province, China. xf3646089@sina.com.; Department of General Surgery, Jincheng General Hospital, Jincheng, 048000,  Shanxi Province, China.; Department of Medical Quality Control, Jincheng General Hospital, Jincheng,  048000, Shanxi Province, China.&lt;/_author_adr&gt;&lt;_collection_scope&gt;SCIE&lt;/_collection_scope&gt;&lt;_created&gt;66046014&lt;/_created&gt;&lt;_date&gt;2024-01-01&lt;/_date&gt;&lt;_date_display&gt;2024&lt;/_date_display&gt;&lt;_impact_factor&gt;   3.800&lt;/_impact_factor&gt;&lt;_isbn&gt;2045-2322 (Electronic); 2045-2322 (Linking)&lt;/_isbn&gt;&lt;_issue&gt;1&lt;/_issue&gt;&lt;_journal&gt;Sci Rep&lt;/_journal&gt;&lt;_keywords&gt;Albumin-bilirubin (ALBI) score; Fibrosis-4 (FIB-4) index; Hepatectomy; Hepatocellular carcinoma; Post-hepatectomy liver failure&lt;/_keywords&gt;&lt;_modified&gt;66046014&lt;/_modified&gt;&lt;_number&gt;4082&lt;/_number&gt;&lt;_pages&gt;8034&lt;/_pages&gt;&lt;_social_category&gt;综合性期刊(2)&lt;/_social_category&gt;&lt;_url&gt;http://www.ncbi.nlm.nih.gov/entrez/query.fcgi?cmd=Retrieve&amp;amp;db=pubmed&amp;amp;dopt=Abstract&amp;amp;list_uids=38580647&amp;amp;query_hl=1_x000d__x000a_DO - 10.1038/s41598-024-58205-5&lt;/_url&gt;&lt;_volume&gt;14&lt;/_volume&gt;&lt;/Details&gt;&lt;Extra&gt;&lt;DBUID&gt;{86835755-9694-411B-A931-C461F6E7F109}&lt;/DBUID&gt;&lt;/Extra&gt;&lt;/Item&gt;&lt;/References&gt;&lt;/Group&gt;&lt;/Citation&gt;_x000a_"/>
    <w:docVar w:name="NE.Ref{0C672414-BF0C-49E8-AB74-93A5FFC95F6C}" w:val=" ADDIN NE.Ref.{0C672414-BF0C-49E8-AB74-93A5FFC95F6C}&lt;Citation&gt;&lt;Group&gt;&lt;References&gt;&lt;Item&gt;&lt;ID&gt;4039&lt;/ID&gt;&lt;UID&gt;{0ACCDC55-8650-4FEB-94CC-489DA42C96B3}&lt;/UID&gt;&lt;Title&gt;Guidelines for the Diagnosis and Treatment of Primary Liver Cancer (2022  Edition)&lt;/Title&gt;&lt;Template&gt;Journal Article&lt;/Template&gt;&lt;Star&gt;0&lt;/Star&gt;&lt;Tag&gt;0&lt;/Tag&gt;&lt;Author&gt;Zhou, Jian; Sun, Huichuan; Wang, Zheng; Cong, Wenming; Zeng, Mengsu; Zhou, Weiping; Bie, Ping; Liu, Lianxin; Wen, Tianfu; Kuang, Ming; Han, Guohong; Yan, Zhiping; Wang, Maoqiang; Liu, Ruibao; Lu, Ligong; Ren, Zhenggang; Zeng, Zhaochong; Liang, Ping; Liang, Changhong; Chen, Min; Yan, Fuhua; Wang, Wenping; Hou, Jinlin; Ji, Yuan; Yun, Jingping; Bai, Xueli; Cai, Dingfang; Chen, Weixia; Chen, Yongjun; Cheng, Wenwu; Cheng, Shuqun; Dai, Chaoliu; Guo, Wengzhi; Guo, Yabing; Hua, Baojin; Huang, Xiaowu; Jia, Weidong; Li, Qiu; Li, Tao; Li, Xun; Li, Yaming; Li, Yexiong; Liang, Jun; Ling, Changquan; Liu, Tianshu; Liu, Xiufeng; Lu, Shichun; Lv, Guoyue; Mao, Yilei; Meng, Zhiqiang; Peng, Tao; Ren, Weixin; Shi, Hongcheng; Shi, Guoming; Shi, Ming; Song, Tianqiang; Tao, Kaishan; Wang, Jianhua; Wang, Kui; Wang, Lu; Wang, Wentao; Wang, Xiaoying; Wang, Zhiming; Xiang, Bangde; Xing, Baocai; Xu, Jianming; Yang, Jiamei; Yang, Jianyong; Yang, Yefa; Yang, Yunke; Ye, Shenglong; Yin, Zhenyu; Zeng, Yong; Zhang, Bixiang; Zhang, Boheng; Zhang, Leida; Zhang, Shuijun; Zhang, Ti; Zhang, Yanqiao; Zhao, Ming; Zhao, Yongfu; Zheng, Honggang; Zhou, Ledu; Zhu, Jiye; Zhu, Kangshun; Liu, Rong; Shi, Yinghong; Xiao, Yongsheng; Zhang, Lan; Yang, Chun; Wu, Zhifeng; Dai, Zhi; Chen, Minshan; Cai, Jianqiang; Wang, Weilin; Cai, Xiujun; Li, Qiang; Shen, Feng; Qin, Shukui; Teng, Gaojun; Dong, Jiahong; Fan, Jia&lt;/Author&gt;&lt;Year&gt;2023&lt;/Year&gt;&lt;Details&gt;&lt;_accession_num&gt;37901768&lt;/_accession_num&gt;&lt;_author_adr&gt;Liver Cancer Institute, Zhongshan Hospital, Fudan University, Shanghai, China.; Liver Cancer Institute, Zhongshan Hospital, Fudan University, Shanghai, China.; Liver Cancer Institute, Zhongshan Hospital, Fudan University, Shanghai, China.; Department of Pathology, The Eastern Hepatobiliary Surgery Hospital, Second  Military Medical University, Shanghai, China.; Department of Radiology, Zhongshan Hospital, Fudan University, Shanghai, China.; The Third Department of Hepatic Surgery, Eastern Hepatobiliary Surgery Hospital,  Second Military Medical University, Shanghai, China.; Institute of Hepatobiliary Surgery, Southwest Hospital, Third Military Medical  University, Chongqing, China.; Department of General Surgery, The First Affiliated Hospital of Harbin Medical  University, Harbin, China.; Department of Liver Surgery, West China Hospital of Sichuan University, Chengdu,  China.; Department of Hepatobiliary Surgery, Sun Yat-sen University Cancer Center,  Guangzhou, China.; Department of Liver Diseases and Digestive Interventional Radiology, Xijing  Hospital, Fourth Military Medical University, Xi&amp;apos;an, China.; Department of Interventional Radiology, Zhongshan Hospital, Fudan University,  Shanghai, China.; Department of Interventional Radiology, Chinese PLA General Hospital, Beijing,  China.; Department of Interventional Radiology, The Tumor Hospital of Harbin Medical  University, Harbin, China.; Department of Interventional Oncology, Guangdong General Hospital, Guangdong  Academy of Medical Sciences, Guangzhou, China.; Liver Cancer Institute, Zhongshan Hospital, Fudan University, Shanghai, China.; Department of Radiation Oncology, Zhongshan Hospital, Fudan University, Shanghai,  China.; Department of Interventional Ultrasound, Chinese PLA General Hospital, Beijing,  China.; Department of Radiology, Guangdong General Hospital, Guangdong Academy of Medical  Sciences, Guangzhou, China.; Editorial Department of Chinese Journal of Digestive Surgery, Chongqing, China.; Department of Radiology, Ruijin Hospital Affiliated to Shanghai Jiaotong  University School of Medicine, Shanghai, China.; Department of Ultrasound, Zhongshan Hospital, Fudan University, Shanghai, China.; Department of Infectious Diseases, State Key Laboratory of Organ Failure  Research, Nanfang Hospital, Southern Medical University, Guangzhou, China.; Department of Pathology, Zhongshan Hospital, Fudan University, Shanghai, China.; Department of Pathology, Tumor Prevention and Treatment Center, Sun Yat-sen  University, Guangzhou, China.; Department of Hepatobiliary and Pancreatic Surgery, First Affiliated Hospital,  School of Medicine, Zhejiang University, Hangzhou, China.; Department of Integrative Medicine, Zhongshan Hospital, Fudan University,  Shanghai, China.; Department of Radiology, West China Hospital of Sichuan University, Chengdu,  China.; Department of Hematology, Ruijin Hospital North, Shanghai Jiao Tong University  School of Medicine, Shanghai, China.; Department of Integrated Therapy, Fudan University Shanghai Cancer Center,  Shanghai, China.; The Third Department of Hepatic Surgery, Eastern Hepatobiliary Surgery Hospital,  Second Military Medical University, Shanghai, China.; Department of Hepatobiliary and Spleenary Surgery, The Affiliated Shengjing  Hospital, China Medical University, Shenyang, China.; Department of Hepatobiliary and Pancreatic Surgery, The First Affiliated Hospital  of Zhengzhou University, Zhengzhou, China.; Department of Infectious Diseases, Nanfang Hospital, Southern Medical University,  Guangzhou, China.; Graduate School, Beijing University of Chinese Medicine, Beijing, China.; Liver Cancer Institute, Zhongshan Hospital, Fudan University, Shanghai, China.; Department of Hepatic Surgery, Affiliated Provincial Hospital, Anhui Medical  University, Hefei, China.; Department of Oncology, West China Hospital, Sichuan University, Chengdu, China.; Department of General Surgery, Qilu Hospital, Shandong University, Jinan, China.; The First Hospital of Lanzhou University, Lanzhou, China.; Department of Nuclear Medicine, The First Hospital of China Medical University,  Shenyang, China.; Department of Radiation Oncology, National Cancer Center/Cancer Hospital, Chinese  Academy of Medical Sciences and Peking Union Medical College, Beijing, China.; Department of Oncology, Peking University International Hospital, Beijing, China.; Changhai Hospital of Traditional Chinese Medicine, Second Military Medical  University, Shanghai, China.; Department of Oncology, Zhongshan Hospital, Fudan University, Shanghai, China.; Department of Medical Oncology, PLA Cancer Center, Nanjing Bayi Hospital,  Nanjing, China.; Institute and Hospital of Hepatobiliary Surgery of Chinese PLA, Chinese PLA  Medical School, Chinese PLA General Hospital, Beijing, China.; Department of General Surgery, The First Hospital of Jilin University, Jilin,  China.; Department of Liver Surgery, Peking Union Medical College (PUMC) Hospital, PUMC  and Chinese Academy of Medical Sciences, Beijing, China.; Department of Oncology, Shanghai Medical College, Fudan University, Shanghai,  China.; Department of Hepatobiliary Surgery, The First Affiliated Hospital of Guangxi  Medical University, Nanning, China.; Department of Interventional Radiology the First Affiliated Hospital of Xinjiang  Medical University, Urumqi, China.; Department of Nuclear Medicine, Zhongshan Hospital, Fudan University, Shanghai,  China.; Liver Cancer Institute, Zhongshan Hospital, Fudan University, Shanghai, China.; Department of Hepatobiliary Surgery, Sun Yat-sen University Cancer Center,  Guangzhou, China.; Department of Hepatobiliary Surgery, Tianjin Medical University Cancer Institute  and Hospital, Tianjin, China.; Department of Hepatobiliary Surgery, Xijing Hospital, Fourth Military Medical  University, Xi&amp;apos;an, China.; Department of Interventional Radiology, Zhongshan Hospital, Fudan University,  Shanghai, China.; The Third Department of Hepatic Surgery, Eastern Hepatobiliary Surgery Hospital,  Second Military Medical University, Shanghai, China.; Department of Hepatic Surgery, Fudan University Shanghai Cancer Center, Fudan  University, Shanghai, China.; Department of Liver Surgery, West China Hospital of Sichuan University, Chengdu,  China.; Liver Cancer Institute, Zhongshan Hospital, Fudan University, Shanghai, China.; Department of Infectious Diseases, Xiangya Hospital, Central South University,  Changsha, China.; Department of Hepatobiliary Surgery, Affiliated Tumor Hospital of Guangxi Medical  University, Nanning, China.; Department of Hepato-Pancreato-Biliary Surgery, Peking University Cancer Hospital  and Institute, Beijing, China.; Department of Gastrointestinal Oncology, Affiliated Hospital Cancer Center,  Academy of Military Medical Sciences, Beijing, China.; The Third Department of Hepatic Surgery, Eastern Hepatobiliary Surgery Hospital,  Second Military Medical University, Shanghai, China.; Department of Interventional Oncology, The First Affiliated Hospital, Sun Yat-sen  University, Guangzhou, China.; Department of Hepatic Surgery and Interventional Radiology, Eastern Hepatobiliary  Surgery Hospital, Second Military Medical University, Shanghai, China.; Department of Integrative Medicine, Zhongshan Hospital, Fudan University,  Shanghai, China.; Liver Cancer Institute, Zhongshan Hospital, Fudan University, Shanghai, China.; Department of Hepatobiliary Surgery, Zhongshan Hospital of Xiamen University,  Xiamen, China.; Department of Liver Surgery, West China Hospital of Sichuan University, Chengdu,  China.; Department of Surgery, Hepatic Surgery Center, Tongji Hospital, Tongji Medical  College, Huazhong University of Science and Technology, Wuhan, China.; Liver Cancer Institute, Zhongshan Hospital, Fudan University, Shanghai, China.; Department of Hepatobiliary Surgery Institute, Southwest Hospital, Third Military  Medical University, Chongqing, China.; Department of Hepatobiliary and Pancreatic Surgery, The First Affiliated Hospital  of Zhengzhou University, ZhengZhou, China.; Department of Hepatic Surgery, Fudan University Shanghai Cancer Center, Fudan  University, Shanghai, China.; Department of Gastrointestinal Medical Oncology, The Affiliated Tumor Hospital of  Harbin Medical University, Harbin, China.; Minimally Invasive Interventional Division, Liver Cancer Group, Sun Yat-Sen  University Cancer Center, Guangzhou, China.; Department of Hepatobiliary and Pancreatic Surgery, The First Affiliated Hospital  of Zhengzhou University, ZhengZhou, China.; Department of Oncology, Guang&amp;apos;anmen Hospital, China Academy of Chinese Medical  Sciences, Beijing, China.; Department of General Surgery, Xiangya Hospital, Central South University,  Changsha, China.; Department of Hepatobiliary Surgery, Peking University People&amp;apos;s Hospital,  Beijing, China.; Department of Minimally Invasive Interventional Radiology, The Second Affiliated  Hospital of Guangzhou Medical University, Guangzhou, China.; Department of Interventional Radiology, Zhongshan Hospital, Fudan University,  Shanghai, China.; Liver Cancer Institute, Zhongshan Hospital, Fudan University, Shanghai, China.; Liver Cancer Institute, Zhongshan Hospital, Fudan University, Shanghai, China.; Liver Cancer Institute, Zhongshan Hospital, Fudan University, Shanghai, China.; Department of Radiology, Zhongshan Hospital, Fudan University, Shanghai, China.; Department of Radiation Oncology, Zhongshan Hospital, Fudan University, Shanghai,  China.; Liver Cancer Institute, Zhongshan Hospital, Fudan University, Shanghai, China.; Department of Hepatobiliary Surgery, Sun Yat-sen University Cancer Center,  Guangzhou, China.; Department of Abdominal Surgical Oncology, Cancer Hospital, Chinese Academy of  Medical Sciences and Peking Union Medical College, Beijing, China.; Department of Hepatobiliary and Pancreatic Surgery, The Second Affiliated  Hospital, Zhejiang University School of Medicine, Hangzhou, China.; Department of Hepatobiliary and Pancreatic Surgery, First Affiliated Hospital,  School of Medicine, Zhejiang University, Hangzhou, China.; Department of Hepatobiliary Surgery, Tianjin Medical University Cancer Institute  and Hospital, Tianjin, China.; The Third Department of Hepatic Surgery, Eastern Hepatobiliary Surgery Hospital,  Second Military Medical University, Shanghai, China.; Department of Medical Oncology, PLA Cancer Center, Nanjing Bayi Hospital,  Nanjing, China.; Department of Radiology, Zhongda Hospital, Medical School, Southeast University,  Nanjing, China.; Department of Hepatobiliary and Pancreas Surgery, Beijing Tsinghua Changgung  Hospital (BTCH), School of Clinical Medicine, Tsinghua University, Beijing,  China.; Liver Cancer Institute, Zhongshan Hospital, Fudan University, Shanghai, China.&lt;/_author_adr&gt;&lt;_date_display&gt;2023 Oct&lt;/_date_display&gt;&lt;_date&gt;2023-10-01&lt;/_date&gt;&lt;_doi&gt;10.1159/000530495&lt;/_doi&gt;&lt;_isbn&gt;2235-1795 (Print); 1664-5553 (Electronic); 1664-5553 (Linking)&lt;/_isbn&gt;&lt;_issue&gt;5&lt;/_issue&gt;&lt;_journal&gt;Liver Cancer&lt;/_journal&gt;&lt;_keywords&gt;China; Diagnosis; Guidelines; Hepatocellular carcinoma; Primary liver cancer; Treatment&lt;/_keywords&gt;&lt;_language&gt;eng&lt;/_language&gt;&lt;_ori_publication&gt;© 2023 The Author(s). Published by S. Karger AG, Basel.&lt;/_ori_publication&gt;&lt;_pages&gt;405-444&lt;/_pages&gt;&lt;_tertiary_title&gt;Liver cancer&lt;/_tertiary_title&gt;&lt;_type_work&gt;Journal Article&lt;/_type_work&gt;&lt;_url&gt;http://www.ncbi.nlm.nih.gov/entrez/query.fcgi?cmd=Retrieve&amp;amp;db=pubmed&amp;amp;dopt=Abstract&amp;amp;list_uids=37901768&amp;amp;query_hl=1&lt;/_url&gt;&lt;_volume&gt;12&lt;/_volume&gt;&lt;_created&gt;65956837&lt;/_created&gt;&lt;_modified&gt;65956837&lt;/_modified&gt;&lt;_impact_factor&gt;  11.600&lt;/_impact_factor&gt;&lt;_social_category&gt;胃肠肝病学(1) &amp;amp; 肿瘤学(1)&lt;/_social_category&gt;&lt;_collection_scope&gt;SCIE&lt;/_collection_scope&gt;&lt;/Details&gt;&lt;Extra&gt;&lt;DBUID&gt;{58B27DCE-DEB8-4BEF-8139-AC677AF90E97}&lt;/DBUID&gt;&lt;/Extra&gt;&lt;/Item&gt;&lt;/References&gt;&lt;/Group&gt;&lt;Group&gt;&lt;References&gt;&lt;Item&gt;&lt;ID&gt;4045&lt;/ID&gt;&lt;UID&gt;{55455F78-D8A6-4939-92AB-60690754562C}&lt;/UID&gt;&lt;Title&gt;Biomarkers for diagnosis and therapeutic options in hepatocellular carcinoma&lt;/Title&gt;&lt;Template&gt;Journal Article&lt;/Template&gt;&lt;Star&gt;0&lt;/Star&gt;&lt;Tag&gt;0&lt;/Tag&gt;&lt;Author&gt;Chan, Yau-Tuen; Zhang, Cheng; Wu, Junyu; Lu, Pengde; Xu, Lin; Yuan, Hongchao; Feng, Yibin; Chen, Zhe-Sheng; Wang, Ning&lt;/Author&gt;&lt;Year&gt;2024&lt;/Year&gt;&lt;Details&gt;&lt;_accession_num&gt;39242496&lt;/_accession_num&gt;&lt;_author_adr&gt;School of Chinese Medicine, The University of Hong Kong, Pok Fu Lam, Hong Kong.; School of Chinese Medicine, The University of Hong Kong, Pok Fu Lam, Hong Kong.; School of Chinese Medicine, The University of Hong Kong, Pok Fu Lam, Hong Kong.; School of Chinese Medicine, The University of Hong Kong, Pok Fu Lam, Hong Kong.; School of Chinese Medicine, The University of Hong Kong, Pok Fu Lam, Hong Kong.; School of Chinese Medicine, The University of Hong Kong, Pok Fu Lam, Hong Kong.; School of Chinese Medicine, The University of Hong Kong, Pok Fu Lam, Hong Kong.; School of Chinese Medicine, The University of Hong Kong, Pok Fu Lam, Hong Kong.  chenz@stjohns.edu.; Department of Pharmaceutical Sciences, College of Pharmacy and Health Sciences,  St. John&amp;apos;s University, 8000 Utopia Parkway, Queens, NY, 11439, USA.  chenz@stjohns.edu.; School of Chinese Medicine, The University of Hong Kong, Pok Fu Lam, Hong Kong.  ckwang@hku.hk.&lt;/_author_adr&gt;&lt;_date_display&gt;2024 Sep 6&lt;/_date_display&gt;&lt;_date&gt;2024-09-06&lt;/_date&gt;&lt;_doi&gt;10.1186/s12943-024-02101-z&lt;/_doi&gt;&lt;_isbn&gt;1476-4598 (Electronic); 1476-4598 (Linking)&lt;/_isbn&gt;&lt;_issue&gt;1&lt;/_issue&gt;&lt;_journal&gt;Mol Cancer&lt;/_journal&gt;&lt;_keywords&gt;Artificial intelligence; Biomarkers; Cancer diagnosis; Cancer surveillance; Cancer treatment; Cell-free DNA; Circulating tumor DNA; Circulating tumor cells; Clinical trials; HAIC; Hepatocellular carcinoma; Immunotherapies; Liquid biopsy; Liver transplantation; Local ablation; Metabolomics; Methylation; Non-coding RNAs; Serological biomarkers; Surgical resection; TACE; Targeted therapies; Therapeutic option; Tissue biopsy; Tumor-derived vesicles&lt;/_keywords&gt;&lt;_language&gt;eng&lt;/_language&gt;&lt;_ori_publication&gt;© 2024. The Author(s).&lt;/_ori_publication&gt;&lt;_pages&gt;189&lt;/_pages&gt;&lt;_subject_headings&gt;Humans; *Carcinoma, Hepatocellular/diagnosis/therapy/genetics/metabolism/pathology; *Liver Neoplasms/diagnosis/therapy/genetics/metabolism/pathology; *Biomarkers, Tumor; Liquid Biopsy/methods; Disease Management; Prognosis; Epigenesis, Genetic; Animals; Tumor Microenvironment&lt;/_subject_headings&gt;&lt;_tertiary_title&gt;Molecular cancer&lt;/_tertiary_title&gt;&lt;_type_work&gt;Journal Article; Review&lt;/_type_work&gt;&lt;_url&gt;http://www.ncbi.nlm.nih.gov/entrez/query.fcgi?cmd=Retrieve&amp;amp;db=pubmed&amp;amp;dopt=Abstract&amp;amp;list_uids=39242496&amp;amp;query_hl=1&lt;/_url&gt;&lt;_volume&gt;23&lt;/_volume&gt;&lt;_created&gt;65956839&lt;/_created&gt;&lt;_modified&gt;65956839&lt;/_modified&gt;&lt;_impact_factor&gt;  27.700&lt;/_impact_factor&gt;&lt;_social_category&gt;生化与分子生物学(1) &amp;amp; 肿瘤学(1)&lt;/_social_category&gt;&lt;_collection_scope&gt;SCIE&lt;/_collection_scope&gt;&lt;/Details&gt;&lt;Extra&gt;&lt;DBUID&gt;{58B27DCE-DEB8-4BEF-8139-AC677AF90E97}&lt;/DBUID&gt;&lt;/Extra&gt;&lt;/Item&gt;&lt;/References&gt;&lt;/Group&gt;&lt;/Citation&gt;_x000a_"/>
    <w:docVar w:name="NE.Ref{1106ADE2-81A1-40D5-9BFA-472FC7C895F8}" w:val=" ADDIN NE.Ref.{1106ADE2-81A1-40D5-9BFA-472FC7C895F8}&lt;Citation&gt;&lt;Group&gt;&lt;References&gt;&lt;Item&gt;&lt;ID&gt;5314&lt;/ID&gt;&lt;UID&gt;{CDF5ED19-AFF7-4AE1-A6E5-E799F9F47A17}&lt;/UID&gt;&lt;Title&gt;Association Between Noninvasive Fibrosis Markers and Postoperative Mortality After Hepatectomy for Hepatocellular Carcinoma&lt;/Title&gt;&lt;Template&gt;Journal Article&lt;/Template&gt;&lt;Star&gt;0&lt;/Star&gt;&lt;Tag&gt;0&lt;/Tag&gt;&lt;Author&gt;Maegawa, Felipe B; Shehorn, Lauren; Aziz, Hassan; Kettelle, John; Jie, Tun; Riall, Taylor S&lt;/Author&gt;&lt;Year&gt;2019&lt;/Year&gt;&lt;Details&gt;&lt;_accessed&gt;66030700&lt;/_accessed&gt;&lt;_collection_scope&gt;SCIE&lt;/_collection_scope&gt;&lt;_created&gt;66030700&lt;/_created&gt;&lt;_date&gt;62612640&lt;/_date&gt;&lt;_db_updated&gt;CrossRef&lt;/_db_updated&gt;&lt;_doi&gt;10.1001/jamanetworkopen.2018.7142&lt;/_doi&gt;&lt;_impact_factor&gt;  10.500&lt;/_impact_factor&gt;&lt;_isbn&gt;2574-3805&lt;/_isbn&gt;&lt;_issue&gt;1&lt;/_issue&gt;&lt;_journal&gt;JAMA Network Open&lt;/_journal&gt;&lt;_modified&gt;66030700&lt;/_modified&gt;&lt;_pages&gt;e187142&lt;/_pages&gt;&lt;_social_category&gt;医学：内科(1)&lt;/_social_category&gt;&lt;_tertiary_title&gt;JAMA Netw Open&lt;/_tertiary_title&gt;&lt;_url&gt;http://jamanetworkopen.jamanetwork.com/article.aspx?doi=10.1001/jamanetworkopen.2018.7142_x000d__x000a_https://jamanetwork.com/journals/jamanetworkopen/fullarticle/2720918&lt;/_url&gt;&lt;_volume&gt;2&lt;/_volume&gt;&lt;/Details&gt;&lt;Extra&gt;&lt;DBUID&gt;{86835755-9694-411B-A931-C461F6E7F109}&lt;/DBUID&gt;&lt;/Extra&gt;&lt;/Item&gt;&lt;/References&gt;&lt;/Group&gt;&lt;/Citation&gt;_x000a_"/>
    <w:docVar w:name="NE.Ref{11F4ACAB-AA6A-4373-9DD8-C01023A38FC5}" w:val=" ADDIN NE.Ref.{11F4ACAB-AA6A-4373-9DD8-C01023A38FC5}&lt;Citation&gt;&lt;Group&gt;&lt;References&gt;&lt;Item&gt;&lt;ID&gt;5341&lt;/ID&gt;&lt;UID&gt;{DFB82060-AC68-4555-9F81-1A3CC3558F23}&lt;/UID&gt;&lt;Title&gt;Liver Fibrosis in Non-alcoholic Fatty Liver Disease: From Liver Biopsy to  Non-invasive Biomarkers in Diagnosis and Treatment&lt;/Title&gt;&lt;Template&gt;Journal Article&lt;/Template&gt;&lt;Star&gt;0&lt;/Star&gt;&lt;Tag&gt;0&lt;/Tag&gt;&lt;Author&gt;Heyens, Leen J M; Busschots, Dana; Koek, Ger H; Robaeys, Geert; Francque, Sven&lt;/Author&gt;&lt;Year&gt;2021&lt;/Year&gt;&lt;Details&gt;&lt;_author_adr&gt;Faculty of Health and Life Sciences, Hasselt University, Hasselt, Belgium.; School of Nutrition and Translational Research in Metabolism, NUTRIM, Maastricht  University, Maastricht, Netherlands.; Department of Gastro-Enterology and Hepatology, Ziekenhuis Oost-Limburg, Genk,  Belgium.; Faculty of Health and Life Sciences, Hasselt University, Hasselt, Belgium.; School of Nutrition and Translational Research in Metabolism, NUTRIM, Maastricht  University, Maastricht, Netherlands.; School of Nutrition and Translational Research in Metabolism, NUTRIM, Maastricht  University, Maastricht, Netherlands.; Division of Gastroenterology and Hepatology, Department of Internal Medicine,  Maastricht University Medical Centre, Maastricht, Netherlands.; Faculty of Health and Life Sciences, Hasselt University, Hasselt, Belgium.; Department of Gastro-Enterology and Hepatology, Ziekenhuis Oost-Limburg, Genk,  Belgium.; Department of Gastroenterology and Hepatology, University Hospital Katholieke  Universiteit (KU) Leuven, Leuven, Belgium.; Department of Gastroenterology and Hepatology, Antwerp University Hospital,  Antwerp, Belgium.; Laboratory of Experimental Medicine and Paediatrics, Faculty of Medicine and  Health Sciences, University of Antwerp, Antwerp, Belgium.&lt;/_author_adr&gt;&lt;_date_display&gt;2021&lt;/_date_display&gt;&lt;_date&gt;2021-01-01&lt;/_date&gt;&lt;_isbn&gt;2296-858X (Print); 2296-858X (Electronic); 2296-858X (Linking)&lt;/_isbn&gt;&lt;_journal&gt;Front Med (Lausanne)&lt;/_journal&gt;&lt;_keywords&gt;NAFLD; liver biopsy; liver fibrosis; liver stiffness; non-invasive assessment&lt;/_keywords&gt;&lt;_number&gt;4035&lt;/_number&gt;&lt;_pages&gt;615978&lt;/_pages&gt;&lt;_url&gt;http://www.ncbi.nlm.nih.gov/entrez/query.fcgi?cmd=Retrieve&amp;amp;db=pubmed&amp;amp;dopt=Abstract&amp;amp;list_uids=33937277&amp;amp;query_hl=1_x000d__x000a_DO - 10.3389/fmed.2021.615978&lt;/_url&gt;&lt;_volume&gt;8&lt;/_volume&gt;&lt;_created&gt;66046014&lt;/_created&gt;&lt;_modified&gt;66046014&lt;/_modified&gt;&lt;_impact_factor&gt;   3.100&lt;/_impact_factor&gt;&lt;_social_category&gt;医学：内科(3)&lt;/_social_category&gt;&lt;_collection_scope&gt;SCIE&lt;/_collection_scope&gt;&lt;/Details&gt;&lt;Extra&gt;&lt;DBUID&gt;{86835755-9694-411B-A931-C461F6E7F109}&lt;/DBUID&gt;&lt;/Extra&gt;&lt;/Item&gt;&lt;/References&gt;&lt;/Group&gt;&lt;/Citation&gt;_x000a_"/>
    <w:docVar w:name="NE.Ref{1491DE10-99AB-4BE7-ABEB-67EFA9DED98A}" w:val=" ADDIN NE.Ref.{1491DE10-99AB-4BE7-ABEB-67EFA9DED98A}&lt;Citation&gt;&lt;Group&gt;&lt;References&gt;&lt;Item&gt;&lt;ID&gt;4075&lt;/ID&gt;&lt;UID&gt;{9080BDAF-BE77-4F5E-9480-36FD1E24390D}&lt;/UID&gt;&lt;Title&gt;BCLC strategy for prognosis prediction and treatment recommendation: The 2022  update&lt;/Title&gt;&lt;Template&gt;Journal Article&lt;/Template&gt;&lt;Star&gt;0&lt;/Star&gt;&lt;Tag&gt;0&lt;/Tag&gt;&lt;Author&gt;Reig, Maria; Forner, Alejandro; Rimola, Jordi; Ferrer-Fàbrega, Joana; Burrel, Marta; Garcia-Criado, Ángeles; Kelley, Robin K; Galle, Peter R; Mazzaferro, Vincenzo; Salem, Riad; Sangro, Bruno; Singal, Amit G; Vogel, Arndt; Fuster, Josep; Ayuso, Carmen; Bruix, Jordi&lt;/Author&gt;&lt;Year&gt;2022&lt;/Year&gt;&lt;Details&gt;&lt;_accession_num&gt;34801630&lt;/_accession_num&gt;&lt;_author_adr&gt;BCLC Group, Liver Unit, ICMDM, IDIBAPS, Hospital Clinic of Barcelona, University  of Barcelona, Barcelona, Spain; Centro de Investigación Biomédica en Red de  Enfermedades Hepáticas y Digestivas (CIBEREHD), Spain. Electronic address:  mreig1@clinic.cat.; BCLC Group, Liver Unit, ICMDM, IDIBAPS, Hospital Clinic of Barcelona, University  of Barcelona, Barcelona, Spain; Centro de Investigación Biomédica en Red de  Enfermedades Hepáticas y Digestivas (CIBEREHD), Spain.; BCLC Group, Radiology Department, CDI, Hospital Clinic of Barcelona, University  of Barcelona, Barcelona, Spain.; BCLC Group, Surgery Department, ICMDM, IDIBAPS, Hospital Clinic of Barcelona,  University of Barcelona, Barcelona, Spain.; BCLC Group, Vascular Department, CDI, Hospital Clinic of Barcelona, Barcelona  University, University of Barcelona, Barcelona, Spain.; BCLC Group, Radiology Department, CDI, Hospital Clinic of Barcelona, University  of Barcelona, Barcelona, Spain.; Helen Diller Family Comprehensive Cancer Center, University of California, San  Francisco, California, USA.; Department of Internal Medicine, Mainz University Medical Center, Mainz, Germany.; Department of Oncology, University of Milan and HPB Surgery and Liver  Transplantation, Fondazione IRCCS Istituto Nazionale Tumori, Milan, Italy.; Department of Radiology, Section of Interventional Radiology, Northwestern  University, Chicago, IL, USA.; Centro de Investigación Biomédica en Red de Enfermedades Hepáticas y Digestivas  (CIBEREHD), Spain; Liver Unit, Clinica Universidad de Navarra, Pamplona, Spain.; Department of Internal Medicine, University of Texas Southwestern Medical Center,  Dallas, Texas, USA.; Hannover Medical School, Department of Gastroenterology, Hepatology and  Endocrinology, Hannover, Germany.; Centro de Investigación Biomédica en Red de Enfermedades Hepáticas y Digestivas  (CIBEREHD), Spain; BCLC Group, Surgery Department, ICMDM, IDIBAPS, Hospital  Clinic of Barcelona, University of Barcelona, Barcelona, Spain.; Centro de Investigación Biomédica en Red de Enfermedades Hepáticas y Digestivas  (CIBEREHD), Spain; BCLC Group, Radiology Department, CDI, Hospital Clinic of  Barcelona, University of Barcelona, Barcelona, Spain.; BCLC Group, Liver Unit, ICMDM, IDIBAPS, Hospital Clinic of Barcelona, University  of Barcelona, Barcelona, Spain; Centro de Investigación Biomédica en Red de  Enfermedades Hepáticas y Digestivas (CIBEREHD), Spain. Electronic address:  jbruix@clinic.cat.&lt;/_author_adr&gt;&lt;_date_display&gt;2022 Mar&lt;/_date_display&gt;&lt;_date&gt;2022-03-01&lt;/_date&gt;&lt;_doi&gt;10.1016/j.jhep.2021.11.018&lt;/_doi&gt;&lt;_isbn&gt;1600-0641 (Electronic); 0168-8278 (Print); 0168-8278 (Linking)&lt;/_isbn&gt;&lt;_issue&gt;3&lt;/_issue&gt;&lt;_journal&gt;J Hepatol&lt;/_journal&gt;&lt;_keywords&gt;AFP; ALBI score; BCLC; HCC; TARE; ablation; liver transplantation TACE; surgery; survival; systemic treatment&lt;/_keywords&gt;&lt;_language&gt;eng&lt;/_language&gt;&lt;_ori_publication&gt;Copyright © 2021 European Association for the Study of the Liver. Published by _x000d__x000a_      Elsevier B.V. All rights reserved.&lt;/_ori_publication&gt;&lt;_pages&gt;681-693&lt;/_pages&gt;&lt;_subject_headings&gt;Carcinoma, Hepatocellular/*classification/complications; Female; Humans; Liver Neoplasms/classification/complications; Male; Middle Aged; Neoplasm Staging/methods/statistics &amp;amp; numerical data; *Prognosis; Severity of Illness Index&lt;/_subject_headings&gt;&lt;_tertiary_title&gt;Journal of hepatology&lt;/_tertiary_title&gt;&lt;_type_work&gt;Journal Article; Research Support, N.I.H., Extramural; Research Support, Non-U.S. Gov&amp;apos;t; Review&lt;/_type_work&gt;&lt;_url&gt;http://www.ncbi.nlm.nih.gov/entrez/query.fcgi?cmd=Retrieve&amp;amp;db=pubmed&amp;amp;dopt=Abstract&amp;amp;list_uids=34801630&amp;amp;query_hl=1&lt;/_url&gt;&lt;_volume&gt;76&lt;/_volume&gt;&lt;_created&gt;65957029&lt;/_created&gt;&lt;_modified&gt;65957029&lt;/_modified&gt;&lt;_impact_factor&gt;  26.800&lt;/_impact_factor&gt;&lt;_social_category&gt;胃肠肝病学(1)&lt;/_social_category&gt;&lt;_collection_scope&gt;SCIE&lt;/_collection_scope&gt;&lt;/Details&gt;&lt;Extra&gt;&lt;DBUID&gt;{58B27DCE-DEB8-4BEF-8139-AC677AF90E97}&lt;/DBUID&gt;&lt;/Extra&gt;&lt;/Item&gt;&lt;/References&gt;&lt;/Group&gt;&lt;/Citation&gt;_x000a_"/>
    <w:docVar w:name="NE.Ref{191B19DF-2DC2-465A-91E4-D1E2BC645C3E}" w:val=" ADDIN NE.Ref.{191B19DF-2DC2-465A-91E4-D1E2BC645C3E}&lt;Citation&gt;&lt;Group&gt;&lt;References&gt;&lt;Item&gt;&lt;ID&gt;4052&lt;/ID&gt;&lt;UID&gt;{E97D1C32-A66B-44AD-B673-F3FA33692624}&lt;/UID&gt;&lt;Title&gt;Association Between Noninvasive Fibrosis Markers and Postoperative Mortality After Hepatectomy for Hepatocellular Carcinoma&lt;/Title&gt;&lt;Template&gt;Journal Article&lt;/Template&gt;&lt;Star&gt;0&lt;/Star&gt;&lt;Tag&gt;0&lt;/Tag&gt;&lt;Author&gt;Maegawa, Felipe B; Shehorn, Lauren; Aziz, Hassan; Kettelle, John; Jie, Tun; Riall, Taylor S&lt;/Author&gt;&lt;Year&gt;2019&lt;/Year&gt;&lt;Details&gt;&lt;_doi&gt;10.1001/jamanetworkopen.2018.7142&lt;/_doi&gt;&lt;_created&gt;65956842&lt;/_created&gt;&lt;_modified&gt;65956842&lt;/_modified&gt;&lt;_url&gt;http://jamanetworkopen.jamanetwork.com/article.aspx?doi=10.1001/jamanetworkopen.2018.7142_x000d__x000a_https://jamanetwork.com/journals/jamanetworkopen/fullarticle/2720918&lt;/_url&gt;&lt;_journal&gt;JAMA Network Open&lt;/_journal&gt;&lt;_volume&gt;2&lt;/_volume&gt;&lt;_issue&gt;1&lt;/_issue&gt;&lt;_pages&gt;e187142&lt;/_pages&gt;&lt;_tertiary_title&gt;JAMA Netw Open&lt;/_tertiary_title&gt;&lt;_date&gt;62612640&lt;/_date&gt;&lt;_isbn&gt;2574-3805&lt;/_isbn&gt;&lt;_accessed&gt;65956842&lt;/_accessed&gt;&lt;_db_updated&gt;CrossRef&lt;/_db_updated&gt;&lt;_impact_factor&gt;  10.500&lt;/_impact_factor&gt;&lt;_social_category&gt;医学：内科(1)&lt;/_social_category&gt;&lt;_collection_scope&gt;SCIE&lt;/_collection_scope&gt;&lt;/Details&gt;&lt;Extra&gt;&lt;DBUID&gt;{58B27DCE-DEB8-4BEF-8139-AC677AF90E97}&lt;/DBUID&gt;&lt;/Extra&gt;&lt;/Item&gt;&lt;/References&gt;&lt;/Group&gt;&lt;Group&gt;&lt;References&gt;&lt;Item&gt;&lt;ID&gt;4037&lt;/ID&gt;&lt;UID&gt;{E39DF4F0-22E4-4AB4-B32E-7963BCC2645C}&lt;/UID&gt;&lt;Title&gt;The FIB-4 Index Predicts the Development of Liver-Related Events, Extrahepatic  Cancers, and Coronary Vascular Disease in Patients with NAFLD&lt;/Title&gt;&lt;Template&gt;Journal Article&lt;/Template&gt;&lt;Star&gt;0&lt;/Star&gt;&lt;Tag&gt;0&lt;/Tag&gt;&lt;Author&gt;Kamada, Yoshihiro; Munekage, Kensuke; Nakahara, Takashi; Fujii, Hideki; Sawai, Yoshiyuki; Doi, Yoshinori; Hyogo, Hideyuki; Sumida, Yoshio; Imai, Yasuharu; Miyoshi, Eiji; Ono, Masafumi&lt;/Author&gt;&lt;Year&gt;2022&lt;/Year&gt;&lt;Details&gt;&lt;_accession_num&gt;36615725&lt;/_accession_num&gt;&lt;_author_adr&gt;Department of Advanced Metabolic Hepatology, Osaka University Graduate School of  Medicine, Suita 565-0871, Japan.; Department of Gastroenterology and Hepatology, Kochi Medical School, Nankoku  783-8505, Japan.; Department of Gastroenterology and Metabolism, Hiroshima University, Hiroshima  734-8553, Japan.; Department of Hepatology, Osaka Metropolitan University Graduate School of  Medicine, Osaka 545-8585, Japan.; Department of Gastroenterology, Ikeda Municipal Hospital, Ikeda 563-8510, Japan.; Department of Gastroenterology, Otemae Hospital, Osaka 540-0008, Japan.; Hyogo Life Care Clinic Hiroshima, 6-34-1, Enkobashi-cho, Minami-ku, Hiroshima  732-0823, Japan.; Department of Gastroenterology and Hepatology, JA Hiroshima General Hospital,  Hiroshima 738-8503, Japan.; Division of Hepatology and Pancreatology, Department of Internal Medicine, Aichi  Medical University, Yazako Karimata, Nagakute 411-1195, Japan.; Department of Gastroenterology, Ikeda Municipal Hospital, Ikeda 563-8510, Japan.; Department of Molecular Biochemistry &amp;amp; Clinical Investigation, Osaka University  Graduate School of Medicine, Suita 565-0871, Japan.; Division of Innovative Medicine for Hepatobiliary &amp;amp; Pancreatology, Faculty of  Medicine, Kagawa University, Takamatsu 761-0793, Japan.&lt;/_author_adr&gt;&lt;_date_display&gt;2022 Dec 23&lt;/_date_display&gt;&lt;_date&gt;2022-12-23&lt;/_date&gt;&lt;_doi&gt;10.3390/nu15010066&lt;/_doi&gt;&lt;_isbn&gt;2072-6643 (Electronic); 2072-6643 (Linking)&lt;/_isbn&gt;&lt;_issue&gt;1&lt;/_issue&gt;&lt;_journal&gt;Nutrients&lt;/_journal&gt;&lt;_keywords&gt;biomarker; biopsy-confirmed NAFLD; major adverse cardiovascular events (MACEs); noninvasive test (NIT)&lt;/_keywords&gt;&lt;_language&gt;eng&lt;/_language&gt;&lt;_subject_headings&gt;Humans; *Non-alcoholic Fatty Liver Disease/diagnosis/epidemiology/complications; *Carcinoma, Hepatocellular/diagnosis/epidemiology/complications; *Liver Neoplasms/diagnosis/epidemiology; ROC Curve; Liver Cirrhosis/diagnosis/epidemiology/etiology; *Coronary Artery Disease/complications&lt;/_subject_headings&gt;&lt;_tertiary_title&gt;Nutrients&lt;/_tertiary_title&gt;&lt;_type_work&gt;Journal Article&lt;/_type_work&gt;&lt;_url&gt;http://www.ncbi.nlm.nih.gov/entrez/query.fcgi?cmd=Retrieve&amp;amp;db=pubmed&amp;amp;dopt=Abstract&amp;amp;list_uids=36615725&amp;amp;query_hl=1&lt;/_url&gt;&lt;_volume&gt;15&lt;/_volume&gt;&lt;_created&gt;65956837&lt;/_created&gt;&lt;_modified&gt;65956837&lt;/_modified&gt;&lt;_impact_factor&gt;   4.800&lt;/_impact_factor&gt;&lt;_social_category&gt;营养学(2)&lt;/_social_category&gt;&lt;_collection_scope&gt;SCIE&lt;/_collection_scope&gt;&lt;/Details&gt;&lt;Extra&gt;&lt;DBUID&gt;{58B27DCE-DEB8-4BEF-8139-AC677AF90E97}&lt;/DBUID&gt;&lt;/Extra&gt;&lt;/Item&gt;&lt;/References&gt;&lt;/Group&gt;&lt;/Citation&gt;_x000a_"/>
    <w:docVar w:name="NE.Ref{1AFA9421-E9D0-49ED-A834-8B8A229927AC}" w:val=" ADDIN NE.Ref.{1AFA9421-E9D0-49ED-A834-8B8A229927AC}&lt;Citation&gt;&lt;Group&gt;&lt;References&gt;&lt;Item&gt;&lt;ID&gt;4060&lt;/ID&gt;&lt;UID&gt;{42DD05A3-20C3-418C-86D2-DBF44A426646}&lt;/UID&gt;&lt;Title&gt;Fibrosis-4 index, a predictor for prognosis of hepatocellular carcinoma patients after curative hepatectomy even in hepatitis B virus dominant populations&lt;/Title&gt;&lt;Template&gt;Journal Article&lt;/Template&gt;&lt;Star&gt;0&lt;/Star&gt;&lt;Tag&gt;0&lt;/Tag&gt;&lt;Author&gt;Yun, Sang Oh; Kim, Jong Man; Rhu, Jinsoo; Choi, Gyu-Seong; Joh, Jae-Won&lt;/Author&gt;&lt;Year&gt;2023&lt;/Year&gt;&lt;Details&gt;&lt;_doi&gt;10.4174/astr.2023.104.4.195&lt;/_doi&gt;&lt;_created&gt;65956842&lt;/_created&gt;&lt;_modified&gt;65956843&lt;/_modified&gt;&lt;_url&gt;https://astr.or.kr/DOIx.php?id=10.4174/astr.2023.104.4.195_x000d__x000a_https://astr.or.kr/DOIx.php?id=10.4174/astr.2023.104.4.195&lt;/_url&gt;&lt;_journal&gt;Annals of Surgical Treatment and Research&lt;/_journal&gt;&lt;_volume&gt;104&lt;/_volume&gt;&lt;_issue&gt;4&lt;/_issue&gt;&lt;_pages&gt;195&lt;/_pages&gt;&lt;_tertiary_title&gt;Ann Surg Treat Res&lt;/_tertiary_title&gt;&lt;_isbn&gt;2288-6575&lt;/_isbn&gt;&lt;_accessed&gt;65956843&lt;/_accessed&gt;&lt;_db_updated&gt;CrossRef&lt;/_db_updated&gt;&lt;_impact_factor&gt;   1.200&lt;/_impact_factor&gt;&lt;_social_category&gt;外科(4)&lt;/_social_category&gt;&lt;_collection_scope&gt;SCIE&lt;/_collection_scope&gt;&lt;/Details&gt;&lt;Extra&gt;&lt;DBUID&gt;{58B27DCE-DEB8-4BEF-8139-AC677AF90E97}&lt;/DBUID&gt;&lt;/Extra&gt;&lt;/Item&gt;&lt;/References&gt;&lt;/Group&gt;&lt;Group&gt;&lt;References&gt;&lt;Item&gt;&lt;ID&gt;4052&lt;/ID&gt;&lt;UID&gt;{E97D1C32-A66B-44AD-B673-F3FA33692624}&lt;/UID&gt;&lt;Title&gt;Association Between Noninvasive Fibrosis Markers and Postoperative Mortality After Hepatectomy for Hepatocellular Carcinoma&lt;/Title&gt;&lt;Template&gt;Journal Article&lt;/Template&gt;&lt;Star&gt;0&lt;/Star&gt;&lt;Tag&gt;0&lt;/Tag&gt;&lt;Author&gt;Maegawa, Felipe B; Shehorn, Lauren; Aziz, Hassan; Kettelle, John; Jie, Tun; Riall, Taylor S&lt;/Author&gt;&lt;Year&gt;2019&lt;/Year&gt;&lt;Details&gt;&lt;_doi&gt;10.1001/jamanetworkopen.2018.7142&lt;/_doi&gt;&lt;_created&gt;65956842&lt;/_created&gt;&lt;_modified&gt;65956842&lt;/_modified&gt;&lt;_url&gt;http://jamanetworkopen.jamanetwork.com/article.aspx?doi=10.1001/jamanetworkopen.2018.7142_x000d__x000a_https://jamanetwork.com/journals/jamanetworkopen/fullarticle/2720918&lt;/_url&gt;&lt;_journal&gt;JAMA Network Open&lt;/_journal&gt;&lt;_volume&gt;2&lt;/_volume&gt;&lt;_issue&gt;1&lt;/_issue&gt;&lt;_pages&gt;e187142&lt;/_pages&gt;&lt;_tertiary_title&gt;JAMA Netw Open&lt;/_tertiary_title&gt;&lt;_date&gt;62612640&lt;/_date&gt;&lt;_isbn&gt;2574-3805&lt;/_isbn&gt;&lt;_accessed&gt;65956842&lt;/_accessed&gt;&lt;_db_updated&gt;CrossRef&lt;/_db_updated&gt;&lt;_impact_factor&gt;  10.500&lt;/_impact_factor&gt;&lt;_social_category&gt;医学：内科(1)&lt;/_social_category&gt;&lt;_collection_scope&gt;SCIE&lt;/_collection_scope&gt;&lt;/Details&gt;&lt;Extra&gt;&lt;DBUID&gt;{58B27DCE-DEB8-4BEF-8139-AC677AF90E97}&lt;/DBUID&gt;&lt;/Extra&gt;&lt;/Item&gt;&lt;/References&gt;&lt;/Group&gt;&lt;Group&gt;&lt;References&gt;&lt;Item&gt;&lt;ID&gt;4040&lt;/ID&gt;&lt;UID&gt;{E9B7E026-36B5-46E2-889C-6BD12563FB59}&lt;/UID&gt;&lt;Title&gt;Combined use of the CLivD score and FIB-4 for prediction of liver-related  outcomes in the population&lt;/Title&gt;&lt;Template&gt;Journal Article&lt;/Template&gt;&lt;Star&gt;0&lt;/Star&gt;&lt;Tag&gt;0&lt;/Tag&gt;&lt;Author&gt;Åberg, Fredrik; Asteljoki, Juho; Männistö, Ville; Luukkonen, Panu K&lt;/Author&gt;&lt;Year&gt;2024&lt;/Year&gt;&lt;Details&gt;&lt;_accession_num&gt;38112489&lt;/_accession_num&gt;&lt;_author_adr&gt;Transplantation and Liver Surgery, Helsinki University Hospital and University of  Helsinki, Helsinki, Finland.; Minerva Foundation Institute for Medical Research, Helsinki, Finland.; Department of Internal Medicine, University of Helsinki, Helsinki, Finland.; Abdominal Center, Helsinki University Hospital, Helsinki, Finland.; Department of Medicine, University of Eastern Finland, Kuopio, Finland.; Department of Medicine, Kuopio University Hospital, Kuopio, Finland.; Minerva Foundation Institute for Medical Research, Helsinki, Finland.; Department of Internal Medicine, University of Helsinki, Helsinki, Finland.; Abdominal Center, Helsinki University Hospital, Helsinki, Finland.&lt;/_author_adr&gt;&lt;_date_display&gt;2024 Jul 1&lt;/_date_display&gt;&lt;_date&gt;2024-07-01&lt;/_date&gt;&lt;_doi&gt;10.1097/HEP.0000000000000707&lt;/_doi&gt;&lt;_isbn&gt;1527-3350 (Electronic); 0270-9139 (Print); 0270-9139 (Linking)&lt;/_isbn&gt;&lt;_issue&gt;1&lt;/_issue&gt;&lt;_journal&gt;Hepatology&lt;/_journal&gt;&lt;_language&gt;eng&lt;/_language&gt;&lt;_ori_publication&gt;Copyright © 2023 The Author(s). Published by Wolters Kluwer Health, Inc.&lt;/_ori_publication&gt;&lt;_pages&gt;163-172&lt;/_pages&gt;&lt;_subject_headings&gt;Humans; Female; Male; Middle Aged; Aged; Adult; Risk Assessment/methods; *Liver Cirrhosis/diagnosis/epidemiology; United Kingdom/epidemiology; Liver Neoplasms/epidemiology/diagnosis; Severity of Illness Index; Predictive Value of Tests; Cohort Studies; Carcinoma, Hepatocellular/epidemiology/diagnosis&lt;/_subject_headings&gt;&lt;_tertiary_title&gt;Hepatology (Baltimore, Md.)&lt;/_tertiary_title&gt;&lt;_type_work&gt;Journal Article; Research Support, Non-U.S. Gov&amp;apos;t&lt;/_type_work&gt;&lt;_url&gt;http://www.ncbi.nlm.nih.gov/entrez/query.fcgi?cmd=Retrieve&amp;amp;db=pubmed&amp;amp;dopt=Abstract&amp;amp;list_uids=38112489&amp;amp;query_hl=1&lt;/_url&gt;&lt;_volume&gt;80&lt;/_volume&gt;&lt;_created&gt;65956837&lt;/_created&gt;&lt;_modified&gt;65956837&lt;/_modified&gt;&lt;_impact_factor&gt;  13.000&lt;/_impact_factor&gt;&lt;_social_category&gt;胃肠肝病学(1)&lt;/_social_category&gt;&lt;_collection_scope&gt;SCIE&lt;/_collection_scope&gt;&lt;/Details&gt;&lt;Extra&gt;&lt;DBUID&gt;{58B27DCE-DEB8-4BEF-8139-AC677AF90E97}&lt;/DBUID&gt;&lt;/Extra&gt;&lt;/Item&gt;&lt;/References&gt;&lt;/Group&gt;&lt;/Citation&gt;_x000a_"/>
    <w:docVar w:name="NE.Ref{1F518C63-C748-4EE0-8244-2E5B44C5D782}" w:val=" ADDIN NE.Ref.{1F518C63-C748-4EE0-8244-2E5B44C5D782}&lt;Citation&gt;&lt;Group&gt;&lt;References&gt;&lt;Item&gt;&lt;ID&gt;4056&lt;/ID&gt;&lt;UID&gt;{09C04AC8-A09A-45E0-A2B3-A2C9D4CCEE70}&lt;/UID&gt;&lt;Title&gt;Circulating tumor cells as a prognostic biomarker in patients with hepatocellular carcinoma&lt;/Title&gt;&lt;Template&gt;Journal Article&lt;/Template&gt;&lt;Star&gt;0&lt;/Star&gt;&lt;Tag&gt;0&lt;/Tag&gt;&lt;Author&gt;Prasoppokakorn, Thaninee; Buntho, Areeya; Ingrungruanglert, Praewphan; Tiyarattanachai, Thodsawit; Jaihan, Tassanan; Kulkraisri, Kittipat; Ariyaskul, Darlene; Phathong, Chonlada; Israsena, Nipan; Rerknimitr, Rungsun; Treeprasertsuk, Sombat; Chaiteerakij, Roongruedee&lt;/Author&gt;&lt;Year&gt;2022&lt;/Year&gt;&lt;Details&gt;&lt;_accessed&gt;65956843&lt;/_accessed&gt;&lt;_collection_scope&gt;SCIE&lt;/_collection_scope&gt;&lt;_created&gt;65956842&lt;/_created&gt;&lt;_date&gt;64608480&lt;/_date&gt;&lt;_db_updated&gt;CrossRef&lt;/_db_updated&gt;&lt;_doi&gt;10.1038/s41598-022-21888-9&lt;/_doi&gt;&lt;_impact_factor&gt;   3.800&lt;/_impact_factor&gt;&lt;_isbn&gt;2045-2322&lt;/_isbn&gt;&lt;_issue&gt;1&lt;/_issue&gt;&lt;_journal&gt;Scientific Reports&lt;/_journal&gt;&lt;_modified&gt;65956843&lt;/_modified&gt;&lt;_pages&gt;18686&lt;/_pages&gt;&lt;_social_category&gt;综合性期刊(2)&lt;/_social_category&gt;&lt;_tertiary_title&gt;Sci Rep&lt;/_tertiary_title&gt;&lt;_url&gt;https://www.nature.com/articles/s41598-022-21888-9_x000d__x000a_https://www.nature.com/articles/s41598-022-21888-9.pdf&lt;/_url&gt;&lt;_volume&gt;12&lt;/_volume&gt;&lt;/Details&gt;&lt;Extra&gt;&lt;DBUID&gt;{F66D8B52-6641-45B4-915C-E1383885F5CE}&lt;/DBUID&gt;&lt;/Extra&gt;&lt;/Item&gt;&lt;/References&gt;&lt;/Group&gt;&lt;Group&gt;&lt;References&gt;&lt;Item&gt;&lt;ID&gt;4064&lt;/ID&gt;&lt;UID&gt;{DCC672DC-202C-41C9-8BC0-1DEF9286268E}&lt;/UID&gt;&lt;Title&gt;Predictive factors and prognostic models for Hepatic arterial infusion chemotherapy in Hepatocellular carcinoma: a comprehensive review&lt;/Title&gt;&lt;Template&gt;Journal Article&lt;/Template&gt;&lt;Star&gt;0&lt;/Star&gt;&lt;Tag&gt;0&lt;/Tag&gt;&lt;Author&gt;Lv, Xing; Zhang, Peng-Bo; Zhang, Er-lei; Yang, S&lt;/Author&gt;&lt;Year&gt;2025&lt;/Year&gt;&lt;Details&gt;&lt;_doi&gt;10.1186/s12957-025-03765-7&lt;/_doi&gt;&lt;_created&gt;65956842&lt;/_created&gt;&lt;_modified&gt;65956843&lt;/_modified&gt;&lt;_url&gt;https://wjso.biomedcentral.com/articles/10.1186/s12957-025-03765-7_x000d__x000a_https://link.springer.com/content/pdf/10.1186/s12957-025-03765-7.pdf&lt;/_url&gt;&lt;_journal&gt;World Journal of Surgical Oncology&lt;/_journal&gt;&lt;_volume&gt;23&lt;/_volume&gt;&lt;_issue&gt;1&lt;/_issue&gt;&lt;_pages&gt;166&lt;/_pages&gt;&lt;_tertiary_title&gt;World J Surg Onc&lt;/_tertiary_title&gt;&lt;_date&gt;65910240&lt;/_date&gt;&lt;_isbn&gt;1477-7819&lt;/_isbn&gt;&lt;_accessed&gt;65956843&lt;/_accessed&gt;&lt;_db_updated&gt;CrossRef&lt;/_db_updated&gt;&lt;_impact_factor&gt;   2.500&lt;/_impact_factor&gt;&lt;_social_category&gt;肿瘤学(3) &amp;amp; 外科(3)&lt;/_social_category&gt;&lt;_collection_scope&gt;SCIE&lt;/_collection_scope&gt;&lt;/Details&gt;&lt;Extra&gt;&lt;DBUID&gt;{58B27DCE-DEB8-4BEF-8139-AC677AF90E97}&lt;/DBUID&gt;&lt;/Extra&gt;&lt;/Item&gt;&lt;/References&gt;&lt;/Group&gt;&lt;/Citation&gt;_x000a_"/>
    <w:docVar w:name="NE.Ref{1FA6E5AF-575B-4458-941B-476EF620F149}" w:val=" ADDIN NE.Ref.{1FA6E5AF-575B-4458-941B-476EF620F149}&lt;Citation&gt;&lt;Group&gt;&lt;References&gt;&lt;Item&gt;&lt;ID&gt;5806&lt;/ID&gt;&lt;UID&gt;{2E124698-05A5-4491-AFC0-FC877F0BFCE1}&lt;/UID&gt;&lt;Title&gt;Development of a simple noninvasive index to predict significant fibrosis in  patients with HIV/HCV coinfection&lt;/Title&gt;&lt;Template&gt;Journal Article&lt;/Template&gt;&lt;Star&gt;0&lt;/Star&gt;&lt;Tag&gt;0&lt;/Tag&gt;&lt;Author&gt;Sterling, Richard K; Lissen, Eduardo; Clumeck, Nathan; Sola, Ricard; Correa, Mendes Cassia; Montaner, Julio; S Sulkowski, Mark; Torriani, Francesca J; Dieterich, Doug T; Thomas, David L; Messinger, Diethelm; Nelson, Mark&lt;/Author&gt;&lt;Year&gt;2006&lt;/Year&gt;&lt;Details&gt;&lt;_accession_num&gt;16729309&lt;/_accession_num&gt;&lt;_author_adr&gt;Section of Hepatology, Virginia Commonwealth University Health System, Richmond,  VA 23298-0341, USA. rksterli@hsc.vcu.edu&lt;/_author_adr&gt;&lt;_date_display&gt;2006 Jun&lt;/_date_display&gt;&lt;_date&gt;2006-06-01&lt;/_date&gt;&lt;_doi&gt;10.1002/hep.21178&lt;/_doi&gt;&lt;_isbn&gt;0270-9139 (Print); 0270-9139 (Linking)&lt;/_isbn&gt;&lt;_issue&gt;6&lt;/_issue&gt;&lt;_journal&gt;Hepatology&lt;/_journal&gt;&lt;_language&gt;eng&lt;/_language&gt;&lt;_pages&gt;1317-25&lt;/_pages&gt;&lt;_subject_headings&gt;Age Factors; Biopsy, Needle; Blood Chemical Analysis; Cohort Studies; Diagnostic Tests, Routine/*methods; Disease Progression; Female; HIV Infections/*diagnosis/epidemiology; Hepatitis C, Chronic/*diagnosis/epidemiology; Humans; Immunohistochemistry; Liver Cirrhosis/*diagnosis/epidemiology/virology; Liver Function Tests; Logistic Models; Male; Predictive Value of Tests; Probability; Prognosis; ROC Curve; Reproducibility of Results; Retrospective Studies; Risk Assessment; Sensitivity and Specificity; Severity of Illness Index; Sex Factors&lt;/_subject_headings&gt;&lt;_tertiary_title&gt;Hepatology (Baltimore, Md.)&lt;/_tertiary_title&gt;&lt;_type_work&gt;Comparative Study; Journal Article; Research Support, N.I.H., Extramural&lt;/_type_work&gt;&lt;_url&gt;http://www.ncbi.nlm.nih.gov/entrez/query.fcgi?cmd=Retrieve&amp;amp;db=pubmed&amp;amp;dopt=Abstract&amp;amp;list_uids=16729309&amp;amp;query_hl=1&lt;/_url&gt;&lt;_volume&gt;43&lt;/_volume&gt;&lt;_created&gt;66468263&lt;/_created&gt;&lt;_modified&gt;66468263&lt;/_modified&gt;&lt;_impact_factor&gt;  15.800&lt;/_impact_factor&gt;&lt;_social_category&gt;胃肠肝病学(1)&lt;/_social_category&gt;&lt;_collection_scope&gt;SCIE&lt;/_collection_scope&gt;&lt;/Details&gt;&lt;Extra&gt;&lt;DBUID&gt;{86835755-9694-411B-A931-C461F6E7F109}&lt;/DBUID&gt;&lt;/Extra&gt;&lt;/Item&gt;&lt;/References&gt;&lt;/Group&gt;&lt;/Citation&gt;_x000a_"/>
    <w:docVar w:name="NE.Ref{20AA4666-2EDD-4755-A1A9-DA9C9ACC958B}" w:val=" ADDIN NE.Ref.{20AA4666-2EDD-4755-A1A9-DA9C9ACC958B}&lt;Citation&gt;&lt;Group&gt;&lt;References&gt;&lt;Item&gt;&lt;ID&gt;5802&lt;/ID&gt;&lt;UID&gt;{D2E03DA9-F41B-4E5B-9A11-45E3E0FE8031}&lt;/UID&gt;&lt;Title&gt;Predicting Survival After Hepatocellular Carcinoma Resection Using Deep Learning  on Histological Slides&lt;/Title&gt;&lt;Template&gt;Journal Article&lt;/Template&gt;&lt;Star&gt;0&lt;/Star&gt;&lt;Tag&gt;0&lt;/Tag&gt;&lt;Author&gt;Saillard, Charlie; Schmauch, Benoit; Laifa, Oumeima; Moarii, Matahi; Toldo, Sylvain; Zaslavskiy, Mikhail; Pronier, Elodie; Laurent, Alexis; Amaddeo, Giuliana; Regnault, Hélène; Sommacale, Daniele; Ziol, Marianne; Pawlotsky, Jean-Michel; Mulé, Sébastien; Luciani, Alain; Wainrib, Gilles; Clozel, Thomas; Courtiol, Pierre; Calderaro, Julien&lt;/Author&gt;&lt;Year&gt;2020&lt;/Year&gt;&lt;Details&gt;&lt;_accession_num&gt;32108950&lt;/_accession_num&gt;&lt;_author_adr&gt;Owkin Lab, Owkin, Paris, France.; Owkin Lab, Owkin, Paris, France.; Owkin Lab, Owkin, Paris, France.; Owkin Lab, Owkin, Paris, France.; Owkin Lab, Owkin, Paris, France.; Owkin Lab, Owkin, Paris, France.; Owkin Lab, Owkin, Paris, France.; Assistance Publique-Hôpitaux de Paris, Department of Hepatobiliary and Digestive  Surgery, Henri Mondor Hospital, Créteil, France.; Paris Est Créteil University, UPEC, Créteil, France.; Paris Est Créteil University, UPEC, Créteil, France.; INSERM U955, Team &amp;quot;Pathophysiology and Therapy of Chronic Viral Hepatitis and  Related Cancers&amp;quot;, Créteil, France.; Assistance Publique-Hôpitaux de Paris, Department of Hepatology, Henri Mondor  Hospital, Créteil, France.; Assistance Publique-Hôpitaux de Paris, Department of Hepatology, Henri Mondor  Hospital, Créteil, France.; Assistance Publique-Hôpitaux de Paris, Department of Hepatobiliary and Digestive  Surgery, Henri Mondor Hospital, Créteil, France.; Paris Est Créteil University, UPEC, Créteil, France.; INSERM U955, Team &amp;quot;Pathophysiology and Therapy of Chronic Viral Hepatitis and  Related Cancers&amp;quot;, Créteil, France.; Assistance Publique-Hôpitaux de Paris, Department of Pathology, Jean Verdier  Hospital, Bondy, France.; Functional Genomics of Solid Tumors, INSERM-1162, Paris 13 University, Paris,  France.; Paris Est Créteil University, UPEC, Créteil, France.; INSERM U955, Team &amp;quot;Pathophysiology and Therapy of Chronic Viral Hepatitis and  Related Cancers&amp;quot;, Créteil, France.; National Reference Center for Viral Hepatitis B, C and Delta, Department of  Virology, Henri Mondor Hospital, Créteil, France.; Paris Est Créteil University, UPEC, Créteil, France.; INSERM U955, Team &amp;quot;Pathophysiology and Therapy of Chronic Viral Hepatitis and  Related Cancers&amp;quot;, Créteil, France.; Assistance Publique-Hôpitaux de Paris, Department of Medical Imaging, Henri  Mondor Hospital, Créteil, France.; Paris Est Créteil University, UPEC, Créteil, France.; INSERM U955, Team &amp;quot;Pathophysiology and Therapy of Chronic Viral Hepatitis and  Related Cancers&amp;quot;, Créteil, France.; Assistance Publique-Hôpitaux de Paris, Department of Medical Imaging, Henri  Mondor Hospital, Créteil, France.; Owkin Lab, Owkin, Paris, France.; Owkin Lab, Owkin, Paris, France.; Owkin Lab, Owkin, Paris, France.; Paris Est Créteil University, UPEC, Créteil, France.; INSERM U955, Team &amp;quot;Pathophysiology and Therapy of Chronic Viral Hepatitis and  Related Cancers&amp;quot;, Créteil, France.; Assistance Publique-Hôpitaux de Paris, Department of Pathology, Henri Mondor  Hospital, Créteil, France.&lt;/_author_adr&gt;&lt;_date_display&gt;2020 Dec&lt;/_date_display&gt;&lt;_date&gt;2020-12-01&lt;/_date&gt;&lt;_doi&gt;10.1002/hep.31207&lt;/_doi&gt;&lt;_isbn&gt;1527-3350 (Electronic); 0270-9139 (Linking)&lt;/_isbn&gt;&lt;_issue&gt;6&lt;/_issue&gt;&lt;_journal&gt;Hepatology&lt;/_journal&gt;&lt;_language&gt;eng&lt;/_language&gt;&lt;_ori_publication&gt;© 2020 by the American Association for the Study of Liver Diseases.&lt;/_ori_publication&gt;&lt;_pages&gt;2000-2013&lt;/_pages&gt;&lt;_subject_headings&gt;Aged; Carcinoma, Hepatocellular/*mortality/pathology/surgery; *Deep Learning; Feasibility Studies; Female; Follow-Up Studies; Hepatectomy/*methods; Humans; Liver/pathology/surgery; Liver Neoplasms/*mortality/pathology/surgery; Male; Middle Aged; Prognosis; Risk Assessment/methods; Survival Analysis; Treatment Outcome&lt;/_subject_headings&gt;&lt;_tertiary_title&gt;Hepatology (Baltimore, Md.)&lt;/_tertiary_title&gt;&lt;_type_work&gt;Journal Article; Validation Study&lt;/_type_work&gt;&lt;_url&gt;http://www.ncbi.nlm.nih.gov/entrez/query.fcgi?cmd=Retrieve&amp;amp;db=pubmed&amp;amp;dopt=Abstract&amp;amp;list_uids=32108950&amp;amp;query_hl=1&lt;/_url&gt;&lt;_volume&gt;72&lt;/_volume&gt;&lt;_created&gt;66468234&lt;/_created&gt;&lt;_modified&gt;66468234&lt;/_modified&gt;&lt;_impact_factor&gt;  15.800&lt;/_impact_factor&gt;&lt;_social_category&gt;胃肠肝病学(1)&lt;/_social_category&gt;&lt;_collection_scope&gt;SCIE&lt;/_collection_scope&gt;&lt;/Details&gt;&lt;Extra&gt;&lt;DBUID&gt;{86835755-9694-411B-A931-C461F6E7F109}&lt;/DBUID&gt;&lt;/Extra&gt;&lt;/Item&gt;&lt;/References&gt;&lt;/Group&gt;&lt;/Citation&gt;_x000a_"/>
    <w:docVar w:name="NE.Ref{28ECABD8-13D3-4D25-922A-2CC0333EB60B}" w:val=" ADDIN NE.Ref.{28ECABD8-13D3-4D25-922A-2CC0333EB60B}&lt;Citation&gt;&lt;Group&gt;&lt;References&gt;&lt;Item&gt;&lt;ID&gt;5804&lt;/ID&gt;&lt;UID&gt;{12DFB97E-3572-4CB1-B05B-8C8099B40A6D}&lt;/UID&gt;&lt;Title&gt;miR-1236 down-regulates alpha-fetoprotein, thus causing PTEN accumulation, which  inhibits the PI3K/Akt pathway and malignant phenotype in hepatoma cells&lt;/Title&gt;&lt;Template&gt;Journal Article&lt;/Template&gt;&lt;Star&gt;0&lt;/Star&gt;&lt;Tag&gt;0&lt;/Tag&gt;&lt;Author&gt;Gao, Rui; Cai, Chunli; Gan, Jiancheng; Yang, Xi; Shuang, Zeyu; Liu, Min; Li, Shengping; Tang, Hua&lt;/Author&gt;&lt;Year&gt;2015&lt;/Year&gt;&lt;Details&gt;&lt;_accession_num&gt;25714026&lt;/_accession_num&gt;&lt;_author_adr&gt;Tianjin Life Science Research Center and Basic Medical School, Tianjin Medical  University, Tianjin, China.; Tianjin Life Science Research Center and Basic Medical School, Tianjin Medical  University, Tianjin, China.; Department of Surgery, Secondary Hospital of Tianjin Medical University, Tianjin,  China.; Tianjin Life Science Research Center and Basic Medical School, Tianjin Medical  University, Tianjin, China.; State Key Laboratory of Oncology in Southern China, Department of Hepatobiliary  Oncology, Cancer Center, Sun Yat-sen University, Guangzhou, China.; Tianjin Life Science Research Center and Basic Medical School, Tianjin Medical  University, Tianjin, China.; State Key Laboratory of Oncology in Southern China, Department of Hepatobiliary  Oncology, Cancer Center, Sun Yat-sen University, Guangzhou, China.; Tianjin Life Science Research Center and Basic Medical School, Tianjin Medical  University, Tianjin, China.&lt;/_author_adr&gt;&lt;_date_display&gt;2015 Mar 20&lt;/_date_display&gt;&lt;_date&gt;2015-03-20&lt;/_date&gt;&lt;_doi&gt;10.18632/oncotarget.3338&lt;/_doi&gt;&lt;_isbn&gt;1949-2553 (Electronic); 1949-2553 (Linking)&lt;/_isbn&gt;&lt;_issue&gt;8&lt;/_issue&gt;&lt;_journal&gt;Oncotarget&lt;/_journal&gt;&lt;_keywords&gt;AFP; PTEN; hepatocellular cancer; microRNA; microRNA-1236&lt;/_keywords&gt;&lt;_language&gt;eng&lt;/_language&gt;&lt;_pages&gt;6014-28&lt;/_pages&gt;&lt;_subject_headings&gt;Animals; Carcinoma, Hepatocellular/genetics/*metabolism; Cell Line, Tumor; Cell Proliferation; Down-Regulation; Female; HEK293 Cells; Hep G2 Cells; Humans; Liver Neoplasms/genetics/*metabolism; Mice; Mice, Nude; MicroRNAs/genetics/*metabolism; PTEN Phosphohydrolase/genetics/*metabolism; Phenotype; Phosphatidylinositol 3-Kinases/*metabolism; Proto-Oncogene Proteins c-akt/*metabolism; Signal Transduction; Transfection; alpha-Fetoproteins/*metabolism&lt;/_subject_headings&gt;&lt;_tertiary_title&gt;Oncotarget&lt;/_tertiary_title&gt;&lt;_type_work&gt;Journal Article; Research Support, Non-U.S. Gov&amp;apos;t&lt;/_type_work&gt;&lt;_url&gt;http://www.ncbi.nlm.nih.gov/entrez/query.fcgi?cmd=Retrieve&amp;amp;db=pubmed&amp;amp;dopt=Abstract&amp;amp;list_uids=25714026&amp;amp;query_hl=1&lt;/_url&gt;&lt;_volume&gt;6&lt;/_volume&gt;&lt;_created&gt;66468253&lt;/_created&gt;&lt;_modified&gt;66468253&lt;/_modified&gt;&lt;/Details&gt;&lt;Extra&gt;&lt;DBUID&gt;{86835755-9694-411B-A931-C461F6E7F109}&lt;/DBUID&gt;&lt;/Extra&gt;&lt;/Item&gt;&lt;/References&gt;&lt;/Group&gt;&lt;Group&gt;&lt;References&gt;&lt;Item&gt;&lt;ID&gt;5805&lt;/ID&gt;&lt;UID&gt;{DA58CB83-5739-4704-A926-9291AB7F1342}&lt;/UID&gt;&lt;Title&gt;HOXC6 predicts invasion and poor survival in hepatocellular carcinoma by driving  epithelial-mesenchymal transition&lt;/Title&gt;&lt;Template&gt;Journal Article&lt;/Template&gt;&lt;Star&gt;0&lt;/Star&gt;&lt;Tag&gt;0&lt;/Tag&gt;&lt;Author&gt;Li, Pin-Dong; Chen, Peng; Peng, Xin; Ma, Charlie; Zhang, Wen-Jie; Dai, Xiao-Fang&lt;/Author&gt;&lt;Year&gt;2018&lt;/Year&gt;&lt;Details&gt;&lt;_accession_num&gt;29348394&lt;/_accession_num&gt;&lt;_author_adr&gt;Cancer Center, Union Hospital, Tongji Medical College, Huazhong University of  Science and Technology, Wuhan 430022, China.; Cancer Center, Union Hospital, Tongji Medical College, Huazhong University of  Science and Technology, Wuhan 430022, China.; Cancer Center, Union Hospital, Tongji Medical College, Huazhong University of  Science and Technology, Wuhan 430022, China.; Department of Radiation Oncology, Fox Chase Cancer Center, Philadelphia, PA  19111, USA.; Department of Pathology, Shihezi University School of Medicine, Shihezi, Xinjiang  832002, China.; Cancer Center, Union Hospital, Tongji Medical College, Huazhong University of  Science and Technology, Wuhan 430022, China.&lt;/_author_adr&gt;&lt;_date_display&gt;2018 Jan 15&lt;/_date_display&gt;&lt;_date&gt;2018-01-15&lt;/_date&gt;&lt;_doi&gt;10.18632/aging.101363&lt;/_doi&gt;&lt;_isbn&gt;1945-4589 (Electronic); 1945-4589 (Linking)&lt;/_isbn&gt;&lt;_issue&gt;1&lt;/_issue&gt;&lt;_journal&gt;Aging (Albany NY)&lt;/_journal&gt;&lt;_keywords&gt;EMT; HOXC6; aggressiveness; hepatocellular carcinoma; prognosis&lt;/_keywords&gt;&lt;_language&gt;eng&lt;/_language&gt;&lt;_pages&gt;115-130&lt;/_pages&gt;&lt;_subject_headings&gt;Adult; Carcinoma, Hepatocellular/*genetics/pathology; Cell Line, Tumor; *Epithelial-Mesenchymal Transition; Female; Gene Expression Regulation, Neoplastic; Gene Knockdown Techniques; Homeodomain Proteins/*metabolism; Humans; Kaplan-Meier Estimate; Liver Neoplasms/*genetics/pathology; Male; Middle Aged; Neoplasm Invasiveness/*genetics; alpha-Fetoproteins/analysis&lt;/_subject_headings&gt;&lt;_tertiary_title&gt;Aging&lt;/_tertiary_title&gt;&lt;_type_work&gt;Journal Article; Research Support, Non-U.S. Gov&amp;apos;t&lt;/_type_work&gt;&lt;_url&gt;http://www.ncbi.nlm.nih.gov/entrez/query.fcgi?cmd=Retrieve&amp;amp;db=pubmed&amp;amp;dopt=Abstract&amp;amp;list_uids=29348394&amp;amp;query_hl=1&lt;/_url&gt;&lt;_volume&gt;10&lt;/_volume&gt;&lt;_created&gt;66468256&lt;/_created&gt;&lt;_modified&gt;66468256&lt;/_modified&gt;&lt;/Details&gt;&lt;Extra&gt;&lt;DBUID&gt;{86835755-9694-411B-A931-C461F6E7F109}&lt;/DBUID&gt;&lt;/Extra&gt;&lt;/Item&gt;&lt;/References&gt;&lt;/Group&gt;&lt;/Citation&gt;_x000a_"/>
    <w:docVar w:name="NE.Ref{29540329-383A-46D8-A9A0-B86878194EE6}" w:val=" ADDIN NE.Ref.{29540329-383A-46D8-A9A0-B86878194EE6}&lt;Citation&gt;&lt;Group&gt;&lt;References&gt;&lt;Item&gt;&lt;ID&gt;4060&lt;/ID&gt;&lt;UID&gt;{42DD05A3-20C3-418C-86D2-DBF44A426646}&lt;/UID&gt;&lt;Title&gt;Fibrosis-4 index, a predictor for prognosis of hepatocellular carcinoma patients after curative hepatectomy even in hepatitis B virus dominant populations&lt;/Title&gt;&lt;Template&gt;Journal Article&lt;/Template&gt;&lt;Star&gt;0&lt;/Star&gt;&lt;Tag&gt;0&lt;/Tag&gt;&lt;Author&gt;Yun, Sang Oh; Kim, Jong Man; Rhu, Jinsoo; Choi, Gyu-Seong; Joh, Jae-Won&lt;/Author&gt;&lt;Year&gt;2023&lt;/Year&gt;&lt;Details&gt;&lt;_doi&gt;10.4174/astr.2023.104.4.195&lt;/_doi&gt;&lt;_created&gt;65956842&lt;/_created&gt;&lt;_modified&gt;65956843&lt;/_modified&gt;&lt;_url&gt;https://astr.or.kr/DOIx.php?id=10.4174/astr.2023.104.4.195_x000d__x000a_https://astr.or.kr/DOIx.php?id=10.4174/astr.2023.104.4.195&lt;/_url&gt;&lt;_journal&gt;Annals of Surgical Treatment and Research&lt;/_journal&gt;&lt;_volume&gt;104&lt;/_volume&gt;&lt;_issue&gt;4&lt;/_issue&gt;&lt;_pages&gt;195&lt;/_pages&gt;&lt;_tertiary_title&gt;Ann Surg Treat Res&lt;/_tertiary_title&gt;&lt;_isbn&gt;2288-6575&lt;/_isbn&gt;&lt;_accessed&gt;65956843&lt;/_accessed&gt;&lt;_db_updated&gt;CrossRef&lt;/_db_updated&gt;&lt;_impact_factor&gt;   1.200&lt;/_impact_factor&gt;&lt;_social_category&gt;外科(4)&lt;/_social_category&gt;&lt;_collection_scope&gt;SCIE&lt;/_collection_scope&gt;&lt;/Details&gt;&lt;Extra&gt;&lt;DBUID&gt;{58B27DCE-DEB8-4BEF-8139-AC677AF90E97}&lt;/DBUID&gt;&lt;/Extra&gt;&lt;/Item&gt;&lt;/References&gt;&lt;/Group&gt;&lt;Group&gt;&lt;References&gt;&lt;Item&gt;&lt;ID&gt;4073&lt;/ID&gt;&lt;UID&gt;{1338A6A6-A915-4DF8-B730-EC570FA1C737}&lt;/UID&gt;&lt;Title&gt;The combination of the preoperative albumin-bilirubin grade and the fibrosis-4 index predicts the prognosis of patients with hepatocellular carcinoma after liver resection&lt;/Title&gt;&lt;Template&gt;Journal Article&lt;/Template&gt;&lt;Star&gt;0&lt;/Star&gt;&lt;Tag&gt;0&lt;/Tag&gt;&lt;Author&gt;Zhang, Jingyi; Luo, Yan; Li, Chuan; Liu, Jialin; Xiang, Hongjin; Wen, Tianfu&lt;/Author&gt;&lt;Year&gt;2019&lt;/Year&gt;&lt;Details&gt;&lt;_doi&gt;10.5582/bst.2019.01212&lt;/_doi&gt;&lt;_created&gt;65956843&lt;/_created&gt;&lt;_modified&gt;65956844&lt;/_modified&gt;&lt;_url&gt;https://www.jstage.jst.go.jp/article/bst/13/4/13_2019.01212/_article_x000d__x000a_https://www.jstage.jst.go.jp/article/bst/13/4/13_2019.01212/_pdf&lt;/_url&gt;&lt;_journal&gt;BioScience Trends&lt;/_journal&gt;&lt;_volume&gt;13&lt;/_volume&gt;&lt;_issue&gt;4&lt;/_issue&gt;&lt;_pages&gt;351-357&lt;/_pages&gt;&lt;_tertiary_title&gt;BST&lt;/_tertiary_title&gt;&lt;_date&gt;62936640&lt;/_date&gt;&lt;_isbn&gt;1881-7815&lt;/_isbn&gt;&lt;_accessed&gt;65956844&lt;/_accessed&gt;&lt;_db_updated&gt;CrossRef&lt;/_db_updated&gt;&lt;_impact_factor&gt;   5.700&lt;/_impact_factor&gt;&lt;_social_category&gt;生物学(4)&lt;/_social_category&gt;&lt;_collection_scope&gt;SCIE&lt;/_collection_scope&gt;&lt;/Details&gt;&lt;Extra&gt;&lt;DBUID&gt;{58B27DCE-DEB8-4BEF-8139-AC677AF90E97}&lt;/DBUID&gt;&lt;/Extra&gt;&lt;/Item&gt;&lt;/References&gt;&lt;/Group&gt;&lt;/Citation&gt;_x000a_"/>
    <w:docVar w:name="NE.Ref{29A62007-FE35-478F-A697-66A1D8C56F05}" w:val=" ADDIN NE.Ref.{29A62007-FE35-478F-A697-66A1D8C56F05}&lt;Citation&gt;&lt;Group&gt;&lt;References&gt;&lt;Item&gt;&lt;ID&gt;5323&lt;/ID&gt;&lt;UID&gt;{CB845311-74B5-409C-8530-C8245A9F1BB8}&lt;/UID&gt;&lt;Title&gt;Chronological evolution in liver resection for hepatocellular carcinoma:  Prognostic trends across three decades in early to advanced stages&lt;/Title&gt;&lt;Template&gt;Journal Article&lt;/Template&gt;&lt;Star&gt;0&lt;/Star&gt;&lt;Tag&gt;0&lt;/Tag&gt;&lt;Author&gt;Takamoto, Takeshi; Nara, Satoshi; Ban, Daisuke; Mizui, Takahiro; Mukai, Masami; Esaki, Minoru; Shimada, Kazuaki&lt;/Author&gt;&lt;Year&gt;2025&lt;/Year&gt;&lt;Details&gt;&lt;_author_adr&gt;Department of Hepatobiliary and Pancreatic Surgery, National Cancer Center  Hospital, Tokyo, Japan. Electronic address: ttakamot@ncc.go.jp.; Department of Hepatobiliary and Pancreatic Surgery, National Cancer Center  Hospital, Tokyo, Japan.; Department of Hepatobiliary and Pancreatic Surgery, National Cancer Center  Hospital, Tokyo, Japan.; Department of Hepatobiliary and Pancreatic Surgery, National Cancer Center  Hospital, Tokyo, Japan.; Department of Medical Informatics, National Cancer Center Hospital, Tokyo, Japan.; Department of Hepatobiliary and Pancreatic Surgery, National Cancer Center  Hospital, Tokyo, Japan.; Department of Hepatobiliary and Pancreatic Surgery, National Cancer Center  Hospital, Tokyo, Japan.&lt;/_author_adr&gt;&lt;_date_display&gt;2025&lt;/_date_display&gt;&lt;_date&gt;2025-01-01&lt;/_date&gt;&lt;_isbn&gt;1532-2157 (Electronic); 0748-7983 (Linking)&lt;/_isbn&gt;&lt;_issue&gt;2&lt;/_issue&gt;&lt;_journal&gt;Eur J Surg Oncol&lt;/_journal&gt;&lt;_keywords&gt;BCLC stage; Chronological change; Hepatocellular carcinoma; Liver resection&lt;/_keywords&gt;&lt;_number&gt;4079&lt;/_number&gt;&lt;_pages&gt;109461&lt;/_pages&gt;&lt;_url&gt;http://www.ncbi.nlm.nih.gov/entrez/query.fcgi?cmd=Retrieve&amp;amp;db=pubmed&amp;amp;dopt=Abstract&amp;amp;list_uids=39631231&amp;amp;query_hl=1_x000d__x000a_DO - 10.1016/j.ejso.2024.109461&lt;/_url&gt;&lt;_volume&gt;51&lt;/_volume&gt;&lt;_created&gt;66046014&lt;/_created&gt;&lt;_modified&gt;66046014&lt;/_modified&gt;&lt;_impact_factor&gt;   3.500&lt;/_impact_factor&gt;&lt;_social_category&gt;肿瘤学(2) &amp;amp; 外科(2)&lt;/_social_category&gt;&lt;_collection_scope&gt;SCIE&lt;/_collection_scope&gt;&lt;/Details&gt;&lt;Extra&gt;&lt;DBUID&gt;{86835755-9694-411B-A931-C461F6E7F109}&lt;/DBUID&gt;&lt;/Extra&gt;&lt;/Item&gt;&lt;/References&gt;&lt;/Group&gt;&lt;Group&gt;&lt;References&gt;&lt;Item&gt;&lt;ID&gt;5342&lt;/ID&gt;&lt;UID&gt;{9F701D4B-58A2-4DE0-B89A-95C37B69F01C}&lt;/UID&gt;&lt;Title&gt;Adherence to the modified Barcelona Clinic Liver Cancer guidelines: Results from  a high-volume liver surgery center in East Asias&lt;/Title&gt;&lt;Template&gt;Journal Article&lt;/Template&gt;&lt;Star&gt;0&lt;/Star&gt;&lt;Tag&gt;0&lt;/Tag&gt;&lt;Author&gt;Yen, Yi-Hao; Cheng, Yu-Fan; Wang, Jing-Houng; Lin, Chih-Che; Chen, Chien-Hung; Wang, Chih-Chi&lt;/Author&gt;&lt;Year&gt;2021&lt;/Year&gt;&lt;Details&gt;&lt;_author_adr&gt;Division of Hepatogastroenterology, Department of Internal Medicine, Kaohsiung  Chang Gung Memorial Hospital and Chang Gung University College of Medicine,  Kaohsiung, Taiwan.; Department of Diagnostic Radiology, Liver Transplantation Center, Kaohsiung Chang  Gung Memorial Hospital, Chang Gung University College of Medicine, Kaohsiung,  Taiwan.; Division of Hepatogastroenterology, Department of Internal Medicine, Kaohsiung  Chang Gung Memorial Hospital and Chang Gung University College of Medicine,  Kaohsiung, Taiwan.; Department of Surgery, Liver Transplantation Center, Kaohsiung Chang Gung  Memorial Hospital, Kaohsiung, Taiwan.; Division of Hepatogastroenterology, Department of Internal Medicine, Kaohsiung  Chang Gung Memorial Hospital and Chang Gung University College of Medicine,  Kaohsiung, Taiwan.; Department of Surgery, Liver Transplantation Center, Kaohsiung Chang Gung  Memorial Hospital, Kaohsiung, Taiwan.&lt;/_author_adr&gt;&lt;_date_display&gt;2021&lt;/_date_display&gt;&lt;_date&gt;2021-01-01&lt;/_date&gt;&lt;_isbn&gt;1932-6203 (Electronic); 1932-6203 (Linking)&lt;/_isbn&gt;&lt;_issue&gt;3&lt;/_issue&gt;&lt;_journal&gt;PLoS One&lt;/_journal&gt;&lt;_number&gt;4080&lt;/_number&gt;&lt;_pages&gt;e0249194&lt;/_pages&gt;&lt;_url&gt;http://www.ncbi.nlm.nih.gov/entrez/query.fcgi?cmd=Retrieve&amp;amp;db=pubmed&amp;amp;dopt=Abstract&amp;amp;list_uids=33765059&amp;amp;query_hl=1_x000d__x000a_DO - 10.1371/journal.pone.0249194&lt;/_url&gt;&lt;_volume&gt;16&lt;/_volume&gt;&lt;_created&gt;66046014&lt;/_created&gt;&lt;_modified&gt;66046014&lt;/_modified&gt;&lt;_impact_factor&gt;   2.900&lt;/_impact_factor&gt;&lt;_social_category&gt;综合性期刊(3)&lt;/_social_category&gt;&lt;_collection_scope&gt;SCIE&lt;/_collection_scope&gt;&lt;/Details&gt;&lt;Extra&gt;&lt;DBUID&gt;{86835755-9694-411B-A931-C461F6E7F109}&lt;/DBUID&gt;&lt;/Extra&gt;&lt;/Item&gt;&lt;/References&gt;&lt;/Group&gt;&lt;/Citation&gt;_x000a_"/>
    <w:docVar w:name="NE.Ref{302148B5-95BA-4D96-A435-0B184A5DDD2A}" w:val=" ADDIN NE.Ref.{302148B5-95BA-4D96-A435-0B184A5DDD2A}&lt;Citation&gt;&lt;Group&gt;&lt;References&gt;&lt;Item&gt;&lt;ID&gt;4052&lt;/ID&gt;&lt;UID&gt;{E97D1C32-A66B-44AD-B673-F3FA33692624}&lt;/UID&gt;&lt;Title&gt;Association Between Noninvasive Fibrosis Markers and Postoperative Mortality After Hepatectomy for Hepatocellular Carcinoma&lt;/Title&gt;&lt;Template&gt;Journal Article&lt;/Template&gt;&lt;Star&gt;0&lt;/Star&gt;&lt;Tag&gt;0&lt;/Tag&gt;&lt;Author&gt;Maegawa, Felipe B; Shehorn, Lauren; Aziz, Hassan; Kettelle, John; Jie, Tun; Riall, Taylor S&lt;/Author&gt;&lt;Year&gt;2019&lt;/Year&gt;&lt;Details&gt;&lt;_doi&gt;10.1001/jamanetworkopen.2018.7142&lt;/_doi&gt;&lt;_created&gt;65956842&lt;/_created&gt;&lt;_modified&gt;65956842&lt;/_modified&gt;&lt;_url&gt;http://jamanetworkopen.jamanetwork.com/article.aspx?doi=10.1001/jamanetworkopen.2018.7142_x000d__x000a_https://jamanetwork.com/journals/jamanetworkopen/fullarticle/2720918&lt;/_url&gt;&lt;_journal&gt;JAMA Network Open&lt;/_journal&gt;&lt;_volume&gt;2&lt;/_volume&gt;&lt;_issue&gt;1&lt;/_issue&gt;&lt;_pages&gt;e187142&lt;/_pages&gt;&lt;_tertiary_title&gt;JAMA Netw Open&lt;/_tertiary_title&gt;&lt;_date&gt;62612640&lt;/_date&gt;&lt;_isbn&gt;2574-3805&lt;/_isbn&gt;&lt;_accessed&gt;65956842&lt;/_accessed&gt;&lt;_db_updated&gt;CrossRef&lt;/_db_updated&gt;&lt;_impact_factor&gt;  10.500&lt;/_impact_factor&gt;&lt;_social_category&gt;医学：内科(1)&lt;/_social_category&gt;&lt;_collection_scope&gt;SCIE&lt;/_collection_scope&gt;&lt;/Details&gt;&lt;Extra&gt;&lt;DBUID&gt;{58B27DCE-DEB8-4BEF-8139-AC677AF90E97}&lt;/DBUID&gt;&lt;/Extra&gt;&lt;/Item&gt;&lt;/References&gt;&lt;/Group&gt;&lt;/Citation&gt;_x000a_"/>
    <w:docVar w:name="NE.Ref{32CA5B56-81EC-443B-B0BD-CFAAD19105E4}" w:val=" ADDIN NE.Ref.{32CA5B56-81EC-443B-B0BD-CFAAD19105E4}&lt;Citation&gt;&lt;Group&gt;&lt;References&gt;&lt;Item&gt;&lt;ID&gt;5337&lt;/ID&gt;&lt;UID&gt;{3941154F-1FD7-47C3-A9CC-D2AAC3A1AE34}&lt;/UID&gt;&lt;Title&gt;BCLC strategy for prognosis prediction and treatment recommendation: The 2022  update&lt;/Title&gt;&lt;Template&gt;Journal Article&lt;/Template&gt;&lt;Star&gt;0&lt;/Star&gt;&lt;Tag&gt;0&lt;/Tag&gt;&lt;Author&gt;Reig, Maria; Forner, Alejandro; Rimola, Jordi; Ferrer-Fàbrega, Joana; Burrel, Marta; Garcia-Criado, Ángeles; Kelley, Robin K; Galle, Peter R; Mazzaferro, Vincenzo; Salem, Riad; Sangro, Bruno; Singal, Amit G; Vogel, Arndt; Fuster, Josep; Ayuso, Carmen; Bruix, Jordi&lt;/Author&gt;&lt;Year&gt;2022&lt;/Year&gt;&lt;Details&gt;&lt;_author_adr&gt;BCLC Group, Liver Unit, ICMDM, IDIBAPS, Hospital Clinic of Barcelona, University  of Barcelona, Barcelona, Spain; Centro de Investigación Biomédica en Red de  Enfermedades Hepáticas y Digestivas (CIBEREHD), Spain. Electronic address:  mreig1@clinic.cat.; BCLC Group, Liver Unit, ICMDM, IDIBAPS, Hospital Clinic of Barcelona, University  of Barcelona, Barcelona, Spain; Centro de Investigación Biomédica en Red de  Enfermedades Hepáticas y Digestivas (CIBEREHD), Spain.; BCLC Group, Radiology Department, CDI, Hospital Clinic of Barcelona, University  of Barcelona, Barcelona, Spain.; BCLC Group, Surgery Department, ICMDM, IDIBAPS, Hospital Clinic of Barcelona,  University of Barcelona, Barcelona, Spain.; BCLC Group, Vascular Department, CDI, Hospital Clinic of Barcelona, Barcelona  University, University of Barcelona, Barcelona, Spain.; BCLC Group, Radiology Department, CDI, Hospital Clinic of Barcelona, University  of Barcelona, Barcelona, Spain.; Helen Diller Family Comprehensive Cancer Center, University of California, San  Francisco, California, USA.; Department of Internal Medicine, Mainz University Medical Center, Mainz, Germany.; Department of Oncology, University of Milan and HPB Surgery and Liver  Transplantation, Fondazione IRCCS Istituto Nazionale Tumori, Milan, Italy.; Department of Radiology, Section of Interventional Radiology, Northwestern  University, Chicago, IL, USA.; Centro de Investigación Biomédica en Red de Enfermedades Hepáticas y Digestivas  (CIBEREHD), Spain; Liver Unit, Clinica Universidad de Navarra, Pamplona, Spain.; Department of Internal Medicine, University of Texas Southwestern Medical Center,  Dallas, Texas, USA.; Hannover Medical School, Department of Gastroenterology, Hepatology and  Endocrinology, Hannover, Germany.; Centro de Investigación Biomédica en Red de Enfermedades Hepáticas y Digestivas  (CIBEREHD), Spain; BCLC Group, Surgery Department, ICMDM, IDIBAPS, Hospital  Clinic of Barcelona, University of Barcelona, Barcelona, Spain.; Centro de Investigación Biomédica en Red de Enfermedades Hepáticas y Digestivas  (CIBEREHD), Spain; BCLC Group, Radiology Department, CDI, Hospital Clinic of  Barcelona, University of Barcelona, Barcelona, Spain.; BCLC Group, Liver Unit, ICMDM, IDIBAPS, Hospital Clinic of Barcelona, University  of Barcelona, Barcelona, Spain; Centro de Investigación Biomédica en Red de  Enfermedades Hepáticas y Digestivas (CIBEREHD), Spain. Electronic address:  jbruix@clinic.cat.&lt;/_author_adr&gt;&lt;_date_display&gt;2022&lt;/_date_display&gt;&lt;_date&gt;2022-01-01&lt;/_date&gt;&lt;_isbn&gt;1600-0641 (Electronic); 0168-8278 (Print); 0168-8278 (Linking)&lt;/_isbn&gt;&lt;_issue&gt;3&lt;/_issue&gt;&lt;_journal&gt;J Hepatol&lt;/_journal&gt;&lt;_keywords&gt;AFP; ALBI score; BCLC; HCC; TARE; ablation; liver transplantation TACE; surgery; survival; systemic treatment&lt;/_keywords&gt;&lt;_number&gt;4075&lt;/_number&gt;&lt;_pages&gt;681-693&lt;/_pages&gt;&lt;_url&gt;http://www.ncbi.nlm.nih.gov/entrez/query.fcgi?cmd=Retrieve&amp;amp;db=pubmed&amp;amp;dopt=Abstract&amp;amp;list_uids=34801630&amp;amp;query_hl=1_x000d__x000a_DO - 10.1016/j.jhep.2021.11.018&lt;/_url&gt;&lt;_volume&gt;76&lt;/_volume&gt;&lt;_created&gt;66046014&lt;/_created&gt;&lt;_modified&gt;66046014&lt;/_modified&gt;&lt;_impact_factor&gt;  26.800&lt;/_impact_factor&gt;&lt;_social_category&gt;胃肠肝病学(1)&lt;/_social_category&gt;&lt;_collection_scope&gt;SCIE&lt;/_collection_scope&gt;&lt;/Details&gt;&lt;Extra&gt;&lt;DBUID&gt;{86835755-9694-411B-A931-C461F6E7F109}&lt;/DBUID&gt;&lt;/Extra&gt;&lt;/Item&gt;&lt;/References&gt;&lt;/Group&gt;&lt;/Citation&gt;_x000a_"/>
    <w:docVar w:name="NE.Ref{37050438-D983-45EE-AE7C-4F03ADD0E83B}" w:val=" ADDIN NE.Ref.{37050438-D983-45EE-AE7C-4F03ADD0E83B}&lt;Citation&gt;&lt;Group&gt;&lt;References&gt;&lt;Item&gt;&lt;ID&gt;4052&lt;/ID&gt;&lt;UID&gt;{E97D1C32-A66B-44AD-B673-F3FA33692624}&lt;/UID&gt;&lt;Title&gt;Association Between Noninvasive Fibrosis Markers and Postoperative Mortality After Hepatectomy for Hepatocellular Carcinoma&lt;/Title&gt;&lt;Template&gt;Journal Article&lt;/Template&gt;&lt;Star&gt;0&lt;/Star&gt;&lt;Tag&gt;0&lt;/Tag&gt;&lt;Author&gt;Maegawa, Felipe B; Shehorn, Lauren; Aziz, Hassan; Kettelle, John; Jie, Tun; Riall, Taylor S&lt;/Author&gt;&lt;Year&gt;2019&lt;/Year&gt;&lt;Details&gt;&lt;_doi&gt;10.1001/jamanetworkopen.2018.7142&lt;/_doi&gt;&lt;_created&gt;65956842&lt;/_created&gt;&lt;_modified&gt;65956842&lt;/_modified&gt;&lt;_url&gt;http://jamanetworkopen.jamanetwork.com/article.aspx?doi=10.1001/jamanetworkopen.2018.7142_x000d__x000a_https://jamanetwork.com/journals/jamanetworkopen/fullarticle/2720918&lt;/_url&gt;&lt;_journal&gt;JAMA Network Open&lt;/_journal&gt;&lt;_volume&gt;2&lt;/_volume&gt;&lt;_issue&gt;1&lt;/_issue&gt;&lt;_pages&gt;e187142&lt;/_pages&gt;&lt;_tertiary_title&gt;JAMA Netw Open&lt;/_tertiary_title&gt;&lt;_date&gt;62612640&lt;/_date&gt;&lt;_isbn&gt;2574-3805&lt;/_isbn&gt;&lt;_accessed&gt;65956842&lt;/_accessed&gt;&lt;_db_updated&gt;CrossRef&lt;/_db_updated&gt;&lt;_impact_factor&gt;  10.500&lt;/_impact_factor&gt;&lt;_social_category&gt;医学：内科(1)&lt;/_social_category&gt;&lt;_collection_scope&gt;SCIE&lt;/_collection_scope&gt;&lt;/Details&gt;&lt;Extra&gt;&lt;DBUID&gt;{58B27DCE-DEB8-4BEF-8139-AC677AF90E97}&lt;/DBUID&gt;&lt;/Extra&gt;&lt;/Item&gt;&lt;/References&gt;&lt;/Group&gt;&lt;/Citation&gt;_x000a_"/>
    <w:docVar w:name="NE.Ref{376E0CEE-7DF7-42D2-8C55-0CE41FA7C20B}" w:val=" ADDIN NE.Ref.{376E0CEE-7DF7-42D2-8C55-0CE41FA7C20B}&lt;Citation&gt;&lt;Group&gt;&lt;References&gt;&lt;Item&gt;&lt;ID&gt;4091&lt;/ID&gt;&lt;UID&gt;{6BD4E046-8385-4B62-BDDC-A57B79A6DD61}&lt;/UID&gt;&lt;Title&gt;Conventional and machine learning-based risk scores for patients with early-stage hepatocellular carcinoma&lt;/Title&gt;&lt;Template&gt;Journal Article&lt;/Template&gt;&lt;Star&gt;0&lt;/Star&gt;&lt;Tag&gt;0&lt;/Tag&gt;&lt;Author&gt;Ho, Chun-Ting; Tan, Elise Chia-Hui; Lee, Pei-Chang; Chu, Chi-Jen; Huang, Yi-Hsiang; Huo, Teh-Ia; Su, Yu-Hui; Hou, Ming-Chih; Wu, Jaw-Ching; Su, Chien-Wei&lt;/Author&gt;&lt;Year&gt;2024&lt;/Year&gt;&lt;Details&gt;&lt;_doi&gt;10.3350/cmh.2024.0103&lt;/_doi&gt;&lt;_created&gt;65959844&lt;/_created&gt;&lt;_modified&gt;65959844&lt;/_modified&gt;&lt;_url&gt;http://e-cmh.org/journal/view.php?doi=10.3350/cmh.2024.0103_x000d__x000a_http://e-cmh.org/upload/pdf/cmh-2024-0103.pdf&lt;/_url&gt;&lt;_journal&gt;Clinical and Molecular Hepatology&lt;/_journal&gt;&lt;_volume&gt;30&lt;/_volume&gt;&lt;_issue&gt;3&lt;/_issue&gt;&lt;_pages&gt;406-420&lt;/_pages&gt;&lt;_tertiary_title&gt;Clin Mol Hepatol&lt;/_tertiary_title&gt;&lt;_date&gt;65479680&lt;/_date&gt;&lt;_isbn&gt;2287-2728&lt;/_isbn&gt;&lt;_accessed&gt;65959844&lt;/_accessed&gt;&lt;_db_updated&gt;CrossRef&lt;/_db_updated&gt;&lt;_impact_factor&gt;  14.000&lt;/_impact_factor&gt;&lt;_social_category&gt;胃肠肝病学(2)&lt;/_social_category&gt;&lt;_collection_scope&gt;SCIE&lt;/_collection_scope&gt;&lt;/Details&gt;&lt;Extra&gt;&lt;DBUID&gt;{71F5A07F-C576-45F1-8003-BAC77916F2D7}&lt;/DBUID&gt;&lt;/Extra&gt;&lt;/Item&gt;&lt;/References&gt;&lt;/Group&gt;&lt;/Citation&gt;_x000a_"/>
    <w:docVar w:name="NE.Ref{3A4BA147-B3EA-4B7B-88AB-D4C9BBFE7C2D}" w:val=" ADDIN NE.Ref.{3A4BA147-B3EA-4B7B-88AB-D4C9BBFE7C2D}&lt;Citation&gt;&lt;Group&gt;&lt;References&gt;&lt;Item&gt;&lt;ID&gt;5314&lt;/ID&gt;&lt;UID&gt;{CDF5ED19-AFF7-4AE1-A6E5-E799F9F47A17}&lt;/UID&gt;&lt;Title&gt;Association Between Noninvasive Fibrosis Markers and Postoperative Mortality After Hepatectomy for Hepatocellular Carcinoma&lt;/Title&gt;&lt;Template&gt;Journal Article&lt;/Template&gt;&lt;Star&gt;0&lt;/Star&gt;&lt;Tag&gt;0&lt;/Tag&gt;&lt;Author&gt;Maegawa, Felipe B; Shehorn, Lauren; Aziz, Hassan; Kettelle, John; Jie, Tun; Riall, Taylor S&lt;/Author&gt;&lt;Year&gt;2019&lt;/Year&gt;&lt;Details&gt;&lt;_accessed&gt;66030700&lt;/_accessed&gt;&lt;_collection_scope&gt;SCIE&lt;/_collection_scope&gt;&lt;_created&gt;66030700&lt;/_created&gt;&lt;_date&gt;62612640&lt;/_date&gt;&lt;_db_updated&gt;CrossRef&lt;/_db_updated&gt;&lt;_doi&gt;10.1001/jamanetworkopen.2018.7142&lt;/_doi&gt;&lt;_impact_factor&gt;  10.500&lt;/_impact_factor&gt;&lt;_isbn&gt;2574-3805&lt;/_isbn&gt;&lt;_issue&gt;1&lt;/_issue&gt;&lt;_journal&gt;JAMA Network Open&lt;/_journal&gt;&lt;_modified&gt;66030700&lt;/_modified&gt;&lt;_pages&gt;e187142&lt;/_pages&gt;&lt;_social_category&gt;医学：内科(1)&lt;/_social_category&gt;&lt;_tertiary_title&gt;JAMA Netw Open&lt;/_tertiary_title&gt;&lt;_url&gt;http://jamanetworkopen.jamanetwork.com/article.aspx?doi=10.1001/jamanetworkopen.2018.7142_x000d__x000a_https://jamanetwork.com/journals/jamanetworkopen/fullarticle/2720918&lt;/_url&gt;&lt;_volume&gt;2&lt;/_volume&gt;&lt;/Details&gt;&lt;Extra&gt;&lt;DBUID&gt;{86835755-9694-411B-A931-C461F6E7F109}&lt;/DBUID&gt;&lt;/Extra&gt;&lt;/Item&gt;&lt;/References&gt;&lt;/Group&gt;&lt;/Citation&gt;_x000a_"/>
    <w:docVar w:name="NE.Ref{3B20D1DE-1CF3-415C-9ABE-30D82BF317D4}" w:val=" ADDIN NE.Ref.{3B20D1DE-1CF3-415C-9ABE-30D82BF317D4}&lt;Citation&gt;&lt;Group&gt;&lt;References&gt;&lt;Item&gt;&lt;ID&gt;5329&lt;/ID&gt;&lt;UID&gt;{5E248DE4-8434-48E4-AB99-ECBC93AC0409}&lt;/UID&gt;&lt;Title&gt;Conventional and machine learning-based risk scores for patients with early-stage  hepatocellular carcinoma&lt;/Title&gt;&lt;Template&gt;Journal Article&lt;/Template&gt;&lt;Star&gt;0&lt;/Star&gt;&lt;Tag&gt;0&lt;/Tag&gt;&lt;Author&gt;Ho, Chun-Ting; Tan, Elise Chia-Hui; Lee, Pei-Chang; Chu, Chi-Jen; Huang, Yi-Hsiang; Huo, Teh-Ia; Su, Yu-Hui; Hou, Ming-Chih; Wu, Jaw-Ching; Su, Chien-Wei&lt;/Author&gt;&lt;Year&gt;2024&lt;/Year&gt;&lt;Details&gt;&lt;_author_adr&gt;Division of Gastroenterology and Hepatology, Department of Medicine, Taipei  Veterans General Hospital, Taipei, Taiwan.; Department of Health Service Administration, College of Public Health, China  Medical University, Taichung, Taiwan.; Division of Gastroenterology and Hepatology, Department of Medicine, Taipei  Veterans General Hospital, Taipei, Taiwan.; School of Medicine, College of Medicine, National Yang Ming Chiao Tung  University, Taipei, Taiwan.; Division of Gastroenterology and Hepatology, Department of Medicine, Taipei  Veterans General Hospital, Taipei, Taiwan.; School of Medicine, College of Medicine, National Yang Ming Chiao Tung  University, Taipei, Taiwan.; School of Medicine, College of Medicine, National Yang Ming Chiao Tung  University, Taipei, Taiwan.; Institute of Clinical Medicine, School of Medicine, National Yang Ming Chiao Tung  University, Taipei, Taiwan.; Division of Basic Research, Department of Medical Research, Taipei Veterans  General Hospital, Taipei, Taiwan.; Department of Accounting, Soochow University, Taipei, Taiwan.; Division of Gastroenterology and Hepatology, Department of Medicine, Taipei  Veterans General Hospital, Taipei, Taiwan.; School of Medicine, College of Medicine, National Yang Ming Chiao Tung  University, Taipei, Taiwan.; Institute of Clinical Medicine, School of Medicine, National Yang Ming Chiao Tung  University, Taipei, Taiwan.; Division of Gastroenterology and Hepatology, Department of Medicine, Taipei  Veterans General Hospital, Taipei, Taiwan.; School of Medicine, College of Medicine, National Yang Ming Chiao Tung  University, Taipei, Taiwan.; Institute of Clinical Medicine, School of Medicine, National Yang Ming Chiao Tung  University, Taipei, Taiwan.; Division of General Medicine, Department of Medicine, Taipei Veterans General  Hospital, Taipei, Taiwan.&lt;/_author_adr&gt;&lt;_date_display&gt;2024&lt;/_date_display&gt;&lt;_date&gt;2024-01-01&lt;/_date&gt;&lt;_isbn&gt;2287-285X (Electronic); 2287-2728 (Print); 2287-2728 (Linking)&lt;/_isbn&gt;&lt;_issue&gt;3&lt;/_issue&gt;&lt;_journal&gt;Clin Mol Hepatol&lt;/_journal&gt;&lt;_keywords&gt;Fibrosis; Hepatocellular carcinoma; Inflammation; Machine learning; Prognosis&lt;/_keywords&gt;&lt;_number&gt;4081&lt;/_number&gt;&lt;_pages&gt;406-420&lt;/_pages&gt;&lt;_url&gt;http://www.ncbi.nlm.nih.gov/entrez/query.fcgi?cmd=Retrieve&amp;amp;db=pubmed&amp;amp;dopt=Abstract&amp;amp;list_uids=38600872&amp;amp;query_hl=1_x000d__x000a_DO - 10.3350/cmh.2024.0103&lt;/_url&gt;&lt;_volume&gt;30&lt;/_volume&gt;&lt;_created&gt;66046014&lt;/_created&gt;&lt;_modified&gt;66046014&lt;/_modified&gt;&lt;_impact_factor&gt;  14.000&lt;/_impact_factor&gt;&lt;_social_category&gt;胃肠肝病学(2)&lt;/_social_category&gt;&lt;_collection_scope&gt;SCIE&lt;/_collection_scope&gt;&lt;/Details&gt;&lt;Extra&gt;&lt;DBUID&gt;{86835755-9694-411B-A931-C461F6E7F109}&lt;/DBUID&gt;&lt;/Extra&gt;&lt;/Item&gt;&lt;/References&gt;&lt;/Group&gt;&lt;/Citation&gt;_x000a_"/>
    <w:docVar w:name="NE.Ref{3BB1EA2A-2FA3-4E1F-B368-BC4A8EE6E146}" w:val=" ADDIN NE.Ref.{3BB1EA2A-2FA3-4E1F-B368-BC4A8EE6E146}&lt;Citation&gt;&lt;Group&gt;&lt;References&gt;&lt;Item&gt;&lt;ID&gt;5335&lt;/ID&gt;&lt;UID&gt;{B81ACEF7-BDB9-4511-AB5E-80761A6DE603}&lt;/UID&gt;&lt;Title&gt;The Landscape Of Alpha Fetoprotein In Hepatocellular Carcinoma: Where Are We?&lt;/Title&gt;&lt;Template&gt;Journal Article&lt;/Template&gt;&lt;Star&gt;0&lt;/Star&gt;&lt;Tag&gt;0&lt;/Tag&gt;&lt;Author&gt;Hu, Xin; Chen, Ronggao; Wei, Qiang; Xu, Xiao&lt;/Author&gt;&lt;Year&gt;2022&lt;/Year&gt;&lt;Details&gt;&lt;_author_adr&gt;Department of Hepatobiliary and Pancreatic Surgery, The Center for Integrated  Oncology and Precision Medicine, Affiliated Hangzhou First People&amp;apos;s Hospital,  Zhejiang University School of Medicine, Hangzhou 310006, China.; Zhejiang University Cancer Center, Hangzhou, 310058, China.; Department of Hepatobiliary and Pancreatic Surgery, The First Affiliated  Hospital, Zhejiang University School of Medicine, 79 Qingchun Road, Hangzhou,  310003, China.; Department of Hepatobiliary and Pancreatic Surgery, The First Affiliated  Hospital, Zhejiang University School of Medicine, 79 Qingchun Road, Hangzhou,  310003, China.; Department of Hepatobiliary and Pancreatic Surgery, The Center for Integrated  Oncology and Precision Medicine, Affiliated Hangzhou First People&amp;apos;s Hospital,  Zhejiang University School of Medicine, Hangzhou 310006, China.; Department of Hepatobiliary and Pancreatic Surgery, The Center for Integrated  Oncology and Precision Medicine, Affiliated Hangzhou First People&amp;apos;s Hospital,  Zhejiang University School of Medicine, Hangzhou 310006, China.; Zhejiang University Cancer Center, Hangzhou, 310058, China.; Department of Hepatobiliary and Pancreatic Surgery, The First Affiliated  Hospital, Zhejiang University School of Medicine, 79 Qingchun Road, Hangzhou,  310003, China.; Institute of Organ Transplantation, Zhejiang University, Hangzhou, 310003, China.&lt;/_author_adr&gt;&lt;_date_display&gt;2022&lt;/_date_display&gt;&lt;_date&gt;2022-01-01&lt;/_date&gt;&lt;_isbn&gt;1449-2288 (Electronic); 1449-2288 (Linking)&lt;/_isbn&gt;&lt;_issue&gt;2&lt;/_issue&gt;&lt;_journal&gt;Int J Biol Sci&lt;/_journal&gt;&lt;_keywords&gt;Alpha-fetoprotein; Chimeric antigen receptor (CAR) T-cell therapy; Hepatocellular carcinoma; Liver transplantation; T-cell receptor-engineered T-cell therapy&lt;/_keywords&gt;&lt;_number&gt;4036&lt;/_number&gt;&lt;_pages&gt;536-551&lt;/_pages&gt;&lt;_url&gt;http://www.ncbi.nlm.nih.gov/entrez/query.fcgi?cmd=Retrieve&amp;amp;db=pubmed&amp;amp;dopt=Abstract&amp;amp;list_uids=35002508&amp;amp;query_hl=1_x000d__x000a_DO - 10.7150/ijbs.64537&lt;/_url&gt;&lt;_volume&gt;18&lt;/_volume&gt;&lt;_created&gt;66046014&lt;/_created&gt;&lt;_modified&gt;66046014&lt;/_modified&gt;&lt;_impact_factor&gt;   8.200&lt;/_impact_factor&gt;&lt;_social_category&gt;生化与分子生物学(2)&lt;/_social_category&gt;&lt;_collection_scope&gt;SCIE&lt;/_collection_scope&gt;&lt;/Details&gt;&lt;Extra&gt;&lt;DBUID&gt;{86835755-9694-411B-A931-C461F6E7F109}&lt;/DBUID&gt;&lt;/Extra&gt;&lt;/Item&gt;&lt;/References&gt;&lt;/Group&gt;&lt;Group&gt;&lt;References&gt;&lt;Item&gt;&lt;ID&gt;5358&lt;/ID&gt;&lt;UID&gt;{B4E161D7-52BD-42E0-9BDC-64CE93542498}&lt;/UID&gt;&lt;Title&gt;Predictive factors and prognostic models for Hepatic arterial infusion  chemotherapy in Hepatocellular carcinoma: a comprehensive review&lt;/Title&gt;&lt;Template&gt;Journal Article&lt;/Template&gt;&lt;Star&gt;0&lt;/Star&gt;&lt;Tag&gt;0&lt;/Tag&gt;&lt;Author&gt;Lv, Xing; Zhang, Peng-Bo; Zhang, Er-Lei; Yang, S&lt;/Author&gt;&lt;Year&gt;2025&lt;/Year&gt;&lt;Details&gt;&lt;_accession_num&gt;40287734&lt;/_accession_num&gt;&lt;_author_adr&gt;Hepatic Surgery Center, Tongji Hospital, Tongji Medical College, Huazhong  University of Science and Technology, Wuhan, Hubei, People&amp;apos;s Republic of China.; Hepatic Surgery Center, Tongji Hospital, Tongji Medical College, Huazhong  University of Science and Technology, Wuhan, Hubei, People&amp;apos;s Republic of China.; Hepatic Surgery Center, Tongji Hospital, Tongji Medical College, Huazhong  University of Science and Technology, Wuhan, Hubei, People&amp;apos;s Republic of China.; Department of Obstetrics and Gynecology, National Clinical Research Center for  Obstetrics and Gynecology, Tongji Hospital, Tongji Medical College, Huazhong  University of Science and Technology, Wuhan, Hubei, People&amp;apos;s Republic of China.  yangshuhong0108@tjh.tjmu.edu.cn.; Key Laboratory of Cancer Invasion and Metastasis (Ministry of Education), Hubei  Key Laboratory of Tumor Invasion and Metastasis, Tongji Hospital, Tongji Medical  College, Huazhong University of Science and Technology, Wuhan, Hubei, People&amp;apos;s  Republic of China. yangshuhong0108@tjh.tjmu.edu.cn.&lt;/_author_adr&gt;&lt;_date_display&gt;2025 Apr 26&lt;/_date_display&gt;&lt;_date&gt;2025-04-26&lt;/_date&gt;&lt;_doi&gt;10.1186/s12957-025-03765-7&lt;/_doi&gt;&lt;_isbn&gt;1477-7819 (Electronic); 1477-7819 (Linking)&lt;/_isbn&gt;&lt;_issue&gt;1&lt;/_issue&gt;&lt;_journal&gt;World J Surg Oncol&lt;/_journal&gt;&lt;_language&gt;eng&lt;/_language&gt;&lt;_ori_publication&gt;© 2025. The Author(s).&lt;/_ori_publication&gt;&lt;_pages&gt;166&lt;/_pages&gt;&lt;_subject_headings&gt;Humans; *Carcinoma, Hepatocellular/drug therapy/pathology/mortality; *Liver Neoplasms/drug therapy/pathology/mortality; Infusions, Intra-Arterial/methods; Prognosis; *Antineoplastic Combined Chemotherapy Protocols/therapeutic use/administration &amp;amp; _x000d__x000a_      dosage; Nomograms; Hepatic Artery; Biomarkers, Tumor&lt;/_subject_headings&gt;&lt;_tertiary_title&gt;World journal of surgical oncology&lt;/_tertiary_title&gt;&lt;_type_work&gt;Journal Article; Review&lt;/_type_work&gt;&lt;_url&gt;http://www.ncbi.nlm.nih.gov/entrez/query.fcgi?cmd=Retrieve&amp;amp;db=pubmed&amp;amp;dopt=Abstract&amp;amp;list_uids=40287734&amp;amp;query_hl=1&lt;/_url&gt;&lt;_volume&gt;23&lt;/_volume&gt;&lt;_created&gt;66049653&lt;/_created&gt;&lt;_modified&gt;66049653&lt;/_modified&gt;&lt;_impact_factor&gt;   2.500&lt;/_impact_factor&gt;&lt;_social_category&gt;肿瘤学(3) &amp;amp; 外科(3)&lt;/_social_category&gt;&lt;_collection_scope&gt;SCIE&lt;/_collection_scope&gt;&lt;/Details&gt;&lt;Extra&gt;&lt;DBUID&gt;{86835755-9694-411B-A931-C461F6E7F109}&lt;/DBUID&gt;&lt;/Extra&gt;&lt;/Item&gt;&lt;/References&gt;&lt;/Group&gt;&lt;/Citation&gt;_x000a_"/>
    <w:docVar w:name="NE.Ref{3DCD3F2E-B1FB-4F75-9B25-0941B9C51B94}" w:val=" ADDIN NE.Ref.{3DCD3F2E-B1FB-4F75-9B25-0941B9C51B94}&lt;Citation&gt;&lt;Group&gt;&lt;References&gt;&lt;Item&gt;&lt;ID&gt;4074&lt;/ID&gt;&lt;UID&gt;{318A36F0-1FB8-4195-A7CE-EDB8B0187249}&lt;/UID&gt;&lt;Title&gt;Prognostic staging system for hepatocellular carcinoma (CLIP score): its value  and limitations, and a proposal for a new staging system, the Japan Integrated  Staging Score (JIS score)&lt;/Title&gt;&lt;Template&gt;Journal Article&lt;/Template&gt;&lt;Star&gt;0&lt;/Star&gt;&lt;Tag&gt;0&lt;/Tag&gt;&lt;Author&gt;Kudo, Masatoshi; Chung, Hobyung; Osaki, Yukio&lt;/Author&gt;&lt;Year&gt;2003&lt;/Year&gt;&lt;Details&gt;&lt;_accession_num&gt;12673442&lt;/_accession_num&gt;&lt;_author_adr&gt;Department of Gastroenterology and Hepatology, Kinki University School of  Medicine, 377-2 Ohno-Higashi, Osaka-Sayama 589-8511, Japan.&lt;/_author_adr&gt;&lt;_date_display&gt;2003&lt;/_date_display&gt;&lt;_date&gt;2003-01-20&lt;/_date&gt;&lt;_doi&gt;10.1007/s005350300038&lt;/_doi&gt;&lt;_isbn&gt;0944-1174 (Print); 0944-1174 (Linking)&lt;/_isbn&gt;&lt;_issue&gt;3&lt;/_issue&gt;&lt;_journal&gt;J Gastroenterol&lt;/_journal&gt;&lt;_language&gt;eng&lt;/_language&gt;&lt;_pages&gt;207-15&lt;/_pages&gt;&lt;_subject_headings&gt;Carcinoma, Hepatocellular/classification/mortality/*pathology; Humans; Japan; Liver Neoplasms/classification/mortality/*pathology; Neoplasm Staging/*methods; Prognosis; Survival Rate&lt;/_subject_headings&gt;&lt;_tertiary_title&gt;Journal of gastroenterology&lt;/_tertiary_title&gt;&lt;_type_work&gt;Journal Article; Review&lt;/_type_work&gt;&lt;_url&gt;http://www.ncbi.nlm.nih.gov/entrez/query.fcgi?cmd=Retrieve&amp;amp;db=pubmed&amp;amp;dopt=Abstract&amp;amp;list_uids=12673442&amp;amp;query_hl=1&lt;/_url&gt;&lt;_volume&gt;38&lt;/_volume&gt;&lt;_created&gt;65957027&lt;/_created&gt;&lt;_modified&gt;65957027&lt;/_modified&gt;&lt;_impact_factor&gt;   6.900&lt;/_impact_factor&gt;&lt;_social_category&gt;胃肠肝病学(2)&lt;/_social_category&gt;&lt;_collection_scope&gt;SCIE&lt;/_collection_scope&gt;&lt;/Details&gt;&lt;Extra&gt;&lt;DBUID&gt;{58B27DCE-DEB8-4BEF-8139-AC677AF90E97}&lt;/DBUID&gt;&lt;/Extra&gt;&lt;/Item&gt;&lt;/References&gt;&lt;/Group&gt;&lt;Group&gt;&lt;References&gt;&lt;Item&gt;&lt;ID&gt;4076&lt;/ID&gt;&lt;UID&gt;{D8A0AC9D-0D5C-4D1A-9C36-2EFCF12093AB}&lt;/UID&gt;&lt;Title&gt;Biomarkers in Hepatocellular Carcinoma: Diagnosis, Prognosis and Treatment  Response Assessment&lt;/Title&gt;&lt;Template&gt;Journal Article&lt;/Template&gt;&lt;Star&gt;0&lt;/Star&gt;&lt;Tag&gt;0&lt;/Tag&gt;&lt;Author&gt;Piñero, Federico; Dirchwolf, Melisa; Pessôa, Mário G&lt;/Author&gt;&lt;Year&gt;2020&lt;/Year&gt;&lt;Details&gt;&lt;_accession_num&gt;32492896&lt;/_accession_num&gt;&lt;_author_adr&gt;Hepatology and Liver Transplant Unit, Hospital Universitario Austral, School of  Medicine, Austral University, Buenos Aires B1629AHJ, Argentina.; Latin American Liver Research Educational and Awareness Network (LALREAN), Buenos  Aires B1629AHJ, Argentina.; Liver Unit, Hospital Privado de Rosario, Rosario 2000, Santa Fe, Argentina.; Division of Gastroenterology and Hepatology, University of São Paulo School of  Medicine, São Paulo 05403-000, Brazil.&lt;/_author_adr&gt;&lt;_date_display&gt;2020 Jun 1&lt;/_date_display&gt;&lt;_date&gt;2020-06-01&lt;/_date&gt;&lt;_doi&gt;10.3390/cells9061370&lt;/_doi&gt;&lt;_isbn&gt;2073-4409 (Electronic); 2073-4409 (Linking)&lt;/_isbn&gt;&lt;_issue&gt;6&lt;/_issue&gt;&lt;_journal&gt;Cells&lt;/_journal&gt;&lt;_keywords&gt;biological; liver cancer; markers&lt;/_keywords&gt;&lt;_language&gt;eng&lt;/_language&gt;&lt;_subject_headings&gt;Animals; Biomarkers, Tumor/*metabolism; Carcinoma, Hepatocellular/*diagnosis/metabolism/pathology/*therapy; Genomics; Humans; Liver Neoplasms/*diagnosis/metabolism/pathology/*therapy; Neoplasm Staging; Prognosis; Treatment Outcome&lt;/_subject_headings&gt;&lt;_tertiary_title&gt;Cells&lt;/_tertiary_title&gt;&lt;_type_work&gt;Journal Article; Review&lt;/_type_work&gt;&lt;_url&gt;http://www.ncbi.nlm.nih.gov/entrez/query.fcgi?cmd=Retrieve&amp;amp;db=pubmed&amp;amp;dopt=Abstract&amp;amp;list_uids=32492896&amp;amp;query_hl=1&lt;/_url&gt;&lt;_volume&gt;9&lt;/_volume&gt;&lt;_created&gt;65957036&lt;/_created&gt;&lt;_modified&gt;65957036&lt;/_modified&gt;&lt;_impact_factor&gt;   5.100&lt;/_impact_factor&gt;&lt;_social_category&gt;细胞生物学(3)&lt;/_social_category&gt;&lt;_collection_scope&gt;SCIE&lt;/_collection_scope&gt;&lt;/Details&gt;&lt;Extra&gt;&lt;DBUID&gt;{58B27DCE-DEB8-4BEF-8139-AC677AF90E97}&lt;/DBUID&gt;&lt;/Extra&gt;&lt;/Item&gt;&lt;/References&gt;&lt;/Group&gt;&lt;/Citation&gt;_x000a_"/>
    <w:docVar w:name="NE.Ref{3F645ACC-C3CA-4FB4-B894-598992F37F9A}" w:val=" ADDIN NE.Ref.{3F645ACC-C3CA-4FB4-B894-598992F37F9A}&lt;Citation&gt;&lt;Group&gt;&lt;References&gt;&lt;Item&gt;&lt;ID&gt;5337&lt;/ID&gt;&lt;UID&gt;{3941154F-1FD7-47C3-A9CC-D2AAC3A1AE34}&lt;/UID&gt;&lt;Title&gt;BCLC strategy for prognosis prediction and treatment recommendation: The 2022  update&lt;/Title&gt;&lt;Template&gt;Journal Article&lt;/Template&gt;&lt;Star&gt;0&lt;/Star&gt;&lt;Tag&gt;0&lt;/Tag&gt;&lt;Author&gt;Reig, Maria; Forner, Alejandro; Rimola, Jordi; Ferrer-Fàbrega, Joana; Burrel, Marta; Garcia-Criado, Ángeles; Kelley, Robin K; Galle, Peter R; Mazzaferro, Vincenzo; Salem, Riad; Sangro, Bruno; Singal, Amit G; Vogel, Arndt; Fuster, Josep; Ayuso, Carmen; Bruix, Jordi&lt;/Author&gt;&lt;Year&gt;2022&lt;/Year&gt;&lt;Details&gt;&lt;_author_adr&gt;BCLC Group, Liver Unit, ICMDM, IDIBAPS, Hospital Clinic of Barcelona, University  of Barcelona, Barcelona, Spain; Centro de Investigación Biomédica en Red de  Enfermedades Hepáticas y Digestivas (CIBEREHD), Spain. Electronic address:  mreig1@clinic.cat.; BCLC Group, Liver Unit, ICMDM, IDIBAPS, Hospital Clinic of Barcelona, University  of Barcelona, Barcelona, Spain; Centro de Investigación Biomédica en Red de  Enfermedades Hepáticas y Digestivas (CIBEREHD), Spain.; BCLC Group, Radiology Department, CDI, Hospital Clinic of Barcelona, University  of Barcelona, Barcelona, Spain.; BCLC Group, Surgery Department, ICMDM, IDIBAPS, Hospital Clinic of Barcelona,  University of Barcelona, Barcelona, Spain.; BCLC Group, Vascular Department, CDI, Hospital Clinic of Barcelona, Barcelona  University, University of Barcelona, Barcelona, Spain.; BCLC Group, Radiology Department, CDI, Hospital Clinic of Barcelona, University  of Barcelona, Barcelona, Spain.; Helen Diller Family Comprehensive Cancer Center, University of California, San  Francisco, California, USA.; Department of Internal Medicine, Mainz University Medical Center, Mainz, Germany.; Department of Oncology, University of Milan and HPB Surgery and Liver  Transplantation, Fondazione IRCCS Istituto Nazionale Tumori, Milan, Italy.; Department of Radiology, Section of Interventional Radiology, Northwestern  University, Chicago, IL, USA.; Centro de Investigación Biomédica en Red de Enfermedades Hepáticas y Digestivas  (CIBEREHD), Spain; Liver Unit, Clinica Universidad de Navarra, Pamplona, Spain.; Department of Internal Medicine, University of Texas Southwestern Medical Center,  Dallas, Texas, USA.; Hannover Medical School, Department of Gastroenterology, Hepatology and  Endocrinology, Hannover, Germany.; Centro de Investigación Biomédica en Red de Enfermedades Hepáticas y Digestivas  (CIBEREHD), Spain; BCLC Group, Surgery Department, ICMDM, IDIBAPS, Hospital  Clinic of Barcelona, University of Barcelona, Barcelona, Spain.; Centro de Investigación Biomédica en Red de Enfermedades Hepáticas y Digestivas  (CIBEREHD), Spain; BCLC Group, Radiology Department, CDI, Hospital Clinic of  Barcelona, University of Barcelona, Barcelona, Spain.; BCLC Group, Liver Unit, ICMDM, IDIBAPS, Hospital Clinic of Barcelona, University  of Barcelona, Barcelona, Spain; Centro de Investigación Biomédica en Red de  Enfermedades Hepáticas y Digestivas (CIBEREHD), Spain. Electronic address:  jbruix@clinic.cat.&lt;/_author_adr&gt;&lt;_date_display&gt;2022&lt;/_date_display&gt;&lt;_date&gt;2022-01-01&lt;/_date&gt;&lt;_isbn&gt;1600-0641 (Electronic); 0168-8278 (Print); 0168-8278 (Linking)&lt;/_isbn&gt;&lt;_issue&gt;3&lt;/_issue&gt;&lt;_journal&gt;J Hepatol&lt;/_journal&gt;&lt;_keywords&gt;AFP; ALBI score; BCLC; HCC; TARE; ablation; liver transplantation TACE; surgery; survival; systemic treatment&lt;/_keywords&gt;&lt;_number&gt;4075&lt;/_number&gt;&lt;_pages&gt;681-693&lt;/_pages&gt;&lt;_url&gt;http://www.ncbi.nlm.nih.gov/entrez/query.fcgi?cmd=Retrieve&amp;amp;db=pubmed&amp;amp;dopt=Abstract&amp;amp;list_uids=34801630&amp;amp;query_hl=1_x000d__x000a_DO - 10.1016/j.jhep.2021.11.018&lt;/_url&gt;&lt;_volume&gt;76&lt;/_volume&gt;&lt;_created&gt;66046014&lt;/_created&gt;&lt;_modified&gt;66046014&lt;/_modified&gt;&lt;_impact_factor&gt;  26.800&lt;/_impact_factor&gt;&lt;_social_category&gt;胃肠肝病学(1)&lt;/_social_category&gt;&lt;_collection_scope&gt;SCIE&lt;/_collection_scope&gt;&lt;/Details&gt;&lt;Extra&gt;&lt;DBUID&gt;{86835755-9694-411B-A931-C461F6E7F109}&lt;/DBUID&gt;&lt;/Extra&gt;&lt;/Item&gt;&lt;/References&gt;&lt;/Group&gt;&lt;/Citation&gt;_x000a_"/>
    <w:docVar w:name="NE.Ref{40BE9FA9-1789-4936-92A1-DD5487C36A5A}" w:val=" ADDIN NE.Ref.{40BE9FA9-1789-4936-92A1-DD5487C36A5A}&lt;Citation&gt;&lt;Group&gt;&lt;References&gt;&lt;Item&gt;&lt;ID&gt;4042&lt;/ID&gt;&lt;UID&gt;{A8A7473C-B88B-469E-81E8-1B5623FD7792}&lt;/UID&gt;&lt;Title&gt;Impact of Liver Fibrosis Severity on Oncological Prognosis in Hepatocellular  Carcinoma&lt;/Title&gt;&lt;Template&gt;Journal Article&lt;/Template&gt;&lt;Star&gt;0&lt;/Star&gt;&lt;Tag&gt;0&lt;/Tag&gt;&lt;Author&gt;Yasukawa, Koya; Shimizu, Akira; Kubota, Koji; Notake, Tsuyoshi; Hosoda, Kiyotaka; Hayashi, Hikaru; Soejima, Yuji&lt;/Author&gt;&lt;Year&gt;2024&lt;/Year&gt;&lt;Details&gt;&lt;_accession_num&gt;38751553&lt;/_accession_num&gt;&lt;_author_adr&gt;Division of Gastroenterological, Hepato-Biliary-Pancreatic, Transplantation and  Pediatric Surgery, Department of Surgery, Shinshu University School of Medicine,  Matsumoto, Japan.; Division of Gastroenterological, Hepato-Biliary-Pancreatic, Transplantation and  Pediatric Surgery, Department of Surgery, Shinshu University School of Medicine,  Matsumoto, Japan.; Division of Gastroenterological, Hepato-Biliary-Pancreatic, Transplantation and  Pediatric Surgery, Department of Surgery, Shinshu University School of Medicine,  Matsumoto, Japan.; Division of Gastroenterological, Hepato-Biliary-Pancreatic, Transplantation and  Pediatric Surgery, Department of Surgery, Shinshu University School of Medicine,  Matsumoto, Japan.; Division of Gastroenterological, Hepato-Biliary-Pancreatic, Transplantation and  Pediatric Surgery, Department of Surgery, Shinshu University School of Medicine,  Matsumoto, Japan.; Division of Gastroenterological, Hepato-Biliary-Pancreatic, Transplantation and  Pediatric Surgery, Department of Surgery, Shinshu University School of Medicine,  Matsumoto, Japan.; Division of Gastroenterological, Hepato-Biliary-Pancreatic, Transplantation and  Pediatric Surgery, Department of Surgery, Shinshu University School of Medicine,  Matsumoto, Japan.&lt;/_author_adr&gt;&lt;_date_display&gt;2024 Apr&lt;/_date_display&gt;&lt;_date&gt;2024-04-01&lt;/_date&gt;&lt;_doi&gt;10.1159/000533857&lt;/_doi&gt;&lt;_isbn&gt;2235-1795 (Print); 1664-5553 (Electronic); 1664-5553 (Linking)&lt;/_isbn&gt;&lt;_issue&gt;2&lt;/_issue&gt;&lt;_journal&gt;Liver Cancer&lt;/_journal&gt;&lt;_keywords&gt;Hepatocellular carcinoma; Liver cirrhosis; Liver fibrosis&lt;/_keywords&gt;&lt;_language&gt;eng&lt;/_language&gt;&lt;_ori_publication&gt;© 2023 The Author(s). Published by S. Karger AG, Basel.&lt;/_ori_publication&gt;&lt;_pages&gt;150-160&lt;/_pages&gt;&lt;_tertiary_title&gt;Liver cancer&lt;/_tertiary_title&gt;&lt;_type_work&gt;Journal Article&lt;/_type_work&gt;&lt;_url&gt;http://www.ncbi.nlm.nih.gov/entrez/query.fcgi?cmd=Retrieve&amp;amp;db=pubmed&amp;amp;dopt=Abstract&amp;amp;list_uids=38751553&amp;amp;query_hl=1&lt;/_url&gt;&lt;_volume&gt;13&lt;/_volume&gt;&lt;_created&gt;65956838&lt;/_created&gt;&lt;_modified&gt;65956838&lt;/_modified&gt;&lt;_impact_factor&gt;  11.600&lt;/_impact_factor&gt;&lt;_social_category&gt;胃肠肝病学(1) &amp;amp; 肿瘤学(1)&lt;/_social_category&gt;&lt;_collection_scope&gt;SCIE&lt;/_collection_scope&gt;&lt;/Details&gt;&lt;Extra&gt;&lt;DBUID&gt;{58B27DCE-DEB8-4BEF-8139-AC677AF90E97}&lt;/DBUID&gt;&lt;/Extra&gt;&lt;/Item&gt;&lt;/References&gt;&lt;/Group&gt;&lt;Group&gt;&lt;References&gt;&lt;Item&gt;&lt;ID&gt;4031&lt;/ID&gt;&lt;UID&gt;{0804C0BC-BE73-456E-B46D-9FAA9E5F6178}&lt;/UID&gt;&lt;Title&gt;Impact of postoperative infective complications on long-term survival after liver  resection for hepatocellular carcinoma&lt;/Title&gt;&lt;Template&gt;Journal Article&lt;/Template&gt;&lt;Star&gt;0&lt;/Star&gt;&lt;Tag&gt;0&lt;/Tag&gt;&lt;Author&gt;Yang, T; Liu, K; Liu, C-F; Zhong, Q; Zhang, J; Yu, J-J; Liang, L; Li, C; Wang, M-D; Li, Z-L; Wu, H; Xing, H; Han, J; Lau, W Y; Zeng, Y-Y; Zhou, Y-H; Gu, W-M; Wang, H; Chen, T-H; Zhang, Y-M; Zhang, W-G; Pawlik, T M; Wu, M-C; Shen, F&lt;/Author&gt;&lt;Year&gt;2019&lt;/Year&gt;&lt;Details&gt;&lt;_accession_num&gt;31276196&lt;/_accession_num&gt;&lt;_author_adr&gt;Department of Hepatobiliary Surgery, Eastern Hepatobiliary Surgery Hospital,  Second Military Medical University, Shanghai, China.; Department of Hepatobiliary Surgery, Eastern Hepatobiliary Surgery Hospital,  Second Military Medical University, Shanghai, China.; Department of Hepatobiliary Surgery, Eastern Hepatobiliary Surgery Hospital,  Second Military Medical University, Shanghai, China.; Department of Anaesthesiology, Eastern Hepatobiliary Surgery Hospital, Second  Military Medical University, Shanghai, China.; Department of Hepatobiliary Surgery, Eastern Hepatobiliary Surgery Hospital,  Second Military Medical University, Shanghai, China.; Department of Hepatobiliary Surgery, Eastern Hepatobiliary Surgery Hospital,  Second Military Medical University, Shanghai, China.; Department of Hepatobiliary Surgery, Eastern Hepatobiliary Surgery Hospital,  Second Military Medical University, Shanghai, China.; Department of Hepatobiliary Surgery, Eastern Hepatobiliary Surgery Hospital,  Second Military Medical University, Shanghai, China.; Department of Hepatobiliary Surgery, Eastern Hepatobiliary Surgery Hospital,  Second Military Medical University, Shanghai, China.; Department of Hepatobiliary Surgery, Eastern Hepatobiliary Surgery Hospital,  Second Military Medical University, Shanghai, China.; Department of Hepatobiliary Surgery, Eastern Hepatobiliary Surgery Hospital,  Second Military Medical University, Shanghai, China.; Department of Hepatobiliary Surgery, Eastern Hepatobiliary Surgery Hospital,  Second Military Medical University, Shanghai, China.; Department of Hepatobiliary Surgery, Eastern Hepatobiliary Surgery Hospital,  Second Military Medical University, Shanghai, China.; Department of Hepatobiliary Surgery, Eastern Hepatobiliary Surgery Hospital,  Second Military Medical University, Shanghai, China.; Faculty of Medicine, Chinese University of Hong Kong, Shatin, New Territories,  Hong Kong, China.; Department of Hepatobiliary Surgery, Mengchao Hepatobiliary Hospital, Fujian  Medical University, Fujian, China.; Department of Hepatobiliary Surgery, Pu&amp;apos;er People&amp;apos;s Hospital, Yunnan, China.; First Department of General Surgery, Fourth Hospital of Harbin, Heilongjiang,  China.; Department of General Surgery, Liuyang People&amp;apos;s Hospital, Hunan, China.; Department of General Surgery, Ziyang First People&amp;apos;s Hospital, Sichuan, China.; Second Department of Hepatobiliary Surgery, Meizhou People&amp;apos;s Hospital, Guangdong,  China.; Department of Hepatic Surgery, Tongji Hospital, Huazhong University of Science  and Technology, Wuhan, China.; Department of Surgery, Ohio State University, Wexner Medical Center, Columbus,  Ohio, USA.; Department of Hepatobiliary Surgery, Eastern Hepatobiliary Surgery Hospital,  Second Military Medical University, Shanghai, China.; Department of Hepatobiliary Surgery, Eastern Hepatobiliary Surgery Hospital,  Second Military Medical University, Shanghai, China.&lt;/_author_adr&gt;&lt;_date_display&gt;2019 Aug&lt;/_date_display&gt;&lt;_date&gt;2019-08-01&lt;/_date&gt;&lt;_doi&gt;10.1002/bjs.11231&lt;/_doi&gt;&lt;_isbn&gt;1365-2168 (Electronic); 0007-1323 (Linking)&lt;/_isbn&gt;&lt;_issue&gt;9&lt;/_issue&gt;&lt;_journal&gt;Br J Surg&lt;/_journal&gt;&lt;_language&gt;eng&lt;/_language&gt;&lt;_ori_publication&gt;© 2019 BJS Society Ltd. Published by John Wiley &amp;amp; Sons Ltd.&lt;/_ori_publication&gt;&lt;_pages&gt;1228-1236&lt;/_pages&gt;&lt;_subject_headings&gt;Adolescent; Adult; Aged; Aged, 80 and over; Carcinoma, Hepatocellular/mortality/*surgery; Disease-Free Survival; Female; Hepatectomy/adverse effects/mortality; Humans; Liver Neoplasms/mortality/*surgery; Male; Middle Aged; Retrospective Studies; Risk Factors; Surgical Wound Infection/etiology/*mortality; Young Adult&lt;/_subject_headings&gt;&lt;_tertiary_title&gt;The British journal of surgery&lt;/_tertiary_title&gt;&lt;_type_work&gt;Journal Article&lt;/_type_work&gt;&lt;_url&gt;http://www.ncbi.nlm.nih.gov/entrez/query.fcgi?cmd=Retrieve&amp;amp;db=pubmed&amp;amp;dopt=Abstract&amp;amp;list_uids=31276196&amp;amp;query_hl=1&lt;/_url&gt;&lt;_volume&gt;106&lt;/_volume&gt;&lt;_created&gt;65956835&lt;/_created&gt;&lt;_modified&gt;65956835&lt;/_modified&gt;&lt;_impact_factor&gt;   8.700&lt;/_impact_factor&gt;&lt;_social_category&gt;外科(1)&lt;/_social_category&gt;&lt;_collection_scope&gt;SCIE&lt;/_collection_scope&gt;&lt;/Details&gt;&lt;Extra&gt;&lt;DBUID&gt;{58B27DCE-DEB8-4BEF-8139-AC677AF90E97}&lt;/DBUID&gt;&lt;/Extra&gt;&lt;/Item&gt;&lt;/References&gt;&lt;/Group&gt;&lt;Group&gt;&lt;References&gt;&lt;Item&gt;&lt;ID&gt;4034&lt;/ID&gt;&lt;UID&gt;{86356198-3FEC-4E98-8B80-74B91AF18FCA}&lt;/UID&gt;&lt;Title&gt;Short- and Long-Term Outcomes After Hepatectomy in Elderly Patients with  Hepatocellular Carcinoma: An Analysis of 229 Cases from a Developing Country&lt;/Title&gt;&lt;Template&gt;Journal Article&lt;/Template&gt;&lt;Star&gt;0&lt;/Star&gt;&lt;Tag&gt;0&lt;/Tag&gt;&lt;Author&gt;Galun, Danijel; Bogdanovic, Aleksandar; Zivanovic, Marko; Zuvela, Marinko&lt;/Author&gt;&lt;Year&gt;2021&lt;/Year&gt;&lt;Details&gt;&lt;_accession_num&gt;33791251&lt;/_accession_num&gt;&lt;_author_adr&gt;HPB Unit, Clinic for Digestive Surgery, Clinical Center of Serbia, Belgrade,  11000, Serbia.; Medical School, University of Belgrade, Belgrade, 11000, Serbia.; HPB Unit, Clinic for Digestive Surgery, Clinical Center of Serbia, Belgrade,  11000, Serbia.; Medical School, University of Belgrade, Belgrade, 11000, Serbia.; HPB Unit, Clinic for Digestive Surgery, Clinical Center of Serbia, Belgrade,  11000, Serbia.; HPB Unit, Clinic for Digestive Surgery, Clinical Center of Serbia, Belgrade,  11000, Serbia.; Medical School, University of Belgrade, Belgrade, 11000, Serbia.&lt;/_author_adr&gt;&lt;_date_display&gt;2021&lt;/_date_display&gt;&lt;_date&gt;2021-01-20&lt;/_date&gt;&lt;_doi&gt;10.2147/JHC.S297296&lt;/_doi&gt;&lt;_isbn&gt;2253-5969 (Print); 2253-5969 (Electronic); 2253-5969 (Linking)&lt;/_isbn&gt;&lt;_journal&gt;J Hepatocell Carcinoma&lt;/_journal&gt;&lt;_keywords&gt;elderly; hepatectomy; hepatocellular carcinoma&lt;/_keywords&gt;&lt;_language&gt;eng&lt;/_language&gt;&lt;_ori_publication&gt;© 2021 Galun et al.&lt;/_ori_publication&gt;&lt;_pages&gt;155-165&lt;/_pages&gt;&lt;_tertiary_title&gt;Journal of hepatocellular carcinoma&lt;/_tertiary_title&gt;&lt;_type_work&gt;Journal Article&lt;/_type_work&gt;&lt;_url&gt;http://www.ncbi.nlm.nih.gov/entrez/query.fcgi?cmd=Retrieve&amp;amp;db=pubmed&amp;amp;dopt=Abstract&amp;amp;list_uids=33791251&amp;amp;query_hl=1&lt;/_url&gt;&lt;_volume&gt;8&lt;/_volume&gt;&lt;_created&gt;65956836&lt;/_created&gt;&lt;_modified&gt;65956836&lt;/_modified&gt;&lt;_impact_factor&gt;   4.200&lt;/_impact_factor&gt;&lt;_social_category&gt;肿瘤学(3)&lt;/_social_category&gt;&lt;_collection_scope&gt;SCIE&lt;/_collection_scope&gt;&lt;/Details&gt;&lt;Extra&gt;&lt;DBUID&gt;{58B27DCE-DEB8-4BEF-8139-AC677AF90E97}&lt;/DBUID&gt;&lt;/Extra&gt;&lt;/Item&gt;&lt;/References&gt;&lt;/Group&gt;&lt;Group&gt;&lt;References&gt;&lt;Item&gt;&lt;ID&gt;4033&lt;/ID&gt;&lt;UID&gt;{C02993F6-7E9A-4E9D-A391-28B5B4315D24}&lt;/UID&gt;&lt;Title&gt;Influence of surgical approach and quality of resection on the probability of  cure for early-stage HCC occurring in cirrhosis&lt;/Title&gt;&lt;Template&gt;Journal Article&lt;/Template&gt;&lt;Star&gt;0&lt;/Star&gt;&lt;Tag&gt;0&lt;/Tag&gt;&lt;Author&gt;Hobeika, Christian; Nault, Jean Charles; Barbier, Louise; Schwarz, Lilian; Lim, Chetana; Laurent, Alexis; Gay, Suzanne; Salamé, Ephrem; Scatton, Olivier; Soubrane, Olivier; Cauchy, François&lt;/Author&gt;&lt;Year&gt;2020&lt;/Year&gt;&lt;Details&gt;&lt;_accession_num&gt;32995713&lt;/_accession_num&gt;&lt;_author_adr&gt;Department of HPB Surgery and Liver Transplantation, Beaujon Hospital, Clichy,  France.; Assistance Publique Hôpitaux de Paris, Université de Paris, Paris, France.; Liver Unit, Jean Verdier Hospital, Bondy, France.; Assistance Publique-Hôpitaux de Paris, Université Paris-XIII, Paris, France.; Unité de Formation et de Recherche Santé Médecine et Biologie Humaine, Université  Paris-XIII, Paris, France.; Centre de Recherche des Cordeliers, Inserm, Sorbonne Université, Université  Paris, INSERM UMR 1148 Functional Genomics of Solid Tumors laboratory, F-75006,  Paris, France.; Department of Digestive, Endocrine, HPB Surgery and Liver Transplantation,  Trousseau University Hospital, Tours, France.; INSERM U1082, Poitiers, France.; Department of Digestive Surgery, Charles Nicolle University Hospital, Rouen,  France.; Department of HPB Surgery and Liver Transplantation, Pitié-Salpêtrière Hospital,  Paris, France.; Assistance Publique-Hôpitaux de Paris, Université Paris Sorbonne, Paris, France.; Department of Digestive Surgery, Henri Mondor Hospital, Creteil, France.; Assistance Publique-Hôpitaux de Paris, Université Paris-Est Creteil, Paris,  France.; Department of Digestive Surgery, Charles Nicolle University Hospital, Rouen,  France.; Department of Digestive, Endocrine, HPB Surgery and Liver Transplantation,  Trousseau University Hospital, Tours, France.; INSERM U1082, Poitiers, France.; Department of HPB Surgery and Liver Transplantation, Pitié-Salpêtrière Hospital,  Paris, France.; Department of HPB Surgery and Liver Transplantation, Beaujon Hospital, Clichy,  France.; Centre de Recherche Sur l&amp;apos;Inflammation, Inserm, Université de Paris, INSERM UMR  1149 De l&amp;apos;Inflammation au Cancer Laboratory, Paris, France.; Department of HPB Surgery and Liver Transplantation, Beaujon Hospital, Clichy,  France.; Centre de Recherche Sur l&amp;apos;Inflammation, Inserm, Université de Paris, INSERM UMR  1149 De l&amp;apos;Inflammation au Cancer Laboratory, Paris, France.&lt;/_author_adr&gt;&lt;_date_display&gt;2020 Dec&lt;/_date_display&gt;&lt;_date&gt;2020-12-01&lt;/_date&gt;&lt;_doi&gt;10.1016/j.jhepr.2020.100153&lt;/_doi&gt;&lt;_isbn&gt;2589-5559 (Electronic); 2589-5559 (Linking)&lt;/_isbn&gt;&lt;_issue&gt;6&lt;/_issue&gt;&lt;_journal&gt;JHEP Rep&lt;/_journal&gt;&lt;_keywords&gt;AFP, alpha-fetoprotein; ALBI, albumin-bilirubin; CCI, Comprehensive Complication Index; CT, computed tomography; DFS, disease-free survival; HPB, hepato-pancreatico-biliary; HR, hazard ratio; Hepatocellular carcinoma; IMM, Institut Mutualiste Montsouris; ISGLS, International Study Group of Liver Surgery; LLR, laparoscopic liver resection; LOS, length of stay; LR, liver resection; Laparoscopic liver resection; MELD, model for end-stage liver disease; OLR, open liver resection; OR, odds ratio; OS, overall survival; PHLF, post-hepatectomy liver failure; Quality of care; Statistical cure; TO, textbook outcome; Textbook outcome; VIF, variance inflation factor&lt;/_keywords&gt;&lt;_language&gt;eng&lt;/_language&gt;&lt;_ori_publication&gt;© 2020 The Author(s).&lt;/_ori_publication&gt;&lt;_pages&gt;100153&lt;/_pages&gt;&lt;_tertiary_title&gt;JHEP reports : innovation in hepatology&lt;/_tertiary_title&gt;&lt;_type_work&gt;Journal Article&lt;/_type_work&gt;&lt;_url&gt;http://www.ncbi.nlm.nih.gov/entrez/query.fcgi?cmd=Retrieve&amp;amp;db=pubmed&amp;amp;dopt=Abstract&amp;amp;list_uids=32995713&amp;amp;query_hl=1&lt;/_url&gt;&lt;_volume&gt;2&lt;/_volume&gt;&lt;_created&gt;65956836&lt;/_created&gt;&lt;_modified&gt;65956836&lt;/_modified&gt;&lt;_impact_factor&gt;   9.500&lt;/_impact_factor&gt;&lt;_social_category&gt;胃肠肝病学(2)&lt;/_social_category&gt;&lt;_collection_scope&gt;SCIE&lt;/_collection_scope&gt;&lt;/Details&gt;&lt;Extra&gt;&lt;DBUID&gt;{58B27DCE-DEB8-4BEF-8139-AC677AF90E97}&lt;/DBUID&gt;&lt;/Extra&gt;&lt;/Item&gt;&lt;/References&gt;&lt;/Group&gt;&lt;/Citation&gt;_x000a_"/>
    <w:docVar w:name="NE.Ref{41649A56-09FF-49F3-9758-A92CBEB7A5F1}" w:val=" ADDIN NE.Ref.{41649A56-09FF-49F3-9758-A92CBEB7A5F1}&lt;Citation&gt;&lt;Group&gt;&lt;References&gt;&lt;Item&gt;&lt;ID&gt;4028&lt;/ID&gt;&lt;UID&gt;{CEE90680-21C6-4588-88C8-B3090C186B34}&lt;/UID&gt;&lt;Title&gt;Percutaneous thermal ablation for recurrent hepatocellular carcinoma after  hepatectomy&lt;/Title&gt;&lt;Template&gt;Journal Article&lt;/Template&gt;&lt;Star&gt;0&lt;/Star&gt;&lt;Tag&gt;0&lt;/Tag&gt;&lt;Author&gt;Lu, M-D; Yin, X-Y; Xie, X-Y; Xu, H-X; Xu, Z-F; Liu, G-J; Kuang, M; Zheng, Y-L&lt;/Author&gt;&lt;Year&gt;2005&lt;/Year&gt;&lt;Details&gt;&lt;_accession_num&gt;16044409&lt;/_accession_num&gt;&lt;_author_adr&gt;Department of Hepatobiliary Surgery, The First Affiliated Hospital, Sun Yat-Sen  University, Guangzhou 510080, China. lumd@21cn.com&lt;/_author_adr&gt;&lt;_date_display&gt;2005 Nov&lt;/_date_display&gt;&lt;_date&gt;2005-11-01&lt;/_date&gt;&lt;_doi&gt;10.1002/bjs.5102&lt;/_doi&gt;&lt;_isbn&gt;0007-1323 (Print); 0007-1323 (Linking)&lt;/_isbn&gt;&lt;_issue&gt;11&lt;/_issue&gt;&lt;_journal&gt;Br J Surg&lt;/_journal&gt;&lt;_language&gt;eng&lt;/_language&gt;&lt;_pages&gt;1393-8&lt;/_pages&gt;&lt;_subject_headings&gt;Carcinoma, Hepatocellular/*surgery; Catheter Ablation/*methods; Female; Hepatectomy/*methods; Humans; Liver Neoplasms/*surgery; Male; Middle Aged; Neoplasm Recurrence, Local/*surgery; Retrospective Studies; Survival Analysis; Ultrasonography, Interventional&lt;/_subject_headings&gt;&lt;_tertiary_title&gt;The British journal of surgery&lt;/_tertiary_title&gt;&lt;_type_work&gt;Evaluation Study; Journal Article&lt;/_type_work&gt;&lt;_url&gt;http://www.ncbi.nlm.nih.gov/entrez/query.fcgi?cmd=Retrieve&amp;amp;db=pubmed&amp;amp;dopt=Abstract&amp;amp;list_uids=16044409&amp;amp;query_hl=1&lt;/_url&gt;&lt;_volume&gt;92&lt;/_volume&gt;&lt;_created&gt;65956835&lt;/_created&gt;&lt;_modified&gt;65956835&lt;/_modified&gt;&lt;_impact_factor&gt;   8.700&lt;/_impact_factor&gt;&lt;_social_category&gt;外科(1)&lt;/_social_category&gt;&lt;_collection_scope&gt;SCIE&lt;/_collection_scope&gt;&lt;/Details&gt;&lt;Extra&gt;&lt;DBUID&gt;{58B27DCE-DEB8-4BEF-8139-AC677AF90E97}&lt;/DBUID&gt;&lt;/Extra&gt;&lt;/Item&gt;&lt;/References&gt;&lt;/Group&gt;&lt;/Citation&gt;_x000a_"/>
    <w:docVar w:name="NE.Ref{4603923F-159F-4AD9-97B6-14C2F99E2FA1}" w:val=" ADDIN NE.Ref.{4603923F-159F-4AD9-97B6-14C2F99E2FA1}&lt;Citation&gt;&lt;Group&gt;&lt;References&gt;&lt;Item&gt;&lt;ID&gt;4081&lt;/ID&gt;&lt;UID&gt;{39421936-C694-4DA6-B824-1707C8AE6897}&lt;/UID&gt;&lt;Title&gt;Conventional and machine learning-based risk scores for patients with early-stage  hepatocellular carcinoma&lt;/Title&gt;&lt;Template&gt;Journal Article&lt;/Template&gt;&lt;Star&gt;0&lt;/Star&gt;&lt;Tag&gt;0&lt;/Tag&gt;&lt;Author&gt;Ho, Chun-Ting; Tan, Elise Chia-Hui; Lee, Pei-Chang; Chu, Chi-Jen; Huang, Yi-Hsiang; Huo, Teh-Ia; Su, Yu-Hui; Hou, Ming-Chih; Wu, Jaw-Ching; Su, Chien-Wei&lt;/Author&gt;&lt;Year&gt;2024&lt;/Year&gt;&lt;Details&gt;&lt;_accession_num&gt;38600872&lt;/_accession_num&gt;&lt;_author_adr&gt;Division of Gastroenterology and Hepatology, Department of Medicine, Taipei  Veterans General Hospital, Taipei, Taiwan.; Department of Health Service Administration, College of Public Health, China  Medical University, Taichung, Taiwan.; Division of Gastroenterology and Hepatology, Department of Medicine, Taipei  Veterans General Hospital, Taipei, Taiwan.; School of Medicine, College of Medicine, National Yang Ming Chiao Tung  University, Taipei, Taiwan.; Division of Gastroenterology and Hepatology, Department of Medicine, Taipei  Veterans General Hospital, Taipei, Taiwan.; School of Medicine, College of Medicine, National Yang Ming Chiao Tung  University, Taipei, Taiwan.; School of Medicine, College of Medicine, National Yang Ming Chiao Tung  University, Taipei, Taiwan.; Institute of Clinical Medicine, School of Medicine, National Yang Ming Chiao Tung  University, Taipei, Taiwan.; Division of Basic Research, Department of Medical Research, Taipei Veterans  General Hospital, Taipei, Taiwan.; Department of Accounting, Soochow University, Taipei, Taiwan.; Division of Gastroenterology and Hepatology, Department of Medicine, Taipei  Veterans General Hospital, Taipei, Taiwan.; School of Medicine, College of Medicine, National Yang Ming Chiao Tung  University, Taipei, Taiwan.; Institute of Clinical Medicine, School of Medicine, National Yang Ming Chiao Tung  University, Taipei, Taiwan.; Division of Gastroenterology and Hepatology, Department of Medicine, Taipei  Veterans General Hospital, Taipei, Taiwan.; School of Medicine, College of Medicine, National Yang Ming Chiao Tung  University, Taipei, Taiwan.; Institute of Clinical Medicine, School of Medicine, National Yang Ming Chiao Tung  University, Taipei, Taiwan.; Division of General Medicine, Department of Medicine, Taipei Veterans General  Hospital, Taipei, Taiwan.&lt;/_author_adr&gt;&lt;_date_display&gt;2024 Jul&lt;/_date_display&gt;&lt;_date&gt;2024-07-01&lt;/_date&gt;&lt;_doi&gt;10.3350/cmh.2024.0103&lt;/_doi&gt;&lt;_isbn&gt;2287-285X (Electronic); 2287-2728 (Print); 2287-2728 (Linking)&lt;/_isbn&gt;&lt;_issue&gt;3&lt;/_issue&gt;&lt;_journal&gt;Clin Mol Hepatol&lt;/_journal&gt;&lt;_keywords&gt;Fibrosis; Hepatocellular carcinoma; Inflammation; Machine learning; Prognosis&lt;/_keywords&gt;&lt;_language&gt;eng&lt;/_language&gt;&lt;_pages&gt;406-420&lt;/_pages&gt;&lt;_subject_headings&gt;Humans; *Carcinoma, Hepatocellular/pathology/mortality/diagnosis; *Liver Neoplasms/pathology/diagnosis/mortality; Male; Female; Middle Aged; *Machine Learning; Aged; Retrospective Studies; Proportional Hazards Models; Neoplasm Staging; Prognosis; Risk Factors; Risk Assessment; Adult&lt;/_subject_headings&gt;&lt;_tertiary_title&gt;Clinical and molecular hepatology&lt;/_tertiary_title&gt;&lt;_type_work&gt;Journal Article&lt;/_type_work&gt;&lt;_url&gt;http://www.ncbi.nlm.nih.gov/entrez/query.fcgi?cmd=Retrieve&amp;amp;db=pubmed&amp;amp;dopt=Abstract&amp;amp;list_uids=38600872&amp;amp;query_hl=1&lt;/_url&gt;&lt;_volume&gt;30&lt;/_volume&gt;&lt;_created&gt;65957315&lt;/_created&gt;&lt;_modified&gt;65957315&lt;/_modified&gt;&lt;_impact_factor&gt;  14.000&lt;/_impact_factor&gt;&lt;_social_category&gt;胃肠肝病学(2)&lt;/_social_category&gt;&lt;_collection_scope&gt;SCIE&lt;/_collection_scope&gt;&lt;/Details&gt;&lt;Extra&gt;&lt;DBUID&gt;{F66D8B52-6641-45B4-915C-E1383885F5CE}&lt;/DBUID&gt;&lt;/Extra&gt;&lt;/Item&gt;&lt;/References&gt;&lt;/Group&gt;&lt;/Citation&gt;_x000a_"/>
    <w:docVar w:name="NE.Ref{4771E215-D2E6-467C-B97A-4C37AC2BB563}" w:val=" ADDIN NE.Ref.{4771E215-D2E6-467C-B97A-4C37AC2BB563}&lt;Citation&gt;&lt;Group&gt;&lt;References&gt;&lt;Item&gt;&lt;ID&gt;5325&lt;/ID&gt;&lt;UID&gt;{2DADB34F-B57D-4831-B97D-BB1261C63C52}&lt;/UID&gt;&lt;Title&gt;Global cancer statistics 2022: GLOBOCAN estimates of incidence and mortality  worldwide for 36 cancers in 185 countries&lt;/Title&gt;&lt;Template&gt;Journal Article&lt;/Template&gt;&lt;Star&gt;0&lt;/Star&gt;&lt;Tag&gt;0&lt;/Tag&gt;&lt;Author&gt;Bray, Freddie; Laversanne, Mathieu; Sung, Hyuna; Ferlay, Jacques; Siegel, Rebecca L; Soerjomataram, Isabelle; Jemal, Ahmedin&lt;/Author&gt;&lt;Year&gt;2024&lt;/Year&gt;&lt;Details&gt;&lt;_author_adr&gt;Cancer Surveillance Branch, International Agency for Research on Cancer, Lyon,  France.; Cancer Surveillance Branch, International Agency for Research on Cancer, Lyon,  France.; Surveillance and Health Equity Science, American Cancer Society, Atlanta,  Georgia, USA.; Cancer Surveillance Branch, International Agency for Research on Cancer, Lyon,  France.; Surveillance and Health Equity Science, American Cancer Society, Atlanta,  Georgia, USA.; Cancer Surveillance Branch, International Agency for Research on Cancer, Lyon,  France.; Surveillance and Health Equity Science, American Cancer Society, Atlanta,  Georgia, USA.&lt;/_author_adr&gt;&lt;_date_display&gt;2024&lt;/_date_display&gt;&lt;_date&gt;2024-01-01&lt;/_date&gt;&lt;_isbn&gt;1542-4863 (Electronic); 0007-9235 (Linking)&lt;/_isbn&gt;&lt;_issue&gt;3&lt;/_issue&gt;&lt;_journal&gt;CA Cancer J Clin&lt;/_journal&gt;&lt;_keywords&gt;cancer burden; cancer control; epidemiology; incidence; mortality&lt;/_keywords&gt;&lt;_number&gt;4041&lt;/_number&gt;&lt;_pages&gt;229-263&lt;/_pages&gt;&lt;_url&gt;http://www.ncbi.nlm.nih.gov/entrez/query.fcgi?cmd=Retrieve&amp;amp;db=pubmed&amp;amp;dopt=Abstract&amp;amp;list_uids=38572751&amp;amp;query_hl=1_x000d__x000a_DO - 10.3322/caac.21834&lt;/_url&gt;&lt;_volume&gt;74&lt;/_volume&gt;&lt;_created&gt;66046014&lt;/_created&gt;&lt;_modified&gt;66046014&lt;/_modified&gt;&lt;_impact_factor&gt; 521.600&lt;/_impact_factor&gt;&lt;_social_category&gt;肿瘤学(1)&lt;/_social_category&gt;&lt;_collection_scope&gt;SCIE&lt;/_collection_scope&gt;&lt;/Details&gt;&lt;Extra&gt;&lt;DBUID&gt;{86835755-9694-411B-A931-C461F6E7F109}&lt;/DBUID&gt;&lt;/Extra&gt;&lt;/Item&gt;&lt;/References&gt;&lt;/Group&gt;&lt;/Citation&gt;_x000a_"/>
    <w:docVar w:name="NE.Ref{520482EE-64AF-4ACC-B803-13729824AA66}" w:val=" ADDIN NE.Ref.{520482EE-64AF-4ACC-B803-13729824AA66}&lt;Citation&gt;&lt;Group&gt;&lt;References&gt;&lt;Item&gt;&lt;ID&gt;5798&lt;/ID&gt;&lt;UID&gt;{EDB9B1F3-F004-417A-95D2-3F2021A7E985}&lt;/UID&gt;&lt;Title&gt;The Pre- and Postoperative FIB-4 Indexes Are Good Predictors to the Outcomes of  HBV-Related HCC Patients after Resection&lt;/Title&gt;&lt;Template&gt;Journal Article&lt;/Template&gt;&lt;Star&gt;0&lt;/Star&gt;&lt;Tag&gt;0&lt;/Tag&gt;&lt;Author&gt;Tsai, Meng-Yun; Yen, Yi-Hao; Huang, Pao-Yuan; Sou, Fai-Meng; Lin, Chih-Che; Cho, Wei-Ru; Wang, Hsin-Ming; Chen, Ding-Wei; Chang, Kuo-Chin; Wu, Cheng-Kun; Hu, Tsung-Hui; Tsai, Ming-Chao&lt;/Author&gt;&lt;Year&gt;2019&lt;/Year&gt;&lt;Details&gt;&lt;_accession_num&gt;31885547&lt;/_accession_num&gt;&lt;_author_adr&gt;Department of Pulmonary and Critical Care Medicine, Chang Gung Memorial Hospital,  Kaohsiung, Taiwan.; Division of Hepato-Gastroenterology, Department of Internal Medicine, Chang Gung  Memorial Hospital, Kaohsiung, Taiwan.; Division of Hepato-Gastroenterology, Department of Internal Medicine, Chang Gung  Memorial Hospital, Kaohsiung, Taiwan.; Division of Hepato-Gastroenterology, Department of Internal Medicine, Chang Gung  Memorial Hospital, Kaohsiung, Taiwan.; Liver Transplantation Center and Department of Surgery, Kaohsiung Chang Gung  Memorial Hospital and Chang Gung University College of Medicine, Kaohsiung,  Taiwan.; Division of Hepato-Gastroenterology, Department of Internal Medicine, Chang Gung  Memorial Hospital, Kaohsiung, Taiwan.; Division of Hepato-Gastroenterology, Department of Internal Medicine, Chang Gung  Memorial Hospital, Kaohsiung, Taiwan.; Center for Translational Research in Biomedical Sciences, Liver Transplantation  Program and Department of Surgery, Kaohsiung Chang Gung Memorial Hospital and  Chang Gung University College of Medicine, Kaohsiung, Taiwan.; Division of Hepato-Gastroenterology, Department of Internal Medicine, Chang Gung  Memorial Hospital, Kaohsiung, Taiwan.; Division of Hepato-Gastroenterology, Department of Internal Medicine, Chang Gung  Memorial Hospital, Kaohsiung, Taiwan.; Division of Hepato-Gastroenterology, Department of Internal Medicine, Chang Gung  Memorial Hospital, Kaohsiung, Taiwan.; Division of Hepato-Gastroenterology, Department of Internal Medicine, Chang Gung  Memorial Hospital, Kaohsiung, Taiwan.; Graduate Institute of Clinical Medical Sciences, Chang Gung University College of  Medicine, Taiwan.&lt;/_author_adr&gt;&lt;_date_display&gt;2019&lt;/_date_display&gt;&lt;_date&gt;2019-01-20&lt;/_date&gt;&lt;_doi&gt;10.1155/2019/8945798&lt;/_doi&gt;&lt;_isbn&gt;1687-6121 (Print); 1687-630X (Electronic); 1687-6121 (Linking)&lt;/_isbn&gt;&lt;_journal&gt;Gastroenterol Res Pract&lt;/_journal&gt;&lt;_language&gt;eng&lt;/_language&gt;&lt;_ori_publication&gt;Copyright © 2019 Meng-Yun Tsai et al.&lt;/_ori_publication&gt;&lt;_pages&gt;8945798&lt;/_pages&gt;&lt;_tertiary_title&gt;Gastroenterology research and practice&lt;/_tertiary_title&gt;&lt;_type_work&gt;Journal Article&lt;/_type_work&gt;&lt;_url&gt;http://www.ncbi.nlm.nih.gov/entrez/query.fcgi?cmd=Retrieve&amp;amp;db=pubmed&amp;amp;dopt=Abstract&amp;amp;list_uids=31885547&amp;amp;query_hl=1&lt;/_url&gt;&lt;_volume&gt;2019&lt;/_volume&gt;&lt;_created&gt;66468189&lt;/_created&gt;&lt;_modified&gt;66468189&lt;/_modified&gt;&lt;_impact_factor&gt;   1.400&lt;/_impact_factor&gt;&lt;_social_category&gt;胃肠肝病学(4)&lt;/_social_category&gt;&lt;_collection_scope&gt;SCIE&lt;/_collection_scope&gt;&lt;/Details&gt;&lt;Extra&gt;&lt;DBUID&gt;{86835755-9694-411B-A931-C461F6E7F109}&lt;/DBUID&gt;&lt;/Extra&gt;&lt;/Item&gt;&lt;/References&gt;&lt;/Group&gt;&lt;Group&gt;&lt;References&gt;&lt;Item&gt;&lt;ID&gt;5799&lt;/ID&gt;&lt;UID&gt;{325D6D52-D4E8-4B2A-8E68-33557D6D6B2F}&lt;/UID&gt;&lt;Title&gt;Fibrosis-4 index, a predictor for prognosis of hepatocellular carcinoma patients  after curative hepatectomy even in hepatitis B virus dominant populations&lt;/Title&gt;&lt;Template&gt;Journal Article&lt;/Template&gt;&lt;Star&gt;0&lt;/Star&gt;&lt;Tag&gt;0&lt;/Tag&gt;&lt;Author&gt;Yun, Sang Oh; Kim, Jong Man; Rhu, Jinsoo; Choi, Gyu-Seong; Joh, Jae-Won&lt;/Author&gt;&lt;Year&gt;2023&lt;/Year&gt;&lt;Details&gt;&lt;_accession_num&gt;37051160&lt;/_accession_num&gt;&lt;_author_adr&gt;Department of Surgery, Samsung Medical Center, Sungkyunkwan University School of  Medicine, Seoul, Korea.; Department of Surgery, Samsung Medical Center, Sungkyunkwan University School of  Medicine, Seoul, Korea.; Department of Surgery, Samsung Medical Center, Sungkyunkwan University School of  Medicine, Seoul, Korea.; Department of Surgery, Samsung Medical Center, Sungkyunkwan University School of  Medicine, Seoul, Korea.; Department of Surgery, Samsung Medical Center, Sungkyunkwan University School of  Medicine, Seoul, Korea.&lt;/_author_adr&gt;&lt;_date_display&gt;2023 Apr&lt;/_date_display&gt;&lt;_date&gt;2023-04-01&lt;/_date&gt;&lt;_doi&gt;10.4174/astr.2023.104.4.195&lt;/_doi&gt;&lt;_isbn&gt;2288-6575 (Print); 2288-6796 (Electronic); 2288-6575 (Linking)&lt;/_isbn&gt;&lt;_issue&gt;4&lt;/_issue&gt;&lt;_journal&gt;Ann Surg Treat Res&lt;/_journal&gt;&lt;_keywords&gt;Aspartate aminotransferase-to-platelet ratio index; Fibrosis-4 index; Hepatectomy; Hepatocellular carcinoma; Liver cirrhosis&lt;/_keywords&gt;&lt;_language&gt;eng&lt;/_language&gt;&lt;_ori_publication&gt;Copyright © 2023, the Korean Surgical Society.&lt;/_ori_publication&gt;&lt;_pages&gt;195-204&lt;/_pages&gt;&lt;_tertiary_title&gt;Annals of surgical treatment and research&lt;/_tertiary_title&gt;&lt;_type_work&gt;Journal Article&lt;/_type_work&gt;&lt;_url&gt;http://www.ncbi.nlm.nih.gov/entrez/query.fcgi?cmd=Retrieve&amp;amp;db=pubmed&amp;amp;dopt=Abstract&amp;amp;list_uids=37051160&amp;amp;query_hl=1&lt;/_url&gt;&lt;_volume&gt;104&lt;/_volume&gt;&lt;_created&gt;66468194&lt;/_created&gt;&lt;_modified&gt;66468194&lt;/_modified&gt;&lt;_impact_factor&gt;   1.600&lt;/_impact_factor&gt;&lt;_social_category&gt;外科(4)&lt;/_social_category&gt;&lt;_collection_scope&gt;SCIE&lt;/_collection_scope&gt;&lt;/Details&gt;&lt;Extra&gt;&lt;DBUID&gt;{86835755-9694-411B-A931-C461F6E7F109}&lt;/DBUID&gt;&lt;/Extra&gt;&lt;/Item&gt;&lt;/References&gt;&lt;/Group&gt;&lt;/Citation&gt;_x000a_"/>
    <w:docVar w:name="NE.Ref{57CDD249-5C75-4E52-801C-A1AFDEB59DB0}" w:val=" ADDIN NE.Ref.{57CDD249-5C75-4E52-801C-A1AFDEB59DB0}&lt;Citation&gt;&lt;Group&gt;&lt;References&gt;&lt;Item&gt;&lt;ID&gt;5794&lt;/ID&gt;&lt;UID&gt;{CA294519-23B7-4B3C-8EBF-86901DF73614}&lt;/UID&gt;&lt;Title&gt;Extrahepatic recurrence of hepatocellular carcinoma after curative hepatic  resection&lt;/Title&gt;&lt;Template&gt;Journal Article&lt;/Template&gt;&lt;Star&gt;0&lt;/Star&gt;&lt;Tag&gt;0&lt;/Tag&gt;&lt;Author&gt;Byeon, Jangmoo; Cho, Eung-Ho; Kim, Sang Bum; Choi, Dong Wook&lt;/Author&gt;&lt;Year&gt;2012&lt;/Year&gt;&lt;Details&gt;&lt;_accession_num&gt;26388915&lt;/_accession_num&gt;&lt;_author_adr&gt;Department of Surgery, Korea Cancer Center Hospital, Seoul, Korea.; Department of Surgery, Korea Cancer Center Hospital, Seoul, Korea.; Department of Surgery, Korea Cancer Center Hospital, Seoul, Korea.; Department of Surgery, Samsung Medical Center, Sungkyunkwan University School of  Medicine, Seoul, Korea.&lt;/_author_adr&gt;&lt;_date_display&gt;2012 Aug&lt;/_date_display&gt;&lt;_date&gt;2012-08-01&lt;/_date&gt;&lt;_doi&gt;10.14701/kjhbps.2012.16.3.93&lt;/_doi&gt;&lt;_isbn&gt;1738-6349 (Print); 2288-9213 (Electronic); 1738-6349 (Linking)&lt;/_isbn&gt;&lt;_issue&gt;3&lt;/_issue&gt;&lt;_journal&gt;Korean J Hepatobiliary Pancreat Surg&lt;/_journal&gt;&lt;_keywords&gt;Hepatectomy; Hepatocellular carcinoma; Recurrence&lt;/_keywords&gt;&lt;_language&gt;eng&lt;/_language&gt;&lt;_pages&gt;93-7&lt;/_pages&gt;&lt;_tertiary_title&gt;Korean journal of hepato-biliary-pancreatic surgery&lt;/_tertiary_title&gt;&lt;_type_work&gt;Journal Article&lt;/_type_work&gt;&lt;_url&gt;http://www.ncbi.nlm.nih.gov/entrez/query.fcgi?cmd=Retrieve&amp;amp;db=pubmed&amp;amp;dopt=Abstract&amp;amp;list_uids=26388915&amp;amp;query_hl=1&lt;/_url&gt;&lt;_volume&gt;16&lt;/_volume&gt;&lt;_created&gt;66466705&lt;/_created&gt;&lt;_modified&gt;66466705&lt;/_modified&gt;&lt;/Details&gt;&lt;Extra&gt;&lt;DBUID&gt;{86835755-9694-411B-A931-C461F6E7F109}&lt;/DBUID&gt;&lt;/Extra&gt;&lt;/Item&gt;&lt;/References&gt;&lt;/Group&gt;&lt;Group&gt;&lt;References&gt;&lt;Item&gt;&lt;ID&gt;5795&lt;/ID&gt;&lt;UID&gt;{9BF2B8E1-ED10-44B3-B77B-2E7B093A18AF}&lt;/UID&gt;&lt;Title&gt;Prognostic value and preoperative predictors of microvascular invasion in  solitary hepatocellular carcinoma ≤ 5 cm without macrovascular invasion&lt;/Title&gt;&lt;Template&gt;Journal Article&lt;/Template&gt;&lt;Star&gt;0&lt;/Star&gt;&lt;Tag&gt;0&lt;/Tag&gt;&lt;Author&gt;Zhao, Hui; Hua, Ye; Lu, Zhihua; Gu, Shen; Zhu, Laifa; Ji, Yuan; Qiu, Yudong; Dai, Tu; Jin, Huihan&lt;/Author&gt;&lt;Year&gt;2017&lt;/Year&gt;&lt;Details&gt;&lt;_accession_num&gt;28977857&lt;/_accession_num&gt;&lt;_author_adr&gt;Department of Hepatopancreatobiliary Surgery, Nanjing Medical University  Affiliated Wuxi Second People&amp;apos;s Hospital, Wuxi, Jiangsu, China.; Department of Hepatopancreatobiliary Surgery, The Affiliated Drum Tower Hospital  of Nanjing University Medical School, Nanjing, Jiangsu, China.; Department of Neurology, Nanjing Medical University Affiliated Wuxi Second  People&amp;apos;s Hospital, Wuxi, Jiangsu, China.; Department of Hepatopancreatobiliary Surgery, Nanjing Medical University  Affiliated Wuxi Second People&amp;apos;s Hospital, Wuxi, Jiangsu, China.; Department of Hepatopancreatobiliary Surgery, The Affiliated Drum Tower Hospital  of Nanjing University Medical School, Nanjing, Jiangsu, China.; Department of Hepatopancreatobiliary Surgery, Nanjing Medical University  Affiliated Wuxi Second People&amp;apos;s Hospital, Wuxi, Jiangsu, China.; Department of Hepatopancreatobiliary Surgery, Nanjing Medical University  Affiliated Wuxi Second People&amp;apos;s Hospital, Wuxi, Jiangsu, China.; Department of Hepatopancreatobiliary Surgery, The Affiliated Drum Tower Hospital  of Nanjing University Medical School, Nanjing, Jiangsu, China.; Department of Hepatopancreatobiliary Surgery, Nanjing Medical University  Affiliated Wuxi Second People&amp;apos;s Hospital, Wuxi, Jiangsu, China.; Department of Hepatopancreatobiliary Surgery, Nanjing Medical University  Affiliated Wuxi Second People&amp;apos;s Hospital, Wuxi, Jiangsu, China.&lt;/_author_adr&gt;&lt;_date_display&gt;2017 Sep 22&lt;/_date_display&gt;&lt;_date&gt;2017-09-22&lt;/_date&gt;&lt;_doi&gt;10.18632/oncotarget.18049&lt;/_doi&gt;&lt;_isbn&gt;1949-2553 (Electronic); 1949-2553 (Linking)&lt;/_isbn&gt;&lt;_issue&gt;37&lt;/_issue&gt;&lt;_journal&gt;Oncotarget&lt;/_journal&gt;&lt;_keywords&gt;hepatocellular carcinoma; microvascular invasion; preoperative predictors; prognosis&lt;/_keywords&gt;&lt;_language&gt;eng&lt;/_language&gt;&lt;_pages&gt;61203-61214&lt;/_pages&gt;&lt;_tertiary_title&gt;Oncotarget&lt;/_tertiary_title&gt;&lt;_type_work&gt;Journal Article&lt;/_type_work&gt;&lt;_url&gt;http://www.ncbi.nlm.nih.gov/entrez/query.fcgi?cmd=Retrieve&amp;amp;db=pubmed&amp;amp;dopt=Abstract&amp;amp;list_uids=28977857&amp;amp;query_hl=1&lt;/_url&gt;&lt;_volume&gt;8&lt;/_volume&gt;&lt;_created&gt;66466708&lt;/_created&gt;&lt;_modified&gt;66466708&lt;/_modified&gt;&lt;/Details&gt;&lt;Extra&gt;&lt;DBUID&gt;{86835755-9694-411B-A931-C461F6E7F109}&lt;/DBUID&gt;&lt;/Extra&gt;&lt;/Item&gt;&lt;/References&gt;&lt;/Group&gt;&lt;/Citation&gt;_x000a_"/>
    <w:docVar w:name="NE.Ref{5814B93D-61C2-49E2-9B4F-F887E4380118}" w:val=" ADDIN NE.Ref.{5814B93D-61C2-49E2-9B4F-F887E4380118}&lt;Citation&gt;&lt;Group&gt;&lt;References&gt;&lt;Item&gt;&lt;ID&gt;4060&lt;/ID&gt;&lt;UID&gt;{42DD05A3-20C3-418C-86D2-DBF44A426646}&lt;/UID&gt;&lt;Title&gt;Fibrosis-4 index, a predictor for prognosis of hepatocellular carcinoma patients after curative hepatectomy even in hepatitis B virus dominant populations&lt;/Title&gt;&lt;Template&gt;Journal Article&lt;/Template&gt;&lt;Star&gt;0&lt;/Star&gt;&lt;Tag&gt;0&lt;/Tag&gt;&lt;Author&gt;Yun, Sang Oh; Kim, Jong Man; Rhu, Jinsoo; Choi, Gyu-Seong; Joh, Jae-Won&lt;/Author&gt;&lt;Year&gt;2023&lt;/Year&gt;&lt;Details&gt;&lt;_doi&gt;10.4174/astr.2023.104.4.195&lt;/_doi&gt;&lt;_created&gt;65956842&lt;/_created&gt;&lt;_modified&gt;65956843&lt;/_modified&gt;&lt;_url&gt;https://astr.or.kr/DOIx.php?id=10.4174/astr.2023.104.4.195_x000d__x000a_https://astr.or.kr/DOIx.php?id=10.4174/astr.2023.104.4.195&lt;/_url&gt;&lt;_journal&gt;Annals of Surgical Treatment and Research&lt;/_journal&gt;&lt;_volume&gt;104&lt;/_volume&gt;&lt;_issue&gt;4&lt;/_issue&gt;&lt;_pages&gt;195&lt;/_pages&gt;&lt;_tertiary_title&gt;Ann Surg Treat Res&lt;/_tertiary_title&gt;&lt;_isbn&gt;2288-6575&lt;/_isbn&gt;&lt;_accessed&gt;65956843&lt;/_accessed&gt;&lt;_db_updated&gt;CrossRef&lt;/_db_updated&gt;&lt;_impact_factor&gt;   1.200&lt;/_impact_factor&gt;&lt;_social_category&gt;外科(4)&lt;/_social_category&gt;&lt;_collection_scope&gt;SCIE&lt;/_collection_scope&gt;&lt;/Details&gt;&lt;Extra&gt;&lt;DBUID&gt;{58B27DCE-DEB8-4BEF-8139-AC677AF90E97}&lt;/DBUID&gt;&lt;/Extra&gt;&lt;/Item&gt;&lt;/References&gt;&lt;/Group&gt;&lt;/Citation&gt;_x000a_"/>
    <w:docVar w:name="NE.Ref{5B3D264A-D2CA-41A8-9129-4EADAB0FA84B}" w:val=" ADDIN NE.Ref.{5B3D264A-D2CA-41A8-9129-4EADAB0FA84B}&lt;Citation&gt;&lt;Group&gt;&lt;References&gt;&lt;Item&gt;&lt;ID&gt;4042&lt;/ID&gt;&lt;UID&gt;{A8A7473C-B88B-469E-81E8-1B5623FD7792}&lt;/UID&gt;&lt;Title&gt;Impact of Liver Fibrosis Severity on Oncological Prognosis in Hepatocellular  Carcinoma&lt;/Title&gt;&lt;Template&gt;Journal Article&lt;/Template&gt;&lt;Star&gt;0&lt;/Star&gt;&lt;Tag&gt;0&lt;/Tag&gt;&lt;Author&gt;Yasukawa, Koya; Shimizu, Akira; Kubota, Koji; Notake, Tsuyoshi; Hosoda, Kiyotaka; Hayashi, Hikaru; Soejima, Yuji&lt;/Author&gt;&lt;Year&gt;2024&lt;/Year&gt;&lt;Details&gt;&lt;_accession_num&gt;38751553&lt;/_accession_num&gt;&lt;_author_adr&gt;Division of Gastroenterological, Hepato-Biliary-Pancreatic, Transplantation and  Pediatric Surgery, Department of Surgery, Shinshu University School of Medicine,  Matsumoto, Japan.; Division of Gastroenterological, Hepato-Biliary-Pancreatic, Transplantation and  Pediatric Surgery, Department of Surgery, Shinshu University School of Medicine,  Matsumoto, Japan.; Division of Gastroenterological, Hepato-Biliary-Pancreatic, Transplantation and  Pediatric Surgery, Department of Surgery, Shinshu University School of Medicine,  Matsumoto, Japan.; Division of Gastroenterological, Hepato-Biliary-Pancreatic, Transplantation and  Pediatric Surgery, Department of Surgery, Shinshu University School of Medicine,  Matsumoto, Japan.; Division of Gastroenterological, Hepato-Biliary-Pancreatic, Transplantation and  Pediatric Surgery, Department of Surgery, Shinshu University School of Medicine,  Matsumoto, Japan.; Division of Gastroenterological, Hepato-Biliary-Pancreatic, Transplantation and  Pediatric Surgery, Department of Surgery, Shinshu University School of Medicine,  Matsumoto, Japan.; Division of Gastroenterological, Hepato-Biliary-Pancreatic, Transplantation and  Pediatric Surgery, Department of Surgery, Shinshu University School of Medicine,  Matsumoto, Japan.&lt;/_author_adr&gt;&lt;_date_display&gt;2024 Apr&lt;/_date_display&gt;&lt;_date&gt;2024-04-01&lt;/_date&gt;&lt;_doi&gt;10.1159/000533857&lt;/_doi&gt;&lt;_isbn&gt;2235-1795 (Print); 1664-5553 (Electronic); 1664-5553 (Linking)&lt;/_isbn&gt;&lt;_issue&gt;2&lt;/_issue&gt;&lt;_journal&gt;Liver Cancer&lt;/_journal&gt;&lt;_keywords&gt;Hepatocellular carcinoma; Liver cirrhosis; Liver fibrosis&lt;/_keywords&gt;&lt;_language&gt;eng&lt;/_language&gt;&lt;_ori_publication&gt;© 2023 The Author(s). Published by S. Karger AG, Basel.&lt;/_ori_publication&gt;&lt;_pages&gt;150-160&lt;/_pages&gt;&lt;_tertiary_title&gt;Liver cancer&lt;/_tertiary_title&gt;&lt;_type_work&gt;Journal Article&lt;/_type_work&gt;&lt;_url&gt;http://www.ncbi.nlm.nih.gov/entrez/query.fcgi?cmd=Retrieve&amp;amp;db=pubmed&amp;amp;dopt=Abstract&amp;amp;list_uids=38751553&amp;amp;query_hl=1&lt;/_url&gt;&lt;_volume&gt;13&lt;/_volume&gt;&lt;_created&gt;65956838&lt;/_created&gt;&lt;_modified&gt;65956838&lt;/_modified&gt;&lt;_impact_factor&gt;  11.600&lt;/_impact_factor&gt;&lt;_social_category&gt;胃肠肝病学(1) &amp;amp; 肿瘤学(1)&lt;/_social_category&gt;&lt;_collection_scope&gt;SCIE&lt;/_collection_scope&gt;&lt;/Details&gt;&lt;Extra&gt;&lt;DBUID&gt;{58B27DCE-DEB8-4BEF-8139-AC677AF90E97}&lt;/DBUID&gt;&lt;/Extra&gt;&lt;/Item&gt;&lt;/References&gt;&lt;/Group&gt;&lt;/Citation&gt;_x000a_"/>
    <w:docVar w:name="NE.Ref{5BEDEC06-F9EE-4AA6-9098-426799B04FC8}" w:val=" ADDIN NE.Ref.{5BEDEC06-F9EE-4AA6-9098-426799B04FC8}&lt;Citation&gt;&lt;Group&gt;&lt;References&gt;&lt;Item&gt;&lt;ID&gt;5333&lt;/ID&gt;&lt;UID&gt;{0B57463B-07FD-4F9E-B483-632F7472FC6F}&lt;/UID&gt;&lt;Title&gt;Guidelines for the Diagnosis and Treatment of Primary Liver Cancer (2022  Edition)&lt;/Title&gt;&lt;Template&gt;Journal Article&lt;/Template&gt;&lt;Star&gt;0&lt;/Star&gt;&lt;Tag&gt;0&lt;/Tag&gt;&lt;Author&gt;Zhou, Jian; Sun, Huichuan; Wang, Zheng; Cong, Wenming; Zeng, Mengsu; Zhou, Weiping; Bie, Ping; Liu, Lianxin; Wen, Tianfu; Kuang, Ming; Han, Guohong; Yan, Zhiping; Wang, Maoqiang; Liu, Ruibao; Lu, Ligong; Ren, Zhenggang; Zeng, Zhaochong; Liang, Ping; Liang, Changhong; Chen, Min; Yan, Fuhua; Wang, Wenping; Hou, Jinlin; Ji, Yuan; Yun, Jingping; Bai, Xueli; Cai, Dingfang; Chen, Weixia; Chen, Yongjun; Cheng, Wenwu; Cheng, Shuqun; Dai, Chaoliu; Guo, Wengzhi; Guo, Yabing; Hua, Baojin; Huang, Xiaowu; Jia, Weidong; Li, Qiu; Li, Tao; Li, Xun; Li, Yaming; Li, Yexiong; Liang, Jun; Ling, Changquan; Liu, Tianshu; Liu, Xiufeng; Lu, Shichun; Lv, Guoyue; Mao, Yilei; Meng, Zhiqiang; Peng, Tao; Ren, Weixin; Shi, Hongcheng; Shi, Guoming; Shi, Ming; Song, Tianqiang; Tao, Kaishan; Wang, Jianhua; Wang, Kui; Wang, Lu; Wang, Wentao; Wang, Xiaoying; Wang, Zhiming; Xiang, Bangde; Xing, Baocai; Xu, Jianming; Yang, Jiamei; Yang, Jianyong; Yang, Yefa; Yang, Yunke; Ye, Shenglong; Yin, Zhenyu; Zeng, Yong; Zhang, Bixiang; Zhang, Boheng; Zhang, Leida; Zhang, Shuijun; Zhang, Ti; Zhang, Yanqiao; Zhao, Ming; Zhao, Yongfu; Zheng, Honggang; Zhou, Ledu; Zhu, Jiye; Zhu, Kangshun; Liu, Rong; Shi, Yinghong; Xiao, Yongsheng; Zhang, Lan; Yang, Chun; Wu, Zhifeng; Dai, Zhi; Chen, Minshan; Cai, Jianqiang; Wang, Weilin; Cai, Xiujun; Li, Qiang; Shen, Feng; Qin, Shukui; Teng, Gaojun; Dong, Jiahong; Fan, Jia&lt;/Author&gt;&lt;Year&gt;2023&lt;/Year&gt;&lt;Details&gt;&lt;_author_adr&gt;Liver Cancer Institute, Zhongshan Hospital, Fudan University, Shanghai, China.; Liver Cancer Institute, Zhongshan Hospital, Fudan University, Shanghai, China.; Liver Cancer Institute, Zhongshan Hospital, Fudan University, Shanghai, China.; Department of Pathology, The Eastern Hepatobiliary Surgery Hospital, Second  Military Medical University, Shanghai, China.; Department of Radiology, Zhongshan Hospital, Fudan University, Shanghai, China.; The Third Department of Hepatic Surgery, Eastern Hepatobiliary Surgery Hospital,  Second Military Medical University, Shanghai, China.; Institute of Hepatobiliary Surgery, Southwest Hospital, Third Military Medical  University, Chongqing, China.; Department of General Surgery, The First Affiliated Hospital of Harbin Medical  University, Harbin, China.; Department of Liver Surgery, West China Hospital of Sichuan University, Chengdu,  China.; Department of Hepatobiliary Surgery, Sun Yat-sen University Cancer Center,  Guangzhou, China.; Department of Liver Diseases and Digestive Interventional Radiology, Xijing  Hospital, Fourth Military Medical University, Xi&amp;apos;an, China.; Department of Interventional Radiology, Zhongshan Hospital, Fudan University,  Shanghai, China.; Department of Interventional Radiology, Chinese PLA General Hospital, Beijing,  China.; Department of Interventional Radiology, The Tumor Hospital of Harbin Medical  University, Harbin, China.; Department of Interventional Oncology, Guangdong General Hospital, Guangdong  Academy of Medical Sciences, Guangzhou, China.; Liver Cancer Institute, Zhongshan Hospital, Fudan University, Shanghai, China.; Department of Radiation Oncology, Zhongshan Hospital, Fudan University, Shanghai,  China.; Department of Interventional Ultrasound, Chinese PLA General Hospital, Beijing,  China.; Department of Radiology, Guangdong General Hospital, Guangdong Academy of Medical  Sciences, Guangzhou, China.; Editorial Department of Chinese Journal of Digestive Surgery, Chongqing, China.; Department of Radiology, Ruijin Hospital Affiliated to Shanghai Jiaotong  University School of Medicine, Shanghai, China.; Department of Ultrasound, Zhongshan Hospital, Fudan University, Shanghai, China.; Department of Infectious Diseases, State Key Laboratory of Organ Failure  Research, Nanfang Hospital, Southern Medical University, Guangzhou, China.; Department of Pathology, Zhongshan Hospital, Fudan University, Shanghai, China.; Department of Pathology, Tumor Prevention and Treatment Center, Sun Yat-sen  University, Guangzhou, China.; Department of Hepatobiliary and Pancreatic Surgery, First Affiliated Hospital,  School of Medicine, Zhejiang University, Hangzhou, China.; Department of Integrative Medicine, Zhongshan Hospital, Fudan University,  Shanghai, China.; Department of Radiology, West China Hospital of Sichuan University, Chengdu,  China.; Department of Hematology, Ruijin Hospital North, Shanghai Jiao Tong University  School of Medicine, Shanghai, China.; Department of Integrated Therapy, Fudan University Shanghai Cancer Center,  Shanghai, China.; The Third Department of Hepatic Surgery, Eastern Hepatobiliary Surgery Hospital,  Second Military Medical University, Shanghai, China.; Department of Hepatobiliary and Spleenary Surgery, The Affiliated Shengjing  Hospital, China Medical University, Shenyang, China.; Department of Hepatobiliary and Pancreatic Surgery, The First Affiliated Hospital  of Zhengzhou University, Zhengzhou, China.; Department of Infectious Diseases, Nanfang Hospital, Southern Medical University,  Guangzhou, China.; Graduate School, Beijing University of Chinese Medicine, Beijing, China.; Liver Cancer Institute, Zhongshan Hospital, Fudan University, Shanghai, China.; Department of Hepatic Surgery, Affiliated Provincial Hospital, Anhui Medical  University, Hefei, China.; Department of Oncology, West China Hospital, Sichuan University, Chengdu, China.; Department of General Surgery, Qilu Hospital, Shandong University, Jinan, China.; The First Hospital of Lanzhou University, Lanzhou, China.; Department of Nuclear Medicine, The First Hospital of China Medical University,  Shenyang, China.; Department of Radiation Oncology, National Cancer Center/Cancer Hospital, Chinese  Academy of Medical Sciences and Peking Union Medical College, Beijing, China.; Department of Oncology, Peking University International Hospital, Beijing, China.; Changhai Hospital of Traditional Chinese Medicine, Second Military Medical  University, Shanghai, China.; Department of Oncology, Zhongshan Hospital, Fudan University, Shanghai, China.; Department of Medical Oncology, PLA Cancer Center, Nanjing Bayi Hospital,  Nanjing, China.; Institute and Hospital of Hepatobiliary Surgery of Chinese PLA, Chinese PLA  Medical School, Chinese PLA General Hospital, Beijing, China.; Department of General Surgery, The First Hospital of Jilin University, Jilin,  China.; Department of Liver Surgery, Peking Union Medical College (PUMC) Hospital, PUMC  and Chinese Academy of Medical Sciences, Beijing, China.; Department of Oncology, Shanghai Medical College, Fudan University, Shanghai,  China.; Department of Hepatobiliary Surgery, The First Affiliated Hospital of Guangxi  Medical University, Nanning, China.; Department of Interventional Radiology the First Affiliated Hospital of Xinjiang  Medical University, Urumqi, China.; Department of Nuclear Medicine, Zhongshan Hospital, Fudan University, Shanghai,  China.; Liver Cancer Institute, Zhongshan Hospital, Fudan University, Shanghai, China.; Department of Hepatobiliary Surgery, Sun Yat-sen University Cancer Center,  Guangzhou, China.; Department of Hepatobiliary Surgery, Tianjin Medical University Cancer Institute  and Hospital, Tianjin, China.; Department of Hepatobiliary Surgery, Xijing Hospital, Fourth Military Medical  University, Xi&amp;apos;an, China.; Department of Interventional Radiology, Zhongshan Hospital, Fudan University,  Shanghai, China.; The Third Department of Hepatic Surgery, Eastern Hepatobiliary Surgery Hospital,  Second Military Medical University, Shanghai, China.; Department of Hepatic Surgery, Fudan University Shanghai Cancer Center, Fudan  University, Shanghai, China.; Department of Liver Surgery, West China Hospital of Sichuan University, Chengdu,  China.; Liver Cancer Institute, Zhongshan Hospital, Fudan University, Shanghai, China.; Department of Infectious Diseases, Xiangya Hospital, Central South University,  Changsha, China.; Department of Hepatobiliary Surgery, Affiliated Tumor Hospital of Guangxi Medical  University, Nanning, China.; Department of Hepato-Pancreato-Biliary Surgery, Peking University Cancer Hospital  and Institute, Beijing, China.; Department of Gastrointestinal Oncology, Affiliated Hospital Cancer Center,  Academy of Military Medical Sciences, Beijing, China.; The Third Department of Hepatic Surgery, Eastern Hepatobiliary Surgery Hospital,  Second Military Medical University, Shanghai, China.; Department of Interventional Oncology, The First Affiliated Hospital, Sun Yat-sen  University, Guangzhou, China.; Department of Hepatic Surgery and Interventional Radiology, Eastern Hepatobiliary  Surgery Hospital, Second Military Medical University, Shanghai, China.; Department of Integrative Medicine, Zhongshan Hospital, Fudan University,  Shanghai, China.; Liver Cancer Institute, Zhongshan Hospital, Fudan University, Shanghai, China.; Department of Hepatobiliary Surgery, Zhongshan Hospital of Xiamen University,  Xiamen, China.; Department of Liver Surgery, West China Hospital of Sichuan University, Chengdu,  China.; Department of Surgery, Hepatic Surgery Center, Tongji Hospital, Tongji Medical  College, Huazhong University of Science and Technology, Wuhan, China.; Liver Cancer Institute, Zhongshan Hospital, Fudan University, Shanghai, China.; Department of Hepatobiliary Surgery Institute, Southwest Hospital, Third Military  Medical University, Chongqing, China.; Department of Hepatobiliary and Pancreatic Surgery, The First Affiliated Hospital  of Zhengzhou University, ZhengZhou, China.; Department of Hepatic Surgery, Fudan University Shanghai Cancer Center, Fudan  University, Shanghai, China.; Department of Gastrointestinal Medical Oncology, The Affiliated Tumor Hospital of  Harbin Medical University, Harbin, China.; Minimally Invasive Interventional Division, Liver Cancer Group, Sun Yat-Sen  University Cancer Center, Guangzhou, China.; Department of Hepatobiliary and Pancreatic Surgery, The First Affiliated Hospital  of Zhengzhou University, ZhengZhou, China.; Department of Oncology, Guang&amp;apos;anmen Hospital, China Academy of Chinese Medical  Sciences, Beijing, China.; Department of General Surgery, Xiangya Hospital, Central South University,  Changsha, China.; Department of Hepatobiliary Surgery, Peking University People&amp;apos;s Hospital,  Beijing, China.; Department of Minimally Invasive Interventional Radiology, The Second Affiliated  Hospital of Guangzhou Medical University, Guangzhou, China.; Department of Interventional Radiology, Zhongshan Hospital, Fudan University,  Shanghai, China.; Liver Cancer Institute, Zhongshan Hospital, Fudan University, Shanghai, China.; Liver Cancer Institute, Zhongshan Hospital, Fudan University, Shanghai, China.; Liver Cancer Institute, Zhongshan Hospital, Fudan University, Shanghai, China.; Department of Radiology, Zhongshan Hospital, Fudan University, Shanghai, China.; Department of Radiation Oncology, Zhongshan Hospital, Fudan University, Shanghai,  China.; Liver Cancer Institute, Zhongshan Hospital, Fudan University, Shanghai, China.; Department of Hepatobiliary Surgery, Sun Yat-sen University Cancer Center,  Guangzhou, China.; Department of Abdominal Surgical Oncology, Cancer Hospital, Chinese Academy of  Medical Sciences and Peking Union Medical College, Beijing, China.; Department of Hepatobiliary and Pancreatic Surgery, The Second Affiliated  Hospital, Zhejiang University School of Medicine, Hangzhou, China.; Department of Hepatobiliary and Pancreatic Surgery, First Affiliated Hospital,  School of Medicine, Zhejiang University, Hangzhou, China.; Department of Hepatobiliary Surgery, Tianjin Medical University Cancer Institute  and Hospital, Tianjin, China.; The Third Department of Hepatic Surgery, Eastern Hepatobiliary Surgery Hospital,  Second Military Medical University, Shanghai, China.; Department of Medical Oncology, PLA Cancer Center, Nanjing Bayi Hospital,  Nanjing, China.; Department of Radiology, Zhongda Hospital, Medical School, Southeast University,  Nanjing, China.; Department of Hepatobiliary and Pancreas Surgery, Beijing Tsinghua Changgung  Hospital (BTCH), School of Clinical Medicine, Tsinghua University, Beijing,  China.; Liver Cancer Institute, Zhongshan Hospital, Fudan University, Shanghai, China.&lt;/_author_adr&gt;&lt;_date_display&gt;2023&lt;/_date_display&gt;&lt;_date&gt;2023-01-01&lt;/_date&gt;&lt;_isbn&gt;2235-1795 (Print); 1664-5553 (Electronic); 1664-5553 (Linking)&lt;/_isbn&gt;&lt;_issue&gt;5&lt;/_issue&gt;&lt;_journal&gt;Liver Cancer&lt;/_journal&gt;&lt;_keywords&gt;China; Diagnosis; Guidelines; Hepatocellular carcinoma; Primary liver cancer; Treatment&lt;/_keywords&gt;&lt;_number&gt;4039&lt;/_number&gt;&lt;_pages&gt;405-444&lt;/_pages&gt;&lt;_url&gt;http://www.ncbi.nlm.nih.gov/entrez/query.fcgi?cmd=Retrieve&amp;amp;db=pubmed&amp;amp;dopt=Abstract&amp;amp;list_uids=37901768&amp;amp;query_hl=1_x000d__x000a_DO - 10.1159/000530495&lt;/_url&gt;&lt;_volume&gt;12&lt;/_volume&gt;&lt;_created&gt;66046014&lt;/_created&gt;&lt;_modified&gt;66046014&lt;/_modified&gt;&lt;_impact_factor&gt;  11.600&lt;/_impact_factor&gt;&lt;_social_category&gt;胃肠肝病学(1) &amp;amp; 肿瘤学(1)&lt;/_social_category&gt;&lt;_collection_scope&gt;SCIE&lt;/_collection_scope&gt;&lt;/Details&gt;&lt;Extra&gt;&lt;DBUID&gt;{86835755-9694-411B-A931-C461F6E7F109}&lt;/DBUID&gt;&lt;/Extra&gt;&lt;/Item&gt;&lt;/References&gt;&lt;/Group&gt;&lt;Group&gt;&lt;References&gt;&lt;Item&gt;&lt;ID&gt;5327&lt;/ID&gt;&lt;UID&gt;{1A9B3DAD-E17C-4DCA-B5F5-290185926442}&lt;/UID&gt;&lt;Title&gt;Biomarkers for diagnosis and therapeutic options in hepatocellular carcinoma&lt;/Title&gt;&lt;Template&gt;Journal Article&lt;/Template&gt;&lt;Star&gt;0&lt;/Star&gt;&lt;Tag&gt;0&lt;/Tag&gt;&lt;Author&gt;Chan, Yau-Tuen; Zhang, Cheng; Wu, Junyu; Lu, Pengde; Xu, Lin; Yuan, Hongchao; Feng, Yibin; Chen, Zhe-Sheng; Wang, Ning&lt;/Author&gt;&lt;Year&gt;2024&lt;/Year&gt;&lt;Details&gt;&lt;_author_adr&gt;School of Chinese Medicine, The University of Hong Kong, Pok Fu Lam, Hong Kong.; School of Chinese Medicine, The University of Hong Kong, Pok Fu Lam, Hong Kong.; School of Chinese Medicine, The University of Hong Kong, Pok Fu Lam, Hong Kong.; School of Chinese Medicine, The University of Hong Kong, Pok Fu Lam, Hong Kong.; School of Chinese Medicine, The University of Hong Kong, Pok Fu Lam, Hong Kong.; School of Chinese Medicine, The University of Hong Kong, Pok Fu Lam, Hong Kong.; School of Chinese Medicine, The University of Hong Kong, Pok Fu Lam, Hong Kong.; School of Chinese Medicine, The University of Hong Kong, Pok Fu Lam, Hong Kong.  chenz@stjohns.edu.; Department of Pharmaceutical Sciences, College of Pharmacy and Health Sciences,  St. John&amp;apos;s University, 8000 Utopia Parkway, Queens, NY, 11439, USA.  chenz@stjohns.edu.; School of Chinese Medicine, The University of Hong Kong, Pok Fu Lam, Hong Kong.  ckwang@hku.hk.&lt;/_author_adr&gt;&lt;_date_display&gt;2024&lt;/_date_display&gt;&lt;_date&gt;2024-01-01&lt;/_date&gt;&lt;_isbn&gt;1476-4598 (Electronic); 1476-4598 (Linking)&lt;/_isbn&gt;&lt;_issue&gt;1&lt;/_issue&gt;&lt;_journal&gt;Mol Cancer&lt;/_journal&gt;&lt;_keywords&gt;Artificial intelligence; Biomarkers; Cancer diagnosis; Cancer surveillance; Cancer treatment; Cell-free DNA; Circulating tumor DNA; Circulating tumor cells; Clinical trials; HAIC; Hepatocellular carcinoma; Immunotherapies; Liquid biopsy; Liver transplantation; Local ablation; Metabolomics; Methylation; Non-coding RNAs; Serological biomarkers; Surgical resection; TACE; Targeted therapies; Therapeutic option; Tissue biopsy; Tumor-derived vesicles&lt;/_keywords&gt;&lt;_number&gt;4045&lt;/_number&gt;&lt;_pages&gt;189&lt;/_pages&gt;&lt;_url&gt;http://www.ncbi.nlm.nih.gov/entrez/query.fcgi?cmd=Retrieve&amp;amp;db=pubmed&amp;amp;dopt=Abstract&amp;amp;list_uids=39242496&amp;amp;query_hl=1_x000d__x000a_DO - 10.1186/s12943-024-02101-z&lt;/_url&gt;&lt;_volume&gt;23&lt;/_volume&gt;&lt;_created&gt;66046014&lt;/_created&gt;&lt;_modified&gt;66046014&lt;/_modified&gt;&lt;_impact_factor&gt;  27.700&lt;/_impact_factor&gt;&lt;_social_category&gt;生化与分子生物学(1) &amp;amp; 肿瘤学(1)&lt;/_social_category&gt;&lt;_collection_scope&gt;SCIE&lt;/_collection_scope&gt;&lt;/Details&gt;&lt;Extra&gt;&lt;DBUID&gt;{86835755-9694-411B-A931-C461F6E7F109}&lt;/DBUID&gt;&lt;/Extra&gt;&lt;/Item&gt;&lt;/References&gt;&lt;/Group&gt;&lt;/Citation&gt;_x000a_"/>
    <w:docVar w:name="NE.Ref{621D6997-E693-4DF5-8F91-E3D997B1F212}" w:val=" ADDIN NE.Ref.{621D6997-E693-4DF5-8F91-E3D997B1F212}&lt;Citation&gt;&lt;Group&gt;&lt;References&gt;&lt;Item&gt;&lt;ID&gt;5314&lt;/ID&gt;&lt;UID&gt;{CDF5ED19-AFF7-4AE1-A6E5-E799F9F47A17}&lt;/UID&gt;&lt;Title&gt;Association Between Noninvasive Fibrosis Markers and Postoperative Mortality After Hepatectomy for Hepatocellular Carcinoma&lt;/Title&gt;&lt;Template&gt;Journal Article&lt;/Template&gt;&lt;Star&gt;0&lt;/Star&gt;&lt;Tag&gt;0&lt;/Tag&gt;&lt;Author&gt;Maegawa, Felipe B; Shehorn, Lauren; Aziz, Hassan; Kettelle, John; Jie, Tun; Riall, Taylor S&lt;/Author&gt;&lt;Year&gt;2019&lt;/Year&gt;&lt;Details&gt;&lt;_accessed&gt;66030700&lt;/_accessed&gt;&lt;_collection_scope&gt;SCIE&lt;/_collection_scope&gt;&lt;_created&gt;66030700&lt;/_created&gt;&lt;_date&gt;62612640&lt;/_date&gt;&lt;_db_updated&gt;CrossRef&lt;/_db_updated&gt;&lt;_doi&gt;10.1001/jamanetworkopen.2018.7142&lt;/_doi&gt;&lt;_impact_factor&gt;  10.500&lt;/_impact_factor&gt;&lt;_isbn&gt;2574-3805&lt;/_isbn&gt;&lt;_issue&gt;1&lt;/_issue&gt;&lt;_journal&gt;JAMA Network Open&lt;/_journal&gt;&lt;_modified&gt;66030700&lt;/_modified&gt;&lt;_pages&gt;e187142&lt;/_pages&gt;&lt;_social_category&gt;医学：内科(1)&lt;/_social_category&gt;&lt;_tertiary_title&gt;JAMA Netw Open&lt;/_tertiary_title&gt;&lt;_url&gt;http://jamanetworkopen.jamanetwork.com/article.aspx?doi=10.1001/jamanetworkopen.2018.7142_x000d__x000a_https://jamanetwork.com/journals/jamanetworkopen/fullarticle/2720918&lt;/_url&gt;&lt;_volume&gt;2&lt;/_volume&gt;&lt;/Details&gt;&lt;Extra&gt;&lt;DBUID&gt;{86835755-9694-411B-A931-C461F6E7F109}&lt;/DBUID&gt;&lt;/Extra&gt;&lt;/Item&gt;&lt;/References&gt;&lt;/Group&gt;&lt;Group&gt;&lt;References&gt;&lt;Item&gt;&lt;ID&gt;5336&lt;/ID&gt;&lt;UID&gt;{5A34F24A-C55D-45F4-B351-AC4E3D242511}&lt;/UID&gt;&lt;Title&gt;The FIB-4 Index Predicts the Development of Liver-Related Events, Extrahepatic  Cancers, and Coronary Vascular Disease in Patients with NAFLD&lt;/Title&gt;&lt;Template&gt;Journal Article&lt;/Template&gt;&lt;Star&gt;0&lt;/Star&gt;&lt;Tag&gt;0&lt;/Tag&gt;&lt;Author&gt;Kamada, Yoshihiro; Munekage, Kensuke; Nakahara, Takashi; Fujii, Hideki; Sawai, Yoshiyuki; Doi, Yoshinori; Hyogo, Hideyuki; Sumida, Yoshio; Imai, Yasuharu; Miyoshi, Eiji; Ono, Masafumi&lt;/Author&gt;&lt;Year&gt;2022&lt;/Year&gt;&lt;Details&gt;&lt;_author_adr&gt;Department of Advanced Metabolic Hepatology, Osaka University Graduate School of  Medicine, Suita 565-0871, Japan.; Department of Gastroenterology and Hepatology, Kochi Medical School, Nankoku  783-8505, Japan.; Department of Gastroenterology and Metabolism, Hiroshima University, Hiroshima  734-8553, Japan.; Department of Hepatology, Osaka Metropolitan University Graduate School of  Medicine, Osaka 545-8585, Japan.; Department of Gastroenterology, Ikeda Municipal Hospital, Ikeda 563-8510, Japan.; Department of Gastroenterology, Otemae Hospital, Osaka 540-0008, Japan.; Hyogo Life Care Clinic Hiroshima, 6-34-1, Enkobashi-cho, Minami-ku, Hiroshima  732-0823, Japan.; Department of Gastroenterology and Hepatology, JA Hiroshima General Hospital,  Hiroshima 738-8503, Japan.; Division of Hepatology and Pancreatology, Department of Internal Medicine, Aichi  Medical University, Yazako Karimata, Nagakute 411-1195, Japan.; Department of Gastroenterology, Ikeda Municipal Hospital, Ikeda 563-8510, Japan.; Department of Molecular Biochemistry &amp;amp; Clinical Investigation, Osaka University  Graduate School of Medicine, Suita 565-0871, Japan.; Division of Innovative Medicine for Hepatobiliary &amp;amp; Pancreatology, Faculty of  Medicine, Kagawa University, Takamatsu 761-0793, Japan.&lt;/_author_adr&gt;&lt;_date_display&gt;2022&lt;/_date_display&gt;&lt;_date&gt;2022-01-01&lt;/_date&gt;&lt;_isbn&gt;2072-6643 (Electronic); 2072-6643 (Linking)&lt;/_isbn&gt;&lt;_issue&gt;1&lt;/_issue&gt;&lt;_journal&gt;Nutrients&lt;/_journal&gt;&lt;_keywords&gt;biomarker; biopsy-confirmed NAFLD; major adverse cardiovascular events (MACEs); noninvasive test (NIT)&lt;/_keywords&gt;&lt;_number&gt;4037&lt;/_number&gt;&lt;_url&gt;http://www.ncbi.nlm.nih.gov/entrez/query.fcgi?cmd=Retrieve&amp;amp;db=pubmed&amp;amp;dopt=Abstract&amp;amp;list_uids=36615725&amp;amp;query_hl=1_x000d__x000a_DO - 10.3390/nu15010066&lt;/_url&gt;&lt;_volume&gt;15&lt;/_volume&gt;&lt;_created&gt;66046014&lt;/_created&gt;&lt;_modified&gt;66046014&lt;/_modified&gt;&lt;_impact_factor&gt;   4.800&lt;/_impact_factor&gt;&lt;_social_category&gt;营养学(2)&lt;/_social_category&gt;&lt;_collection_scope&gt;SCIE&lt;/_collection_scope&gt;&lt;/Details&gt;&lt;Extra&gt;&lt;DBUID&gt;{86835755-9694-411B-A931-C461F6E7F109}&lt;/DBUID&gt;&lt;/Extra&gt;&lt;/Item&gt;&lt;/References&gt;&lt;/Group&gt;&lt;/Citation&gt;_x000a_"/>
    <w:docVar w:name="NE.Ref{623F2636-6322-4500-98A8-FAF7F60014E8}" w:val=" ADDIN NE.Ref.{623F2636-6322-4500-98A8-FAF7F60014E8}&lt;Citation&gt;&lt;Group&gt;&lt;References&gt;&lt;Item&gt;&lt;ID&gt;5359&lt;/ID&gt;&lt;UID&gt;{BA07AB40-4A85-419E-9FA0-4FFB2C505A75}&lt;/UID&gt;&lt;Title&gt;Platelet-albumin-bilirubin versus albumin-bilirubin as a predictor of long-term  survival for hepatitis B-Induced hepatocellular carcinoma after hepatic  resection&lt;/Title&gt;&lt;Template&gt;Journal Article&lt;/Template&gt;&lt;Star&gt;0&lt;/Star&gt;&lt;Tag&gt;0&lt;/Tag&gt;&lt;Author&gt;Yang, Haojie; Shen, Shuang; Yang, Yuting; Zhou, Houping; Xiang, Bangde&lt;/Author&gt;&lt;Year&gt;2025&lt;/Year&gt;&lt;Details&gt;&lt;_accession_num&gt;40355826&lt;/_accession_num&gt;&lt;_author_adr&gt;Department of Hepatobiliary Surgery, Guangxi Medical University Cancer Hospital,  Nanning, Guangxi, 530021, China.; Department of Hepatobiliary Surgery, Changde Hospital (The First People&amp;apos;s  Hospital of Changde City), Xiangya School of Medicine, Central South University,  Changde, Hunan, 415000, China.; Department of Hepatobiliary Surgery, Guangxi Medical University Cancer Hospital,  Nanning, Guangxi, 530021, China.; Department of Oncology, Changde Hospital (The First People&amp;apos;s Hospital of Changde  City), Xiangya School of Medicine, Central South University, Changde, Hunan,  415000, China. yyt643607891@163.com.; Department of Hepatobiliary Surgery, Changde Hospital (The First People&amp;apos;s  Hospital of Changde City), Xiangya School of Medicine, Central South University,  Changde, Hunan, 415000, China. zhouhouping@126.com.; Department of Hepatobiliary Surgery, Guangxi Medical University Cancer Hospital,  Nanning, Guangxi, 530021, China. xiangbangde@gxmu.edu.cn.&lt;/_author_adr&gt;&lt;_date_display&gt;2025 May 12&lt;/_date_display&gt;&lt;_date&gt;2025-05-12&lt;/_date&gt;&lt;_doi&gt;10.1186/s12885-025-14240-7&lt;/_doi&gt;&lt;_isbn&gt;1471-2407 (Electronic); 1471-2407 (Linking)&lt;/_isbn&gt;&lt;_issue&gt;1&lt;/_issue&gt;&lt;_journal&gt;BMC Cancer&lt;/_journal&gt;&lt;_keywords&gt;ALBI; Hepatocellular carcinoma; Liver function; PALBI; Prognosis&lt;/_keywords&gt;&lt;_language&gt;eng&lt;/_language&gt;&lt;_ori_publication&gt;© 2025. The Author(s).&lt;/_ori_publication&gt;&lt;_pages&gt;855&lt;/_pages&gt;&lt;_subject_headings&gt;Humans; *Carcinoma, Hepatocellular/mortality/surgery/blood/virology; *Liver Neoplasms/surgery/mortality/blood/virology; Male; Female; *Bilirubin/blood; Middle Aged; Hepatectomy; Aged; Prognosis; *Hepatitis B/complications; Blood Platelets/metabolism; Adult; Retrospective Studies; *Serum Albumin/analysis; Serum Albumin, Human/analysis; ROC Curve&lt;/_subject_headings&gt;&lt;_tertiary_title&gt;BMC cancer&lt;/_tertiary_title&gt;&lt;_type_work&gt;Comparative Study; Journal Article&lt;/_type_work&gt;&lt;_url&gt;http://www.ncbi.nlm.nih.gov/entrez/query.fcgi?cmd=Retrieve&amp;amp;db=pubmed&amp;amp;dopt=Abstract&amp;amp;list_uids=40355826&amp;amp;query_hl=1&lt;/_url&gt;&lt;_volume&gt;25&lt;/_volume&gt;&lt;_created&gt;66049673&lt;/_created&gt;&lt;_modified&gt;66049673&lt;/_modified&gt;&lt;_impact_factor&gt;   3.400&lt;/_impact_factor&gt;&lt;_social_category&gt;肿瘤学(3)&lt;/_social_category&gt;&lt;_collection_scope&gt;SCIE&lt;/_collection_scope&gt;&lt;/Details&gt;&lt;Extra&gt;&lt;DBUID&gt;{86835755-9694-411B-A931-C461F6E7F109}&lt;/DBUID&gt;&lt;/Extra&gt;&lt;/Item&gt;&lt;/References&gt;&lt;/Group&gt;&lt;/Citation&gt;_x000a_"/>
    <w:docVar w:name="NE.Ref{6933F14C-C304-40DF-86E0-64B17509E719}" w:val=" ADDIN NE.Ref.{6933F14C-C304-40DF-86E0-64B17509E719}&lt;Citation&gt;&lt;Group&gt;&lt;References&gt;&lt;Item&gt;&lt;ID&gt;4041&lt;/ID&gt;&lt;UID&gt;{3D0FA5CB-2FB4-48D1-829E-F0717B444999}&lt;/UID&gt;&lt;Title&gt;Global cancer statistics 2022: GLOBOCAN estimates of incidence and mortality  worldwide for 36 cancers in 185 countries&lt;/Title&gt;&lt;Template&gt;Journal Article&lt;/Template&gt;&lt;Star&gt;0&lt;/Star&gt;&lt;Tag&gt;0&lt;/Tag&gt;&lt;Author&gt;Bray, Freddie; Laversanne, Mathieu; Sung, Hyuna; Ferlay, Jacques; Siegel, Rebecca L; Soerjomataram, Isabelle; Jemal, Ahmedin&lt;/Author&gt;&lt;Year&gt;2024&lt;/Year&gt;&lt;Details&gt;&lt;_accession_num&gt;38572751&lt;/_accession_num&gt;&lt;_author_adr&gt;Cancer Surveillance Branch, International Agency for Research on Cancer, Lyon,  France.; Cancer Surveillance Branch, International Agency for Research on Cancer, Lyon,  France.; Surveillance and Health Equity Science, American Cancer Society, Atlanta,  Georgia, USA.; Cancer Surveillance Branch, International Agency for Research on Cancer, Lyon,  France.; Surveillance and Health Equity Science, American Cancer Society, Atlanta,  Georgia, USA.; Cancer Surveillance Branch, International Agency for Research on Cancer, Lyon,  France.; Surveillance and Health Equity Science, American Cancer Society, Atlanta,  Georgia, USA.&lt;/_author_adr&gt;&lt;_date_display&gt;2024 May-Jun&lt;/_date_display&gt;&lt;_date&gt;2024-05-01&lt;/_date&gt;&lt;_doi&gt;10.3322/caac.21834&lt;/_doi&gt;&lt;_isbn&gt;1542-4863 (Electronic); 0007-9235 (Linking)&lt;/_isbn&gt;&lt;_issue&gt;3&lt;/_issue&gt;&lt;_journal&gt;CA Cancer J Clin&lt;/_journal&gt;&lt;_keywords&gt;cancer burden; cancer control; epidemiology; incidence; mortality&lt;/_keywords&gt;&lt;_language&gt;eng&lt;/_language&gt;&lt;_ori_publication&gt;© 2024 The Authors. CA: A Cancer Journal for Clinicians published by Wiley _x000d__x000a_      Periodicals LLC on behalf of American Cancer Society.&lt;/_ori_publication&gt;&lt;_pages&gt;229-263&lt;/_pages&gt;&lt;_subject_headings&gt;Humans; *Neoplasms/epidemiology/mortality; Male; Female; Incidence; *Global Health/statistics &amp;amp; numerical data; Adult; Middle Aged; Aged; Child; Adolescent; Child, Preschool; Infant; Young Adult; Sex Distribution; Infant, Newborn; Aged, 80 and over&lt;/_subject_headings&gt;&lt;_tertiary_title&gt;CA: a cancer journal for clinicians&lt;/_tertiary_title&gt;&lt;_type_work&gt;Journal Article; Research Support, Non-U.S. Gov&amp;apos;t&lt;/_type_work&gt;&lt;_url&gt;http://www.ncbi.nlm.nih.gov/entrez/query.fcgi?cmd=Retrieve&amp;amp;db=pubmed&amp;amp;dopt=Abstract&amp;amp;list_uids=38572751&amp;amp;query_hl=1&lt;/_url&gt;&lt;_volume&gt;74&lt;/_volume&gt;&lt;_created&gt;65956837&lt;/_created&gt;&lt;_modified&gt;65956837&lt;/_modified&gt;&lt;_impact_factor&gt; 521.600&lt;/_impact_factor&gt;&lt;_social_category&gt;肿瘤学(1)&lt;/_social_category&gt;&lt;_collection_scope&gt;SCIE&lt;/_collection_scope&gt;&lt;/Details&gt;&lt;Extra&gt;&lt;DBUID&gt;{58B27DCE-DEB8-4BEF-8139-AC677AF90E97}&lt;/DBUID&gt;&lt;/Extra&gt;&lt;/Item&gt;&lt;/References&gt;&lt;/Group&gt;&lt;/Citation&gt;_x000a_"/>
    <w:docVar w:name="NE.Ref{6973A7C0-F790-4CCE-9287-C880DA035441}" w:val=" ADDIN NE.Ref.{6973A7C0-F790-4CCE-9287-C880DA035441}&lt;Citation&gt;&lt;Group&gt;&lt;References&gt;&lt;Item&gt;&lt;ID&gt;4090&lt;/ID&gt;&lt;UID&gt;{999E371A-116A-4930-89F2-FD490CC82716}&lt;/UID&gt;&lt;Title&gt;Prognostic Significance of Hemoglobin, Albumin, Lymphocyte and Platelet (HALP) Score in Hepatocellular Carcinoma&lt;/Title&gt;&lt;Template&gt;Journal Article&lt;/Template&gt;&lt;Star&gt;0&lt;/Star&gt;&lt;Tag&gt;0&lt;/Tag&gt;&lt;Author&gt;Zhou, Jing; Yang, Daofeng&lt;/Author&gt;&lt;Year&gt;2023&lt;/Year&gt;&lt;Details&gt;&lt;_created&gt;65959827&lt;/_created&gt;&lt;_modified&gt;65959828&lt;/_modified&gt;&lt;_url&gt;http://www.ncbi.nlm.nih.gov/entrez/query.fcgi?cmd=Retrieve&amp;amp;db=pubmed&amp;amp;dopt=Abstract&amp;amp;list_uids=37288141&amp;amp;query_hl=1&lt;/_url&gt;&lt;_journal&gt;J Hepatocell Carcinoma&lt;/_journal&gt;&lt;_volume&gt;10&lt;/_volume&gt;&lt;_pages&gt;821-831&lt;/_pages&gt;&lt;_tertiary_title&gt;Journal of hepatocellular carcinoma&lt;/_tertiary_title&gt;&lt;_doi&gt;10.2147/JHC.S411521&lt;/_doi&gt;&lt;_date_display&gt;2023&lt;/_date_display&gt;&lt;_date&gt;64719360&lt;/_date&gt;&lt;_type_work&gt;Journal Article&lt;/_type_work&gt;&lt;_isbn&gt;2253-5969 (Print); 2253-5969 (Electronic); 2253-5969 (Linking)&lt;/_isbn&gt;&lt;_ori_publication&gt;(c) 2023 Zhou and Yang.&lt;/_ori_publication&gt;&lt;_accession_num&gt;37288141&lt;/_accession_num&gt;&lt;_keywords&gt;HALP score; hepatocellular carcinoma; prognostic marker; surgical resection; survival&lt;/_keywords&gt;&lt;_author_adr&gt;Department of Infectious Diseases, Tongji Hospital, Tongji Medical College,  Huazhong University of Science and Technology, Wuhan, People&amp;apos;s Republic of China.; Department of Infectious Diseases, Tongji Hospital, Tongji Medical College,  Huazhong University of Science and Technology, Wuhan, People&amp;apos;s Republic of China.&lt;/_author_adr&gt;&lt;_language&gt;eng&lt;/_language&gt;&lt;_accessed&gt;65959828&lt;/_accessed&gt;&lt;_db_updated&gt;PubMed&lt;/_db_updated&gt;&lt;_impact_factor&gt;   4.200&lt;/_impact_factor&gt;&lt;_social_category&gt;肿瘤学(3)&lt;/_social_category&gt;&lt;_collection_scope&gt;SCIE&lt;/_collection_scope&gt;&lt;/Details&gt;&lt;Extra&gt;&lt;DBUID&gt;{71F5A07F-C576-45F1-8003-BAC77916F2D7}&lt;/DBUID&gt;&lt;/Extra&gt;&lt;/Item&gt;&lt;/References&gt;&lt;/Group&gt;&lt;Group&gt;&lt;References&gt;&lt;Item&gt;&lt;ID&gt;4060&lt;/ID&gt;&lt;UID&gt;{42DD05A3-20C3-418C-86D2-DBF44A426646}&lt;/UID&gt;&lt;Title&gt;Fibrosis-4 index, a predictor for prognosis of hepatocellular carcinoma patients after curative hepatectomy even in hepatitis B virus dominant populations&lt;/Title&gt;&lt;Template&gt;Journal Article&lt;/Template&gt;&lt;Star&gt;0&lt;/Star&gt;&lt;Tag&gt;0&lt;/Tag&gt;&lt;Author&gt;Yun, Sang Oh; Kim, Jong Man; Rhu, Jinsoo; Choi, Gyu-Seong; Joh, Jae-Won&lt;/Author&gt;&lt;Year&gt;2023&lt;/Year&gt;&lt;Details&gt;&lt;_doi&gt;10.4174/astr.2023.104.4.195&lt;/_doi&gt;&lt;_created&gt;65956842&lt;/_created&gt;&lt;_modified&gt;65956843&lt;/_modified&gt;&lt;_url&gt;https://astr.or.kr/DOIx.php?id=10.4174/astr.2023.104.4.195_x000d__x000a_https://astr.or.kr/DOIx.php?id=10.4174/astr.2023.104.4.195&lt;/_url&gt;&lt;_journal&gt;Annals of Surgical Treatment and Research&lt;/_journal&gt;&lt;_volume&gt;104&lt;/_volume&gt;&lt;_issue&gt;4&lt;/_issue&gt;&lt;_pages&gt;195&lt;/_pages&gt;&lt;_tertiary_title&gt;Ann Surg Treat Res&lt;/_tertiary_title&gt;&lt;_isbn&gt;2288-6575&lt;/_isbn&gt;&lt;_accessed&gt;65956843&lt;/_accessed&gt;&lt;_db_updated&gt;CrossRef&lt;/_db_updated&gt;&lt;_impact_factor&gt;   1.200&lt;/_impact_factor&gt;&lt;_social_category&gt;外科(4)&lt;/_social_category&gt;&lt;_collection_scope&gt;SCIE&lt;/_collection_scope&gt;&lt;/Details&gt;&lt;Extra&gt;&lt;DBUID&gt;{58B27DCE-DEB8-4BEF-8139-AC677AF90E97}&lt;/DBUID&gt;&lt;/Extra&gt;&lt;/Item&gt;&lt;/References&gt;&lt;/Group&gt;&lt;/Citation&gt;_x000a_"/>
    <w:docVar w:name="NE.Ref{69AD527D-D815-49DD-85F3-EAE3B9F16F16}" w:val=" ADDIN NE.Ref.{69AD527D-D815-49DD-85F3-EAE3B9F16F16}&lt;Citation&gt;&lt;Group&gt;&lt;References&gt;&lt;Item&gt;&lt;ID&gt;5328&lt;/ID&gt;&lt;UID&gt;{0342849C-29E1-4D62-A99E-982BB49E149F}&lt;/UID&gt;&lt;Title&gt;Progress and prospects of elastography techniques in the evaluation of fibrosis  in chronic liver disease&lt;/Title&gt;&lt;Template&gt;Journal Article&lt;/Template&gt;&lt;Star&gt;0&lt;/Star&gt;&lt;Tag&gt;0&lt;/Tag&gt;&lt;Author&gt;Wang, Yang; Yang, Xiaohuan; Wang, Sisi&lt;/Author&gt;&lt;Year&gt;2024&lt;/Year&gt;&lt;Details&gt;&lt;_author_adr&gt;Department of Ultrasound, Shandong Public Health Clinical Center, Jinan,  Shandong, China.; Department of Ultrasound, Central Hospital Affiliated To Shandong First Medical  University, Jinan, Shandong, China.; Department of Ultrasound, Shandong Public Health Clinical Center, Jinan,  Shandong, China.&lt;/_author_adr&gt;&lt;_date_display&gt;2024&lt;/_date_display&gt;&lt;_date&gt;2024-01-01&lt;/_date&gt;&lt;_isbn&gt;1734-1922 (Print); 1896-9151 (Electronic); 1734-1922 (Linking)&lt;/_isbn&gt;&lt;_issue&gt;6&lt;/_issue&gt;&lt;_journal&gt;Arch Med Sci&lt;/_journal&gt;&lt;_keywords&gt;biomarkers; chronic liver disease; elastography; fibrosis&lt;/_keywords&gt;&lt;_number&gt;4046&lt;/_number&gt;&lt;_pages&gt;1784-1792&lt;/_pages&gt;&lt;_url&gt;http://www.ncbi.nlm.nih.gov/entrez/query.fcgi?cmd=Retrieve&amp;amp;db=pubmed&amp;amp;dopt=Abstract&amp;amp;list_uids=39967950&amp;amp;query_hl=1_x000d__x000a_DO - 10.5114/aoms/187079&lt;/_url&gt;&lt;_volume&gt;20&lt;/_volume&gt;&lt;_created&gt;66046014&lt;/_created&gt;&lt;_modified&gt;66046014&lt;/_modified&gt;&lt;_impact_factor&gt;   3.000&lt;/_impact_factor&gt;&lt;_social_category&gt;医学：内科(3)&lt;/_social_category&gt;&lt;_collection_scope&gt;SCIE&lt;/_collection_scope&gt;&lt;/Details&gt;&lt;Extra&gt;&lt;DBUID&gt;{86835755-9694-411B-A931-C461F6E7F109}&lt;/DBUID&gt;&lt;/Extra&gt;&lt;/Item&gt;&lt;/References&gt;&lt;/Group&gt;&lt;/Citation&gt;_x000a_"/>
    <w:docVar w:name="NE.Ref{69DFE37A-7721-498F-A8D9-84B03EB6F3E5}" w:val=" ADDIN NE.Ref.{69DFE37A-7721-498F-A8D9-84B03EB6F3E5}&lt;Citation&gt;&lt;Group&gt;&lt;References&gt;&lt;Item&gt;&lt;ID&gt;4052&lt;/ID&gt;&lt;UID&gt;{E97D1C32-A66B-44AD-B673-F3FA33692624}&lt;/UID&gt;&lt;Title&gt;Association Between Noninvasive Fibrosis Markers and Postoperative Mortality After Hepatectomy for Hepatocellular Carcinoma&lt;/Title&gt;&lt;Template&gt;Journal Article&lt;/Template&gt;&lt;Star&gt;0&lt;/Star&gt;&lt;Tag&gt;0&lt;/Tag&gt;&lt;Author&gt;Maegawa, Felipe B; Shehorn, Lauren; Aziz, Hassan; Kettelle, John; Jie, Tun; Riall, Taylor S&lt;/Author&gt;&lt;Year&gt;2019&lt;/Year&gt;&lt;Details&gt;&lt;_doi&gt;10.1001/jamanetworkopen.2018.7142&lt;/_doi&gt;&lt;_created&gt;65956842&lt;/_created&gt;&lt;_modified&gt;65956842&lt;/_modified&gt;&lt;_url&gt;http://jamanetworkopen.jamanetwork.com/article.aspx?doi=10.1001/jamanetworkopen.2018.7142_x000d__x000a_https://jamanetwork.com/journals/jamanetworkopen/fullarticle/2720918&lt;/_url&gt;&lt;_journal&gt;JAMA Network Open&lt;/_journal&gt;&lt;_volume&gt;2&lt;/_volume&gt;&lt;_issue&gt;1&lt;/_issue&gt;&lt;_pages&gt;e187142&lt;/_pages&gt;&lt;_tertiary_title&gt;JAMA Netw Open&lt;/_tertiary_title&gt;&lt;_date&gt;62612640&lt;/_date&gt;&lt;_isbn&gt;2574-3805&lt;/_isbn&gt;&lt;_accessed&gt;65956842&lt;/_accessed&gt;&lt;_db_updated&gt;CrossRef&lt;/_db_updated&gt;&lt;_impact_factor&gt;  10.500&lt;/_impact_factor&gt;&lt;_social_category&gt;医学：内科(1)&lt;/_social_category&gt;&lt;_collection_scope&gt;SCIE&lt;/_collection_scope&gt;&lt;/Details&gt;&lt;Extra&gt;&lt;DBUID&gt;{58B27DCE-DEB8-4BEF-8139-AC677AF90E97}&lt;/DBUID&gt;&lt;/Extra&gt;&lt;/Item&gt;&lt;/References&gt;&lt;/Group&gt;&lt;/Citation&gt;_x000a_"/>
    <w:docVar w:name="NE.Ref{6B2191A0-20C6-4541-8F65-AFE1B5AC9BB8}" w:val=" ADDIN NE.Ref.{6B2191A0-20C6-4541-8F65-AFE1B5AC9BB8}&lt;Citation&gt;&lt;Group&gt;&lt;References&gt;&lt;Item&gt;&lt;ID&gt;5354&lt;/ID&gt;&lt;UID&gt;{9863D96B-A477-4564-86AD-96E957AEDBEF}&lt;/UID&gt;&lt;Title&gt;Development of a simple noninvasive index to predict significant fibrosis in patients with HIV/HCV coinfection&lt;/Title&gt;&lt;Template&gt;Journal Article&lt;/Template&gt;&lt;Star&gt;0&lt;/Star&gt;&lt;Tag&gt;0&lt;/Tag&gt;&lt;Author&gt;Sterling, Richard K; Lissen, Eduardo; Clumeck, Nathan; Sola, Ricard; Correa, Mendes Cassia; Montaner, Julio; S Sulkowski, Mark; Torriani, Francesca J; Dieterich, Doug T; Thomas, David L; Messinger, Diethelm; Nelson, Mark&lt;/Author&gt;&lt;Year&gt;2006&lt;/Year&gt;&lt;Details&gt;&lt;_author_adr&gt;Section of Hepatology, Virginia Commonwealth University Health System, Richmond,  VA 23298-0341, USA. rksterli@hsc.vcu.edu&lt;/_author_adr&gt;&lt;_date_display&gt;2006&lt;/_date_display&gt;&lt;_date&gt;2006-01-01&lt;/_date&gt;&lt;_isbn&gt;0270-9139 (Print); 0270-9139 (Linking)&lt;/_isbn&gt;&lt;_issue&gt;6&lt;/_issue&gt;&lt;_journal&gt;Hepatology&lt;/_journal&gt;&lt;_number&gt;4047&lt;/_number&gt;&lt;_pages&gt;1317-25&lt;/_pages&gt;&lt;_url&gt;http://www.ncbi.nlm.nih.gov/entrez/query.fcgi?cmd=Retrieve&amp;amp;db=pubmed&amp;amp;dopt=Abstract&amp;amp;list_uids=16729309&amp;amp;query_hl=1_x000d__x000a_DO - 10.1002/hep.21178&lt;/_url&gt;&lt;_volume&gt;43&lt;/_volume&gt;&lt;_created&gt;66046014&lt;/_created&gt;&lt;_modified&gt;66046014&lt;/_modified&gt;&lt;_impact_factor&gt;  13.000&lt;/_impact_factor&gt;&lt;_social_category&gt;胃肠肝病学(1)&lt;/_social_category&gt;&lt;_collection_scope&gt;SCIE&lt;/_collection_scope&gt;&lt;/Details&gt;&lt;Extra&gt;&lt;DBUID&gt;{86835755-9694-411B-A931-C461F6E7F109}&lt;/DBUID&gt;&lt;/Extra&gt;&lt;/Item&gt;&lt;/References&gt;&lt;/Group&gt;&lt;/Citation&gt;_x000a_"/>
    <w:docVar w:name="NE.Ref{6F69811D-35A7-4A0F-85D1-5AC31DA01DDA}" w:val=" ADDIN NE.Ref.{6F69811D-35A7-4A0F-85D1-5AC31DA01DDA}&lt;Citation&gt;&lt;Group&gt;&lt;References&gt;&lt;Item&gt;&lt;ID&gt;5802&lt;/ID&gt;&lt;UID&gt;{D2E03DA9-F41B-4E5B-9A11-45E3E0FE8031}&lt;/UID&gt;&lt;Title&gt;Predicting Survival After Hepatocellular Carcinoma Resection Using Deep Learning  on Histological Slides&lt;/Title&gt;&lt;Template&gt;Journal Article&lt;/Template&gt;&lt;Star&gt;0&lt;/Star&gt;&lt;Tag&gt;0&lt;/Tag&gt;&lt;Author&gt;Saillard, Charlie; Schmauch, Benoit; Laifa, Oumeima; Moarii, Matahi; Toldo, Sylvain; Zaslavskiy, Mikhail; Pronier, Elodie; Laurent, Alexis; Amaddeo, Giuliana; Regnault, Hélène; Sommacale, Daniele; Ziol, Marianne; Pawlotsky, Jean-Michel; Mulé, Sébastien; Luciani, Alain; Wainrib, Gilles; Clozel, Thomas; Courtiol, Pierre; Calderaro, Julien&lt;/Author&gt;&lt;Year&gt;2020&lt;/Year&gt;&lt;Details&gt;&lt;_accession_num&gt;32108950&lt;/_accession_num&gt;&lt;_author_adr&gt;Owkin Lab, Owkin, Paris, France.; Owkin Lab, Owkin, Paris, France.; Owkin Lab, Owkin, Paris, France.; Owkin Lab, Owkin, Paris, France.; Owkin Lab, Owkin, Paris, France.; Owkin Lab, Owkin, Paris, France.; Owkin Lab, Owkin, Paris, France.; Assistance Publique-Hôpitaux de Paris, Department of Hepatobiliary and Digestive  Surgery, Henri Mondor Hospital, Créteil, France.; Paris Est Créteil University, UPEC, Créteil, France.; Paris Est Créteil University, UPEC, Créteil, France.; INSERM U955, Team &amp;quot;Pathophysiology and Therapy of Chronic Viral Hepatitis and  Related Cancers&amp;quot;, Créteil, France.; Assistance Publique-Hôpitaux de Paris, Department of Hepatology, Henri Mondor  Hospital, Créteil, France.; Assistance Publique-Hôpitaux de Paris, Department of Hepatology, Henri Mondor  Hospital, Créteil, France.; Assistance Publique-Hôpitaux de Paris, Department of Hepatobiliary and Digestive  Surgery, Henri Mondor Hospital, Créteil, France.; Paris Est Créteil University, UPEC, Créteil, France.; INSERM U955, Team &amp;quot;Pathophysiology and Therapy of Chronic Viral Hepatitis and  Related Cancers&amp;quot;, Créteil, France.; Assistance Publique-Hôpitaux de Paris, Department of Pathology, Jean Verdier  Hospital, Bondy, France.; Functional Genomics of Solid Tumors, INSERM-1162, Paris 13 University, Paris,  France.; Paris Est Créteil University, UPEC, Créteil, France.; INSERM U955, Team &amp;quot;Pathophysiology and Therapy of Chronic Viral Hepatitis and  Related Cancers&amp;quot;, Créteil, France.; National Reference Center for Viral Hepatitis B, C and Delta, Department of  Virology, Henri Mondor Hospital, Créteil, France.; Paris Est Créteil University, UPEC, Créteil, France.; INSERM U955, Team &amp;quot;Pathophysiology and Therapy of Chronic Viral Hepatitis and  Related Cancers&amp;quot;, Créteil, France.; Assistance Publique-Hôpitaux de Paris, Department of Medical Imaging, Henri  Mondor Hospital, Créteil, France.; Paris Est Créteil University, UPEC, Créteil, France.; INSERM U955, Team &amp;quot;Pathophysiology and Therapy of Chronic Viral Hepatitis and  Related Cancers&amp;quot;, Créteil, France.; Assistance Publique-Hôpitaux de Paris, Department of Medical Imaging, Henri  Mondor Hospital, Créteil, France.; Owkin Lab, Owkin, Paris, France.; Owkin Lab, Owkin, Paris, France.; Owkin Lab, Owkin, Paris, France.; Paris Est Créteil University, UPEC, Créteil, France.; INSERM U955, Team &amp;quot;Pathophysiology and Therapy of Chronic Viral Hepatitis and  Related Cancers&amp;quot;, Créteil, France.; Assistance Publique-Hôpitaux de Paris, Department of Pathology, Henri Mondor  Hospital, Créteil, France.&lt;/_author_adr&gt;&lt;_date_display&gt;2020 Dec&lt;/_date_display&gt;&lt;_date&gt;2020-12-01&lt;/_date&gt;&lt;_doi&gt;10.1002/hep.31207&lt;/_doi&gt;&lt;_isbn&gt;1527-3350 (Electronic); 0270-9139 (Linking)&lt;/_isbn&gt;&lt;_issue&gt;6&lt;/_issue&gt;&lt;_journal&gt;Hepatology&lt;/_journal&gt;&lt;_language&gt;eng&lt;/_language&gt;&lt;_ori_publication&gt;© 2020 by the American Association for the Study of Liver Diseases.&lt;/_ori_publication&gt;&lt;_pages&gt;2000-2013&lt;/_pages&gt;&lt;_subject_headings&gt;Aged; Carcinoma, Hepatocellular/*mortality/pathology/surgery; *Deep Learning; Feasibility Studies; Female; Follow-Up Studies; Hepatectomy/*methods; Humans; Liver/pathology/surgery; Liver Neoplasms/*mortality/pathology/surgery; Male; Middle Aged; Prognosis; Risk Assessment/methods; Survival Analysis; Treatment Outcome&lt;/_subject_headings&gt;&lt;_tertiary_title&gt;Hepatology (Baltimore, Md.)&lt;/_tertiary_title&gt;&lt;_type_work&gt;Journal Article; Validation Study&lt;/_type_work&gt;&lt;_url&gt;http://www.ncbi.nlm.nih.gov/entrez/query.fcgi?cmd=Retrieve&amp;amp;db=pubmed&amp;amp;dopt=Abstract&amp;amp;list_uids=32108950&amp;amp;query_hl=1&lt;/_url&gt;&lt;_volume&gt;72&lt;/_volume&gt;&lt;_created&gt;66468234&lt;/_created&gt;&lt;_modified&gt;66468234&lt;/_modified&gt;&lt;_impact_factor&gt;  15.800&lt;/_impact_factor&gt;&lt;_social_category&gt;胃肠肝病学(1)&lt;/_social_category&gt;&lt;_collection_scope&gt;SCIE&lt;/_collection_scope&gt;&lt;/Details&gt;&lt;Extra&gt;&lt;DBUID&gt;{86835755-9694-411B-A931-C461F6E7F109}&lt;/DBUID&gt;&lt;/Extra&gt;&lt;/Item&gt;&lt;/References&gt;&lt;/Group&gt;&lt;/Citation&gt;_x000a_"/>
    <w:docVar w:name="NE.Ref{714B133A-EAB0-4CFB-9CA9-0FB780A9F7EB}" w:val=" ADDIN NE.Ref.{714B133A-EAB0-4CFB-9CA9-0FB780A9F7EB}&lt;Citation&gt;&lt;Group&gt;&lt;References&gt;&lt;Item&gt;&lt;ID&gt;5349&lt;/ID&gt;&lt;UID&gt;{90C35E1E-0113-4F0E-BF36-F152FC09F31A}&lt;/UID&gt;&lt;Title&gt;Fibrosis-4 Model Influences Results of Patients with Hepatocellular Carcinoma  Undergoing Hepatectomy&lt;/Title&gt;&lt;Template&gt;Journal Article&lt;/Template&gt;&lt;Star&gt;0&lt;/Star&gt;&lt;Tag&gt;0&lt;/Tag&gt;&lt;Author&gt;Wang, Haiqing; Liu, Aixiang; Bo, Wentao; Feng, Xielin; Hu, Yong; Tian, Lang; Zhang, Hui; Tang, Xiaoli; Zhang, Lixia&lt;/Author&gt;&lt;Year&gt;2018&lt;/Year&gt;&lt;Details&gt;&lt;_author_adr&gt;Department of Hepato-Biliary-Pancreatic Surgery, Sichuan Cancer Hospital &amp;amp;  Institute, Sichuan Cancer Center, School of Medicine, University of Electronic  Science and Technology of China, Chengdu, China.; Department of Hepato-Biliary-Pancreatic Surgery, Sichuan Cancer Hospital &amp;amp;  Institute, Sichuan Cancer Center, School of Medicine, University of Electronic  Science and Technology of China, Chengdu, China.; Department of Hepato-Biliary-Pancreatic Surgery, Sichuan Cancer Hospital &amp;amp;  Institute, Sichuan Cancer Center, School of Medicine, University of Electronic  Science and Technology of China, Chengdu, China.; Department of Hepato-Biliary-Pancreatic Surgery, Sichuan Cancer Hospital &amp;amp;  Institute, Sichuan Cancer Center, School of Medicine, University of Electronic  Science and Technology of China, Chengdu, China.; Department of Hepato-Biliary-Pancreatic Surgery, Sichuan Cancer Hospital &amp;amp;  Institute, Sichuan Cancer Center, School of Medicine, University of Electronic  Science and Technology of China, Chengdu, China.; Department of Hepato-Biliary-Pancreatic Surgery, Sichuan Cancer Hospital &amp;amp;  Institute, Sichuan Cancer Center, School of Medicine, University of Electronic  Science and Technology of China, Chengdu, China.; Department of Hepato-Biliary-Pancreatic Surgery, Sichuan Cancer Hospital &amp;amp;  Institute, Sichuan Cancer Center, School of Medicine, University of Electronic  Science and Technology of China, Chengdu, China.; Department of Hepato-Biliary-Pancreatic Surgery, Sichuan Cancer Hospital &amp;amp;  Institute, Sichuan Cancer Center, School of Medicine, University of Electronic  Science and Technology of China, Chengdu, China.; Department of Hepato-Biliary-Pancreatic Surgery, Sichuan Cancer Hospital &amp;amp;  Institute, Sichuan Cancer Center, School of Medicine, University of Electronic  Science and Technology of China, Chengdu, China.&lt;/_author_adr&gt;&lt;_date_display&gt;2018&lt;/_date_display&gt;&lt;_date&gt;2018-01-01&lt;/_date&gt;&lt;_isbn&gt;2314-6141 (Electronic); 2314-6133 (Print)&lt;/_isbn&gt;&lt;_journal&gt;Biomed Res Int&lt;/_journal&gt;&lt;_number&gt;4089&lt;/_number&gt;&lt;_pages&gt;4305408&lt;/_pages&gt;&lt;_url&gt;http://www.ncbi.nlm.nih.gov/entrez/query.fcgi?cmd=Retrieve&amp;amp;db=pubmed&amp;amp;dopt=Abstract&amp;amp;list_uids=30057907&amp;amp;query_hl=1_x000d__x000a_DO - 10.1155/2018/4305408&lt;/_url&gt;&lt;_volume&gt;2018&lt;/_volume&gt;&lt;_created&gt;66046014&lt;/_created&gt;&lt;_modified&gt;66046014&lt;/_modified&gt;&lt;_impact_factor&gt;   2.600&lt;/_impact_factor&gt;&lt;_collection_scope&gt;SCIE&lt;/_collection_scope&gt;&lt;/Details&gt;&lt;Extra&gt;&lt;DBUID&gt;{86835755-9694-411B-A931-C461F6E7F109}&lt;/DBUID&gt;&lt;/Extra&gt;&lt;/Item&gt;&lt;/References&gt;&lt;/Group&gt;&lt;/Citation&gt;_x000a_"/>
    <w:docVar w:name="NE.Ref{716230D1-6F03-43B2-991A-FC48EDF6461A}" w:val=" ADDIN NE.Ref.{716230D1-6F03-43B2-991A-FC48EDF6461A}&lt;Citation&gt;&lt;Group&gt;&lt;References&gt;&lt;Item&gt;&lt;ID&gt;5350&lt;/ID&gt;&lt;UID&gt;{9D8BBE8F-B1F7-470A-A0E4-92A45328317E}&lt;/UID&gt;&lt;Title&gt;The FIB-4 score predicts postoperative short-term outcomes of hepatocellular  carcinoma fulfilling the milan criteria&lt;/Title&gt;&lt;Template&gt;Journal Article&lt;/Template&gt;&lt;Star&gt;0&lt;/Star&gt;&lt;Tag&gt;0&lt;/Tag&gt;&lt;Author&gt;Dong, J; Xu, X-h; Ke, M-y; Xiang, J-x; Liu, W-y; Liu, X-m; Wang, B; Zhang, X-f; Lv, Y&lt;/Author&gt;&lt;Year&gt;2016&lt;/Year&gt;&lt;Details&gt;&lt;_author_adr&gt;Department of Hepatobiliary Surgery, First Affiliated Hospital of Medical  College, Xi&amp;apos;an Jiaotong University, 277 West Yanta Road, Xi&amp;apos;an 710061, Shaanxi  Province, China; Research Institute of Advanced Surgical Techniques and  Engineering, Xi&amp;apos;an Jiaotong University, Xi&amp;apos;an, China.; Department of Hepatobiliary Surgery, First Affiliated Hospital of Medical  College, Xi&amp;apos;an Jiaotong University, 277 West Yanta Road, Xi&amp;apos;an 710061, Shaanxi  Province, China; Research Institute of Advanced Surgical Techniques and  Engineering, Xi&amp;apos;an Jiaotong University, Xi&amp;apos;an, China.; Department of Hepatobiliary Surgery, First Affiliated Hospital of Medical  College, Xi&amp;apos;an Jiaotong University, 277 West Yanta Road, Xi&amp;apos;an 710061, Shaanxi  Province, China; Research Institute of Advanced Surgical Techniques and  Engineering, Xi&amp;apos;an Jiaotong University, Xi&amp;apos;an, China.; Department of Hepatobiliary Surgery, First Affiliated Hospital of Medical  College, Xi&amp;apos;an Jiaotong University, 277 West Yanta Road, Xi&amp;apos;an 710061, Shaanxi  Province, China; Research Institute of Advanced Surgical Techniques and  Engineering, Xi&amp;apos;an Jiaotong University, Xi&amp;apos;an, China.; Department of Hepatobiliary Surgery, First Affiliated Hospital of Medical  College, Xi&amp;apos;an Jiaotong University, 277 West Yanta Road, Xi&amp;apos;an 710061, Shaanxi  Province, China; Research Institute of Advanced Surgical Techniques and  Engineering, Xi&amp;apos;an Jiaotong University, Xi&amp;apos;an, China.; Department of Hepatobiliary Surgery, First Affiliated Hospital of Medical  College, Xi&amp;apos;an Jiaotong University, 277 West Yanta Road, Xi&amp;apos;an 710061, Shaanxi  Province, China; Research Institute of Advanced Surgical Techniques and  Engineering, Xi&amp;apos;an Jiaotong University, Xi&amp;apos;an, China.; Department of Hepatobiliary Surgery, First Affiliated Hospital of Medical  College, Xi&amp;apos;an Jiaotong University, 277 West Yanta Road, Xi&amp;apos;an 710061, Shaanxi  Province, China; Research Institute of Advanced Surgical Techniques and  Engineering, Xi&amp;apos;an Jiaotong University, Xi&amp;apos;an, China.; Department of Hepatobiliary Surgery, First Affiliated Hospital of Medical  College, Xi&amp;apos;an Jiaotong University, 277 West Yanta Road, Xi&amp;apos;an 710061, Shaanxi  Province, China; Research Institute of Advanced Surgical Techniques and  Engineering, Xi&amp;apos;an Jiaotong University, Xi&amp;apos;an, China.; Department of Hepatobiliary Surgery, First Affiliated Hospital of Medical  College, Xi&amp;apos;an Jiaotong University, 277 West Yanta Road, Xi&amp;apos;an 710061, Shaanxi  Province, China; Research Institute of Advanced Surgical Techniques and  Engineering, Xi&amp;apos;an Jiaotong University, Xi&amp;apos;an, China. Electronic address:  Luyi169@126.com.&lt;/_author_adr&gt;&lt;_date_display&gt;2016&lt;/_date_display&gt;&lt;_date&gt;2016-01-01&lt;/_date&gt;&lt;_isbn&gt;1532-2157 (Electronic); 0748-7983 (Linking)&lt;/_isbn&gt;&lt;_issue&gt;5&lt;/_issue&gt;&lt;_journal&gt;Eur J Surg Oncol&lt;/_journal&gt;&lt;_keywords&gt;FIB-4; Hepatectomy; Hepatocellular carcinoma; Short-term outcomes&lt;/_keywords&gt;&lt;_number&gt;4087&lt;/_number&gt;&lt;_pages&gt;722-7&lt;/_pages&gt;&lt;_url&gt;http://www.ncbi.nlm.nih.gov/entrez/query.fcgi?cmd=Retrieve&amp;amp;db=pubmed&amp;amp;dopt=Abstract&amp;amp;list_uids=26927299&amp;amp;query_hl=1_x000d__x000a_DO - 10.1016/j.ejso.2016.02.009&lt;/_url&gt;&lt;_volume&gt;42&lt;/_volume&gt;&lt;_created&gt;66046014&lt;/_created&gt;&lt;_modified&gt;66046014&lt;/_modified&gt;&lt;_impact_factor&gt;   3.500&lt;/_impact_factor&gt;&lt;_social_category&gt;肿瘤学(2) &amp;amp; 外科(2)&lt;/_social_category&gt;&lt;_collection_scope&gt;SCIE&lt;/_collection_scope&gt;&lt;/Details&gt;&lt;Extra&gt;&lt;DBUID&gt;{86835755-9694-411B-A931-C461F6E7F109}&lt;/DBUID&gt;&lt;/Extra&gt;&lt;/Item&gt;&lt;/References&gt;&lt;/Group&gt;&lt;Group&gt;&lt;References&gt;&lt;Item&gt;&lt;ID&gt;5352&lt;/ID&gt;&lt;UID&gt;{F0A589D5-3120-4C8D-ABB6-39C0DA0B2716}&lt;/UID&gt;&lt;Title&gt;A laboratory marker, FIB-4 index, as a predictor for long-term outcomes of  hepatocellular carcinoma patients after curative hepatic resection&lt;/Title&gt;&lt;Template&gt;Journal Article&lt;/Template&gt;&lt;Star&gt;0&lt;/Star&gt;&lt;Tag&gt;0&lt;/Tag&gt;&lt;Author&gt;Toyoda, Hidenori; Kumada, Takashi; Tada, Toshifumi; Kaneoka, Yuji; Maeda, Atsuyuki&lt;/Author&gt;&lt;Year&gt;2015&lt;/Year&gt;&lt;Details&gt;&lt;_author_adr&gt;Department of Gastroenterology, Ogaki Municipal Hospital, Ogaki, Japan.  Electronic address: tkumada@he.mirai.ne.jp.; Department of Gastroenterology, Ogaki Municipal Hospital, Ogaki, Japan.; Department of Gastroenterology, Ogaki Municipal Hospital, Ogaki, Japan.; Department of Surgery, Ogaki Municipal Hospital, Ogaki, Japan.; Department of Surgery, Ogaki Municipal Hospital, Ogaki, Japan.&lt;/_author_adr&gt;&lt;_date_display&gt;2015&lt;/_date_display&gt;&lt;_date&gt;2015-01-01&lt;/_date&gt;&lt;_isbn&gt;1532-7361 (Electronic); 0039-6060 (Linking)&lt;/_isbn&gt;&lt;_issue&gt;4&lt;/_issue&gt;&lt;_journal&gt;Surgery&lt;/_journal&gt;&lt;_number&gt;4088&lt;/_number&gt;&lt;_pages&gt;699-707&lt;/_pages&gt;&lt;_url&gt;http://www.ncbi.nlm.nih.gov/entrez/query.fcgi?cmd=Retrieve&amp;amp;db=pubmed&amp;amp;dopt=Abstract&amp;amp;list_uids=25704421&amp;amp;query_hl=1_x000d__x000a_DO - 10.1016/j.surg.2014.10.022&lt;/_url&gt;&lt;_volume&gt;157&lt;/_volume&gt;&lt;_created&gt;66046014&lt;/_created&gt;&lt;_modified&gt;66046014&lt;/_modified&gt;&lt;_impact_factor&gt;   3.200&lt;/_impact_factor&gt;&lt;_social_category&gt;外科(2)&lt;/_social_category&gt;&lt;_collection_scope&gt;SCIE&lt;/_collection_scope&gt;&lt;/Details&gt;&lt;Extra&gt;&lt;DBUID&gt;{86835755-9694-411B-A931-C461F6E7F109}&lt;/DBUID&gt;&lt;/Extra&gt;&lt;/Item&gt;&lt;/References&gt;&lt;/Group&gt;&lt;/Citation&gt;_x000a_"/>
    <w:docVar w:name="NE.Ref{716814E6-5FD6-48B0-B7E6-45476126D462}" w:val=" ADDIN NE.Ref.{716814E6-5FD6-48B0-B7E6-45476126D462}&lt;Citation&gt;&lt;Group&gt;&lt;References&gt;&lt;Item&gt;&lt;ID&gt;5321&lt;/ID&gt;&lt;UID&gt;{12CFA13E-381E-48F4-BDA5-D870CA68D2B2}&lt;/UID&gt;&lt;Title&gt;Impact of major hepatectomy on recurrence after resection of hepatocellular  carcinoma at CNLC Ib stage: a propensity score matching study&lt;/Title&gt;&lt;Template&gt;Journal Article&lt;/Template&gt;&lt;Star&gt;0&lt;/Star&gt;&lt;Tag&gt;0&lt;/Tag&gt;&lt;Author&gt;Jiang, Kunyuan; Li, Jingfei; Liu, Zihao; Chen, Miao; Cai, Wei; Liu, Lianxin; Yin, Dalong&lt;/Author&gt;&lt;Year&gt;2025&lt;/Year&gt;&lt;Details&gt;&lt;_author_adr&gt;Department of General Surgery, Anhui Provincial Hospital, Anhui Medical  University.; Department of General Surgery, Anhui Provincial Hospital, Anhui Medical  University.; Department of General Surgery, Anhui Provincial Hospital, Anhui Medical  University.; Department of Hepatobiliary surgery, The First Affiliated Hospital of University  of Science and Technology of China.; Department of Hepatobiliary surgery, The First Affiliated Hospital of University  of Science and Technology of China.; Department of Hepatobiliary surgery, The First Affiliated Hospital of University  of Science and Technology of China.; Department of Hepatobiliary Surgery and Centre for Leading Medicine and Advanced  Technologies of IHM, The First Affiliated HospitalDivision of Life Sciences and  Medicine, University of Science and Technology of China.; Anhui Province Key Laboratory of Hepatopancreatobiliary Surgery.; Anhui Provincial Clinical Research Center for Hepatobiliary Diseases, Hefei,  Anhui, People&amp;apos;s Republic of China.; Department of General Surgery, Anhui Provincial Hospital, Anhui Medical  University.; Department of Hepatobiliary Surgery and Centre for Leading Medicine and Advanced  Technologies of IHM, The First Affiliated HospitalDivision of Life Sciences and  Medicine, University of Science and Technology of China.&lt;/_author_adr&gt;&lt;_date_display&gt;2025&lt;/_date_display&gt;&lt;_date&gt;2025-01-01&lt;/_date&gt;&lt;_isbn&gt;1743-9159 (Electronic); 1743-9191 (Print); 1743-9159 (Linking)&lt;/_isbn&gt;&lt;_issue&gt;1&lt;/_issue&gt;&lt;_journal&gt;Int J Surg&lt;/_journal&gt;&lt;_number&gt;4044&lt;/_number&gt;&lt;_pages&gt;857-864&lt;/_pages&gt;&lt;_url&gt;http://www.ncbi.nlm.nih.gov/entrez/query.fcgi?cmd=Retrieve&amp;amp;db=pubmed&amp;amp;dopt=Abstract&amp;amp;list_uids=38913430&amp;amp;query_hl=1_x000d__x000a_DO - 10.1097/JS9.0000000000001879&lt;/_url&gt;&lt;_volume&gt;111&lt;/_volume&gt;&lt;_created&gt;66046014&lt;/_created&gt;&lt;_modified&gt;66046014&lt;/_modified&gt;&lt;_impact_factor&gt;  12.500&lt;/_impact_factor&gt;&lt;_social_category&gt;外科(2)&lt;/_social_category&gt;&lt;_collection_scope&gt;SCIE&lt;/_collection_scope&gt;&lt;/Details&gt;&lt;Extra&gt;&lt;DBUID&gt;{86835755-9694-411B-A931-C461F6E7F109}&lt;/DBUID&gt;&lt;/Extra&gt;&lt;/Item&gt;&lt;/References&gt;&lt;/Group&gt;&lt;/Citation&gt;_x000a_"/>
    <w:docVar w:name="NE.Ref{736BD8D4-6E24-4DA1-9B5A-73C2088D9855}" w:val=" ADDIN NE.Ref.{736BD8D4-6E24-4DA1-9B5A-73C2088D9855}&lt;Citation&gt;&lt;Group&gt;&lt;References&gt;&lt;Item&gt;&lt;ID&gt;4075&lt;/ID&gt;&lt;UID&gt;{9080BDAF-BE77-4F5E-9480-36FD1E24390D}&lt;/UID&gt;&lt;Title&gt;BCLC strategy for prognosis prediction and treatment recommendation: The 2022  update&lt;/Title&gt;&lt;Template&gt;Journal Article&lt;/Template&gt;&lt;Star&gt;0&lt;/Star&gt;&lt;Tag&gt;0&lt;/Tag&gt;&lt;Author&gt;Reig, Maria; Forner, Alejandro; Rimola, Jordi; Ferrer-Fàbrega, Joana; Burrel, Marta; Garcia-Criado, Ángeles; Kelley, Robin K; Galle, Peter R; Mazzaferro, Vincenzo; Salem, Riad; Sangro, Bruno; Singal, Amit G; Vogel, Arndt; Fuster, Josep; Ayuso, Carmen; Bruix, Jordi&lt;/Author&gt;&lt;Year&gt;2022&lt;/Year&gt;&lt;Details&gt;&lt;_accession_num&gt;34801630&lt;/_accession_num&gt;&lt;_author_adr&gt;BCLC Group, Liver Unit, ICMDM, IDIBAPS, Hospital Clinic of Barcelona, University  of Barcelona, Barcelona, Spain; Centro de Investigación Biomédica en Red de  Enfermedades Hepáticas y Digestivas (CIBEREHD), Spain. Electronic address:  mreig1@clinic.cat.; BCLC Group, Liver Unit, ICMDM, IDIBAPS, Hospital Clinic of Barcelona, University  of Barcelona, Barcelona, Spain; Centro de Investigación Biomédica en Red de  Enfermedades Hepáticas y Digestivas (CIBEREHD), Spain.; BCLC Group, Radiology Department, CDI, Hospital Clinic of Barcelona, University  of Barcelona, Barcelona, Spain.; BCLC Group, Surgery Department, ICMDM, IDIBAPS, Hospital Clinic of Barcelona,  University of Barcelona, Barcelona, Spain.; BCLC Group, Vascular Department, CDI, Hospital Clinic of Barcelona, Barcelona  University, University of Barcelona, Barcelona, Spain.; BCLC Group, Radiology Department, CDI, Hospital Clinic of Barcelona, University  of Barcelona, Barcelona, Spain.; Helen Diller Family Comprehensive Cancer Center, University of California, San  Francisco, California, USA.; Department of Internal Medicine, Mainz University Medical Center, Mainz, Germany.; Department of Oncology, University of Milan and HPB Surgery and Liver  Transplantation, Fondazione IRCCS Istituto Nazionale Tumori, Milan, Italy.; Department of Radiology, Section of Interventional Radiology, Northwestern  University, Chicago, IL, USA.; Centro de Investigación Biomédica en Red de Enfermedades Hepáticas y Digestivas  (CIBEREHD), Spain; Liver Unit, Clinica Universidad de Navarra, Pamplona, Spain.; Department of Internal Medicine, University of Texas Southwestern Medical Center,  Dallas, Texas, USA.; Hannover Medical School, Department of Gastroenterology, Hepatology and  Endocrinology, Hannover, Germany.; Centro de Investigación Biomédica en Red de Enfermedades Hepáticas y Digestivas  (CIBEREHD), Spain; BCLC Group, Surgery Department, ICMDM, IDIBAPS, Hospital  Clinic of Barcelona, University of Barcelona, Barcelona, Spain.; Centro de Investigación Biomédica en Red de Enfermedades Hepáticas y Digestivas  (CIBEREHD), Spain; BCLC Group, Radiology Department, CDI, Hospital Clinic of  Barcelona, University of Barcelona, Barcelona, Spain.; BCLC Group, Liver Unit, ICMDM, IDIBAPS, Hospital Clinic of Barcelona, University  of Barcelona, Barcelona, Spain; Centro de Investigación Biomédica en Red de  Enfermedades Hepáticas y Digestivas (CIBEREHD), Spain. Electronic address:  jbruix@clinic.cat.&lt;/_author_adr&gt;&lt;_date_display&gt;2022 Mar&lt;/_date_display&gt;&lt;_date&gt;2022-03-01&lt;/_date&gt;&lt;_doi&gt;10.1016/j.jhep.2021.11.018&lt;/_doi&gt;&lt;_isbn&gt;1600-0641 (Electronic); 0168-8278 (Print); 0168-8278 (Linking)&lt;/_isbn&gt;&lt;_issue&gt;3&lt;/_issue&gt;&lt;_journal&gt;J Hepatol&lt;/_journal&gt;&lt;_keywords&gt;AFP; ALBI score; BCLC; HCC; TARE; ablation; liver transplantation TACE; surgery; survival; systemic treatment&lt;/_keywords&gt;&lt;_language&gt;eng&lt;/_language&gt;&lt;_ori_publication&gt;Copyright © 2021 European Association for the Study of the Liver. Published by _x000d__x000a_      Elsevier B.V. All rights reserved.&lt;/_ori_publication&gt;&lt;_pages&gt;681-693&lt;/_pages&gt;&lt;_subject_headings&gt;Carcinoma, Hepatocellular/*classification/complications; Female; Humans; Liver Neoplasms/classification/complications; Male; Middle Aged; Neoplasm Staging/methods/statistics &amp;amp; numerical data; *Prognosis; Severity of Illness Index&lt;/_subject_headings&gt;&lt;_tertiary_title&gt;Journal of hepatology&lt;/_tertiary_title&gt;&lt;_type_work&gt;Journal Article; Research Support, N.I.H., Extramural; Research Support, Non-U.S. Gov&amp;apos;t; Review&lt;/_type_work&gt;&lt;_url&gt;http://www.ncbi.nlm.nih.gov/entrez/query.fcgi?cmd=Retrieve&amp;amp;db=pubmed&amp;amp;dopt=Abstract&amp;amp;list_uids=34801630&amp;amp;query_hl=1&lt;/_url&gt;&lt;_volume&gt;76&lt;/_volume&gt;&lt;_created&gt;65957029&lt;/_created&gt;&lt;_modified&gt;65957029&lt;/_modified&gt;&lt;_impact_factor&gt;  26.800&lt;/_impact_factor&gt;&lt;_social_category&gt;胃肠肝病学(1)&lt;/_social_category&gt;&lt;_collection_scope&gt;SCIE&lt;/_collection_scope&gt;&lt;/Details&gt;&lt;Extra&gt;&lt;DBUID&gt;{58B27DCE-DEB8-4BEF-8139-AC677AF90E97}&lt;/DBUID&gt;&lt;/Extra&gt;&lt;/Item&gt;&lt;/References&gt;&lt;/Group&gt;&lt;/Citation&gt;_x000a_"/>
    <w:docVar w:name="NE.Ref{76450E89-5F3D-434B-8FFE-0056057530B5}" w:val=" ADDIN NE.Ref.{76450E89-5F3D-434B-8FFE-0056057530B5}&lt;Citation&gt;&lt;Group&gt;&lt;References&gt;&lt;Item&gt;&lt;ID&gt;4083&lt;/ID&gt;&lt;UID&gt;{4E46B78F-DAD0-47A8-9978-BF1EA25EB184}&lt;/UID&gt;&lt;Title&gt;Point-of-care testing for early-stage liver cancer diagnosis and personalized  medicine: Biomarkers, current technologies and perspectives&lt;/Title&gt;&lt;Template&gt;Journal Article&lt;/Template&gt;&lt;Star&gt;0&lt;/Star&gt;&lt;Tag&gt;0&lt;/Tag&gt;&lt;Author&gt;Liu, Mengxiang; Wen, Yanrong&lt;/Author&gt;&lt;Year&gt;2024&lt;/Year&gt;&lt;Details&gt;&lt;_accession_num&gt;39397977&lt;/_accession_num&gt;&lt;_author_adr&gt;State Key Laboratory of Natural Medicines, China Pharmaceutical University,  Nanjing, 211198, China.; Department of Nuclear Medicine, Nanjing Drum Tower Hospital, The Affiliated  Hospital of Nanjing University Medical School, Nanjing, 210008, China.&lt;/_author_adr&gt;&lt;_date_display&gt;2024 Oct 15&lt;/_date_display&gt;&lt;_date&gt;2024-10-15&lt;/_date&gt;&lt;_doi&gt;10.1016/j.heliyon.2024.e38444&lt;/_doi&gt;&lt;_isbn&gt;2405-8440 (Print); 2405-8440 (Electronic); 2405-8440 (Linking)&lt;/_isbn&gt;&lt;_issue&gt;19&lt;/_issue&gt;&lt;_journal&gt;Heliyon&lt;/_journal&gt;&lt;_keywords&gt;Biomarker; Early-stage cancer detection; Hepatocellular carcinoma diagnostics; Personalized medicine; Point-of-care testing&lt;/_keywords&gt;&lt;_language&gt;eng&lt;/_language&gt;&lt;_ori_publication&gt;© 2024 Published by Elsevier Ltd.&lt;/_ori_publication&gt;&lt;_pages&gt;e38444&lt;/_pages&gt;&lt;_tertiary_title&gt;Heliyon&lt;/_tertiary_title&gt;&lt;_type_work&gt;Journal Article; Review&lt;/_type_work&gt;&lt;_url&gt;http://www.ncbi.nlm.nih.gov/entrez/query.fcgi?cmd=Retrieve&amp;amp;db=pubmed&amp;amp;dopt=Abstract&amp;amp;list_uids=39397977&amp;amp;query_hl=1&lt;/_url&gt;&lt;_volume&gt;10&lt;/_volume&gt;&lt;_created&gt;65957331&lt;/_created&gt;&lt;_modified&gt;65957331&lt;/_modified&gt;&lt;_impact_factor&gt;   3.400&lt;/_impact_factor&gt;&lt;_social_category&gt;综合性期刊(3)&lt;/_social_category&gt;&lt;_collection_scope&gt;SCIE&lt;/_collection_scope&gt;&lt;/Details&gt;&lt;Extra&gt;&lt;DBUID&gt;{F66D8B52-6641-45B4-915C-E1383885F5CE}&lt;/DBUID&gt;&lt;/Extra&gt;&lt;/Item&gt;&lt;/References&gt;&lt;/Group&gt;&lt;Group&gt;&lt;References&gt;&lt;Item&gt;&lt;ID&gt;4084&lt;/ID&gt;&lt;UID&gt;{1A19AE74-4A61-4414-9235-CF79BD09C4C1}&lt;/UID&gt;&lt;Title&gt;Cell-free DNA methylation markers for differential diagnosis of hepatocellular  carcinoma&lt;/Title&gt;&lt;Template&gt;Journal Article&lt;/Template&gt;&lt;Star&gt;0&lt;/Star&gt;&lt;Tag&gt;0&lt;/Tag&gt;&lt;Author&gt;Luo, Biyuan; Ma, Fang; Liu, Hao; Hu, Jixiong; Rao, Le; Liu, Chun; Jiang, Yongfang; Kuangzeng, Shuyu; Lin, Xuan; Wang, Chenyang; Lei, Yiyu; Si, Zhongzhou; Chen, Guangshun; Zhou, Ning; Liang, Chengbai; Jiang, Fangqing; Liu, Fenge; Dai, Weidong; Liu, Wei; Gao, Yawen; Li, Zhihong; Li, Xi; Zhou, Guangyu; Li, Bingsi; Zhang, Zhihong; Nian, Weiqi; Luo, Lihua; Liu, Xianling&lt;/Author&gt;&lt;Year&gt;2022&lt;/Year&gt;&lt;Details&gt;&lt;_accession_num&gt;35027051&lt;/_accession_num&gt;&lt;_author_adr&gt;Department of Oncology, The Second XiangYa Hospital of Central South University,  139 Renmin Middle Road, Changsha, 410011, Hunan Province, China.; Department of Oncology, The Second XiangYa Hospital of Central South University,  139 Renmin Middle Road, Changsha, 410011, Hunan Province, China.; Burning Rock Biotech, Guangzhou, 510300, Guangdong, China.; Department of General Surgery, The Second XiangYa Hospital of Central South  University, 139 Renmin Middle Road, Changsha, 410011, Hunan Province, China.; Department of Oncology, The Second XiangYa Hospital of Central South University,  139 Renmin Middle Road, Changsha, 410011, Hunan Province, China.; Department of Hepatopancreatobiliary Surgery, The Second Xiangya Hospital,  Central South University, 139 Renmin Middle Road, Changsha, 410011, Hunan  Province, China.; Department of Infectious Disease, The Second Xiangya Hospital, Central South  University, 139 Renmin Middle Road, Changsha, 410011, Hunan Province, China.; Department of Oncology, 331 Hospital of Zhuzhou, Zhuzhou, 412002, Hunan Province,  China.; Burning Rock Biotech, Guangzhou, 510300, Guangdong, China.; Burning Rock Biotech, Guangzhou, 510300, Guangdong, China.; Department of Oncology, The Second XiangYa Hospital of Central South University,  139 Renmin Middle Road, Changsha, 410011, Hunan Province, China.; Center of Organ Transplantation, The Second Xiangya Hospital of Central South  University, 139 Renmin Middle Road, Changsha, 410011, Hunan Province, China.; Center of Organ Transplantation, The Second Xiangya Hospital of Central South  University, 139 Renmin Middle Road, Changsha, 410011, Hunan Province, China.; Department of Hepatobiliary Surgery, Hunan Provincial Hospital, Hunan Normal  University, No. 61 Jiafang West Road, Changsha, Hunan Province, China.; Department of Gastroenterology, The Second Xiangya Hospital of Central South  University, 139 Renmin Middle Road, Changsha, 410011, Hunan Province, China.; Department of Infectious Disease, The First Hospital of Changsha, No. 311,  Yingpan Road, Changsha, 410005, Hunan Province, China.; Department of Infectious Disease, The First Hospital of Changsha, No. 311,  Yingpan Road, Changsha, 410005, Hunan Province, China.; Department of General Surgery, The Second XiangYa Hospital of Central South  University, 139 Renmin Middle Road, Changsha, 410011, Hunan Province, China.; Department of Hepatopancreatobiliary Surgery, The Second Xiangya Hospital,  Central South University, 139 Renmin Middle Road, Changsha, 410011, Hunan  Province, China.; Department of Oncology, The Second XiangYa Hospital of Central South University,  139 Renmin Middle Road, Changsha, 410011, Hunan Province, China.; Department of Orthopedics, The Second Xiangya Hospital, Central South University,  Changsha, 410011, China.; Hunan Key Laboratory of Tumor Models and Individualized Medicine, The Second  Xiangya Hospital, Changsha, 410011, China.; Burning Rock Biotech, Guangzhou, 510300, Guangdong, China.; Burning Rock Biotech, Guangzhou, 510300, Guangdong, China.; Burning Rock Biotech, Guangzhou, 510300, Guangdong, China.; Burning Rock Biotech, Guangzhou, 510300, Guangdong, China.; Chongqing University Cancer Hospital, No.181, Hangyu Road, Shapingba District,  Chongqing, China.; Department of Oncology, Central Hospital of Enshi Autonomous Prefecture, Enshi  Clinical College of Wuhan University, Enshi, 445000, Hubei Province, People&amp;apos;s  Republic of China.; Department of Oncology, The Second XiangYa Hospital of Central South University,  139 Renmin Middle Road, Changsha, 410011, Hunan Province, China.  liuxianling@csu.edu.cn.; Hunan Key Laboratory of Tumor Models and Individualized Medicine, The Second  Xiangya Hospital, Changsha, 410011, China. liuxianling@csu.edu.cn.&lt;/_author_adr&gt;&lt;_date_display&gt;2022 Jan 14&lt;/_date_display&gt;&lt;_date&gt;2022-01-14&lt;/_date&gt;&lt;_doi&gt;10.1186/s12916-021-02201-3&lt;/_doi&gt;&lt;_isbn&gt;1741-7015 (Electronic); 1741-7015 (Linking)&lt;/_isbn&gt;&lt;_issue&gt;1&lt;/_issue&gt;&lt;_journal&gt;BMC Med&lt;/_journal&gt;&lt;_keywords&gt;DNA methylation; Early detection of cancer; Hepatocellular carcinoma; Liver cirrhosis; cfDNA&lt;/_keywords&gt;&lt;_language&gt;eng&lt;/_language&gt;&lt;_ori_publication&gt;© 2021. The Author(s).&lt;/_ori_publication&gt;&lt;_pages&gt;8&lt;/_pages&gt;&lt;_subject_headings&gt;Biomarkers, Tumor/genetics; *Carcinoma, Hepatocellular/diagnosis/genetics; *Cell-Free Nucleic Acids/genetics; DNA Methylation; Diagnosis, Differential; Humans; Liver Cirrhosis/diagnosis/genetics; *Liver Neoplasms/diagnosis/genetics&lt;/_subject_headings&gt;&lt;_tertiary_title&gt;BMC medicine&lt;/_tertiary_title&gt;&lt;_type_work&gt;Journal Article; Research Support, Non-U.S. Gov&amp;apos;t&lt;/_type_work&gt;&lt;_url&gt;http://www.ncbi.nlm.nih.gov/entrez/query.fcgi?cmd=Retrieve&amp;amp;db=pubmed&amp;amp;dopt=Abstract&amp;amp;list_uids=35027051&amp;amp;query_hl=1&lt;/_url&gt;&lt;_volume&gt;20&lt;/_volume&gt;&lt;_created&gt;65957339&lt;/_created&gt;&lt;_modified&gt;65957339&lt;/_modified&gt;&lt;_impact_factor&gt;   7.100&lt;/_impact_factor&gt;&lt;_social_category&gt;医学：内科(1)&lt;/_social_category&gt;&lt;_collection_scope&gt;SCIE&lt;/_collection_scope&gt;&lt;/Details&gt;&lt;Extra&gt;&lt;DBUID&gt;{F66D8B52-6641-45B4-915C-E1383885F5CE}&lt;/DBUID&gt;&lt;/Extra&gt;&lt;/Item&gt;&lt;/References&gt;&lt;/Group&gt;&lt;/Citation&gt;_x000a_"/>
    <w:docVar w:name="NE.Ref{78F07CCD-343B-4AE6-9907-BB0141F25CDF}" w:val=" ADDIN NE.Ref.{78F07CCD-343B-4AE6-9907-BB0141F25CDF}&lt;Citation&gt;&lt;Group&gt;&lt;References&gt;&lt;Item&gt;&lt;ID&gt;4053&lt;/ID&gt;&lt;UID&gt;{BC48A1D0-9195-42D8-9BBF-B7D0546E0D91}&lt;/UID&gt;&lt;Title&gt;BCLC strategy for prognosis prediction and treatment recommendation: The 2022 update&lt;/Title&gt;&lt;Template&gt;Journal Article&lt;/Template&gt;&lt;Star&gt;0&lt;/Star&gt;&lt;Tag&gt;0&lt;/Tag&gt;&lt;Author&gt;Reig, Maria; Forner, Alejandro; Rimola, Jordi; Ferrer-Fàbrega, Joana; Burrel, Marta; Garcia-Criado, Ángeles; Kelley, Robin K; Galle, Peter R; Mazzaferro, Vincenzo; Salem, Riad; Sangro, Bruno; Singal, Amit G; Vogel, Arndt; Fuster, Josep; Ayuso, Carmen; Bruix, Jordi&lt;/Author&gt;&lt;Year&gt;2022&lt;/Year&gt;&lt;Details&gt;&lt;_accessed&gt;65956842&lt;/_accessed&gt;&lt;_collection_scope&gt;SCIE&lt;/_collection_scope&gt;&lt;_created&gt;65956842&lt;/_created&gt;&lt;_db_updated&gt;CrossRef&lt;/_db_updated&gt;&lt;_doi&gt;10.1016/j.jhep.2021.11.018&lt;/_doi&gt;&lt;_impact_factor&gt;  26.800&lt;/_impact_factor&gt;&lt;_isbn&gt;01688278&lt;/_isbn&gt;&lt;_issue&gt;3&lt;/_issue&gt;&lt;_journal&gt;Journal of Hepatology&lt;/_journal&gt;&lt;_modified&gt;65956842&lt;/_modified&gt;&lt;_pages&gt;681-693&lt;/_pages&gt;&lt;_social_category&gt;胃肠肝病学(1)&lt;/_social_category&gt;&lt;_tertiary_title&gt;Journal of Hepatology&lt;/_tertiary_title&gt;&lt;_url&gt;https://linkinghub.elsevier.com/retrieve/pii/S0168827821022236_x000d__x000a_https://api.elsevier.com/content/article/PII:S0168827821022236?httpAccept=text/xml&lt;/_url&gt;&lt;_volume&gt;76&lt;/_volume&gt;&lt;/Details&gt;&lt;Extra&gt;&lt;DBUID&gt;{F66D8B52-6641-45B4-915C-E1383885F5CE}&lt;/DBUID&gt;&lt;/Extra&gt;&lt;/Item&gt;&lt;/References&gt;&lt;/Group&gt;&lt;Group&gt;&lt;References&gt;&lt;Item&gt;&lt;ID&gt;4078&lt;/ID&gt;&lt;UID&gt;{07AE9B71-E8FA-4A75-8D59-072F105FD704}&lt;/UID&gt;&lt;Title&gt;Assessment of Tumor Burden Score as a Feasible and Reliable Tool for Prognosis  Prediction for Hepatocellular Carcinoma Undergoing Hepatectomy: A Multicenter,  Retrospective Study&lt;/Title&gt;&lt;Template&gt;Journal Article&lt;/Template&gt;&lt;Star&gt;0&lt;/Star&gt;&lt;Tag&gt;0&lt;/Tag&gt;&lt;Author&gt;Guan, Renguo; Zheng, Zehao; Deng, Min; Mei, Jie; Lin, Ye&lt;/Author&gt;&lt;Year&gt;2025&lt;/Year&gt;&lt;Details&gt;&lt;_accession_num&gt;39959463&lt;/_accession_num&gt;&lt;_author_adr&gt;Department of General Surgery, Guangdong Provincial People&amp;apos;s Hospital (Guangdong  Academy of Medical Sciences), Southern Medical University, Guangzhou, People&amp;apos;s  Republic of China.; Department of Hepatobiliary Oncology, Sun Yat-sen University Cancer Center,  Guangzhou, People&amp;apos;s Republic of China.; State Key Laboratory of Oncology in South China, Collaborative Innovation Center  for Cancer Medicine, Guangzhou, People&amp;apos;s Republic of China.; Guangdong Provincial Clinical Research Center for Cancer, Guangzhou, People&amp;apos;s  Republic of China.; Department of Hepatobiliary Oncology, Sun Yat-sen University Cancer Center,  Guangzhou, People&amp;apos;s Republic of China.; State Key Laboratory of Oncology in South China, Collaborative Innovation Center  for Cancer Medicine, Guangzhou, People&amp;apos;s Republic of China.; Guangdong Provincial Clinical Research Center for Cancer, Guangzhou, People&amp;apos;s  Republic of China.; Department of General Surgery, The Seventh Affiliated Hospital of Sun Yat-sen  University, Shenzhen, People&amp;apos;s Republic of China.; Department of Hepatobiliary Oncology, Sun Yat-sen University Cancer Center,  Guangzhou, People&amp;apos;s Republic of China.; State Key Laboratory of Oncology in South China, Collaborative Innovation Center  for Cancer Medicine, Guangzhou, People&amp;apos;s Republic of China.; Guangdong Provincial Clinical Research Center for Cancer, Guangzhou, People&amp;apos;s  Republic of China.; Department of General Surgery, Guangdong Provincial People&amp;apos;s Hospital (Guangdong  Academy of Medical Sciences), Southern Medical University, Guangzhou, People&amp;apos;s  Republic of China.&lt;/_author_adr&gt;&lt;_date_display&gt;2025&lt;/_date_display&gt;&lt;_date&gt;2025-01-20&lt;/_date&gt;&lt;_doi&gt;10.2147/JHC.S488927&lt;/_doi&gt;&lt;_isbn&gt;2253-5969 (Print); 2253-5969 (Electronic); 2253-5969 (Linking)&lt;/_isbn&gt;&lt;_journal&gt;J Hepatocell Carcinoma&lt;/_journal&gt;&lt;_keywords&gt;BCLC stage; hepatocellular carcinoma; prognosis prediction; tumor burden score&lt;/_keywords&gt;&lt;_language&gt;eng&lt;/_language&gt;&lt;_ori_publication&gt;© 2025 Guan et al.&lt;/_ori_publication&gt;&lt;_pages&gt;247-260&lt;/_pages&gt;&lt;_tertiary_title&gt;Journal of hepatocellular carcinoma&lt;/_tertiary_title&gt;&lt;_type_work&gt;Journal Article&lt;/_type_work&gt;&lt;_url&gt;http://www.ncbi.nlm.nih.gov/entrez/query.fcgi?cmd=Retrieve&amp;amp;db=pubmed&amp;amp;dopt=Abstract&amp;amp;list_uids=39959463&amp;amp;query_hl=1&lt;/_url&gt;&lt;_volume&gt;12&lt;/_volume&gt;&lt;_created&gt;65957293&lt;/_created&gt;&lt;_modified&gt;65957293&lt;/_modified&gt;&lt;_impact_factor&gt;   4.200&lt;/_impact_factor&gt;&lt;_social_category&gt;肿瘤学(3)&lt;/_social_category&gt;&lt;_collection_scope&gt;SCIE&lt;/_collection_scope&gt;&lt;/Details&gt;&lt;Extra&gt;&lt;DBUID&gt;{F66D8B52-6641-45B4-915C-E1383885F5CE}&lt;/DBUID&gt;&lt;/Extra&gt;&lt;/Item&gt;&lt;/References&gt;&lt;/Group&gt;&lt;/Citation&gt;_x000a_"/>
    <w:docVar w:name="NE.Ref{8C29B446-20FB-49A8-85F7-41D839686583}" w:val=" ADDIN NE.Ref.{8C29B446-20FB-49A8-85F7-41D839686583}&lt;Citation&gt;&lt;Group&gt;&lt;References&gt;&lt;Item&gt;&lt;ID&gt;5326&lt;/ID&gt;&lt;UID&gt;{2009E012-DA61-4D46-9CD6-A98B3DE7C581}&lt;/UID&gt;&lt;Title&gt;Impact of Liver Fibrosis Severity on Oncological Prognosis in Hepatocellular  Carcinoma&lt;/Title&gt;&lt;Template&gt;Journal Article&lt;/Template&gt;&lt;Star&gt;0&lt;/Star&gt;&lt;Tag&gt;0&lt;/Tag&gt;&lt;Author&gt;Yasukawa, Koya; Shimizu, Akira; Kubota, Koji; Notake, Tsuyoshi; Hosoda, Kiyotaka; Hayashi, Hikaru; Soejima, Yuji&lt;/Author&gt;&lt;Year&gt;2024&lt;/Year&gt;&lt;Details&gt;&lt;_author_adr&gt;Division of Gastroenterological, Hepato-Biliary-Pancreatic, Transplantation and  Pediatric Surgery, Department of Surgery, Shinshu University School of Medicine,  Matsumoto, Japan.; Division of Gastroenterological, Hepato-Biliary-Pancreatic, Transplantation and  Pediatric Surgery, Department of Surgery, Shinshu University School of Medicine,  Matsumoto, Japan.; Division of Gastroenterological, Hepato-Biliary-Pancreatic, Transplantation and  Pediatric Surgery, Department of Surgery, Shinshu University School of Medicine,  Matsumoto, Japan.; Division of Gastroenterological, Hepato-Biliary-Pancreatic, Transplantation and  Pediatric Surgery, Department of Surgery, Shinshu University School of Medicine,  Matsumoto, Japan.; Division of Gastroenterological, Hepato-Biliary-Pancreatic, Transplantation and  Pediatric Surgery, Department of Surgery, Shinshu University School of Medicine,  Matsumoto, Japan.; Division of Gastroenterological, Hepato-Biliary-Pancreatic, Transplantation and  Pediatric Surgery, Department of Surgery, Shinshu University School of Medicine,  Matsumoto, Japan.; Division of Gastroenterological, Hepato-Biliary-Pancreatic, Transplantation and  Pediatric Surgery, Department of Surgery, Shinshu University School of Medicine,  Matsumoto, Japan.&lt;/_author_adr&gt;&lt;_date_display&gt;2024&lt;/_date_display&gt;&lt;_date&gt;2024-01-01&lt;/_date&gt;&lt;_isbn&gt;2235-1795 (Print); 1664-5553 (Electronic); 1664-5553 (Linking)&lt;/_isbn&gt;&lt;_issue&gt;2&lt;/_issue&gt;&lt;_journal&gt;Liver Cancer&lt;/_journal&gt;&lt;_keywords&gt;Hepatocellular carcinoma; Liver cirrhosis; Liver fibrosis&lt;/_keywords&gt;&lt;_number&gt;4042&lt;/_number&gt;&lt;_pages&gt;150-160&lt;/_pages&gt;&lt;_url&gt;http://www.ncbi.nlm.nih.gov/entrez/query.fcgi?cmd=Retrieve&amp;amp;db=pubmed&amp;amp;dopt=Abstract&amp;amp;list_uids=38751553&amp;amp;query_hl=1_x000d__x000a_DO - 10.1159/000533857&lt;/_url&gt;&lt;_volume&gt;13&lt;/_volume&gt;&lt;_created&gt;66046014&lt;/_created&gt;&lt;_modified&gt;66046014&lt;/_modified&gt;&lt;_impact_factor&gt;  11.600&lt;/_impact_factor&gt;&lt;_social_category&gt;胃肠肝病学(1) &amp;amp; 肿瘤学(1)&lt;/_social_category&gt;&lt;_collection_scope&gt;SCIE&lt;/_collection_scope&gt;&lt;/Details&gt;&lt;Extra&gt;&lt;DBUID&gt;{86835755-9694-411B-A931-C461F6E7F109}&lt;/DBUID&gt;&lt;/Extra&gt;&lt;/Item&gt;&lt;/References&gt;&lt;/Group&gt;&lt;Group&gt;&lt;References&gt;&lt;Item&gt;&lt;ID&gt;5345&lt;/ID&gt;&lt;UID&gt;{4EF506EC-329C-4E5C-AAC5-CD21C3DF7AC2}&lt;/UID&gt;&lt;Title&gt;Impact of postoperative infective complications on long-term survival after liver  resection for hepatocellular carcinoma&lt;/Title&gt;&lt;Template&gt;Journal Article&lt;/Template&gt;&lt;Star&gt;0&lt;/Star&gt;&lt;Tag&gt;0&lt;/Tag&gt;&lt;Author&gt;Yang, T; Liu, K; Liu, C-F; Zhong, Q; Zhang, J; Yu, J-J; Liang, L; Li, C; Wang, M-D; Li, Z-L; Wu, H; Xing, H; Han, J; Lau, W Y; Zeng, Y-Y; Zhou, Y-H; Gu, W-M; Wang, H; Chen, T-H; Zhang, Y-M; Zhang, W-G; Pawlik, T M; Wu, M-C; Shen, F&lt;/Author&gt;&lt;Year&gt;2019&lt;/Year&gt;&lt;Details&gt;&lt;_author_adr&gt;Department of Hepatobiliary Surgery, Eastern Hepatobiliary Surgery Hospital,  Second Military Medical University, Shanghai, China.; Department of Hepatobiliary Surgery, Eastern Hepatobiliary Surgery Hospital,  Second Military Medical University, Shanghai, China.; Department of Hepatobiliary Surgery, Eastern Hepatobiliary Surgery Hospital,  Second Military Medical University, Shanghai, China.; Department of Anaesthesiology, Eastern Hepatobiliary Surgery Hospital, Second  Military Medical University, Shanghai, China.; Department of Hepatobiliary Surgery, Eastern Hepatobiliary Surgery Hospital,  Second Military Medical University, Shanghai, China.; Department of Hepatobiliary Surgery, Eastern Hepatobiliary Surgery Hospital,  Second Military Medical University, Shanghai, China.; Department of Hepatobiliary Surgery, Eastern Hepatobiliary Surgery Hospital,  Second Military Medical University, Shanghai, China.; Department of Hepatobiliary Surgery, Eastern Hepatobiliary Surgery Hospital,  Second Military Medical University, Shanghai, China.; Department of Hepatobiliary Surgery, Eastern Hepatobiliary Surgery Hospital,  Second Military Medical University, Shanghai, China.; Department of Hepatobiliary Surgery, Eastern Hepatobiliary Surgery Hospital,  Second Military Medical University, Shanghai, China.; Department of Hepatobiliary Surgery, Eastern Hepatobiliary Surgery Hospital,  Second Military Medical University, Shanghai, China.; Department of Hepatobiliary Surgery, Eastern Hepatobiliary Surgery Hospital,  Second Military Medical University, Shanghai, China.; Department of Hepatobiliary Surgery, Eastern Hepatobiliary Surgery Hospital,  Second Military Medical University, Shanghai, China.; Department of Hepatobiliary Surgery, Eastern Hepatobiliary Surgery Hospital,  Second Military Medical University, Shanghai, China.; Faculty of Medicine, Chinese University of Hong Kong, Shatin, New Territories,  Hong Kong, China.; Department of Hepatobiliary Surgery, Mengchao Hepatobiliary Hospital, Fujian  Medical University, Fujian, China.; Department of Hepatobiliary Surgery, Pu&amp;apos;er People&amp;apos;s Hospital, Yunnan, China.; First Department of General Surgery, Fourth Hospital of Harbin, Heilongjiang,  China.; Department of General Surgery, Liuyang People&amp;apos;s Hospital, Hunan, China.; Department of General Surgery, Ziyang First People&amp;apos;s Hospital, Sichuan, China.; Second Department of Hepatobiliary Surgery, Meizhou People&amp;apos;s Hospital, Guangdong,  China.; Department of Hepatic Surgery, Tongji Hospital, Huazhong University of Science  and Technology, Wuhan, China.; Department of Surgery, Ohio State University, Wexner Medical Center, Columbus,  Ohio, USA.; Department of Hepatobiliary Surgery, Eastern Hepatobiliary Surgery Hospital,  Second Military Medical University, Shanghai, China.; Department of Hepatobiliary Surgery, Eastern Hepatobiliary Surgery Hospital,  Second Military Medical University, Shanghai, China.&lt;/_author_adr&gt;&lt;_date_display&gt;2019&lt;/_date_display&gt;&lt;_date&gt;2019-01-01&lt;/_date&gt;&lt;_isbn&gt;1365-2168 (Electronic); 0007-1323 (Linking)&lt;/_isbn&gt;&lt;_issue&gt;9&lt;/_issue&gt;&lt;_journal&gt;Br J Surg&lt;/_journal&gt;&lt;_number&gt;4031&lt;/_number&gt;&lt;_pages&gt;1228-1236&lt;/_pages&gt;&lt;_url&gt;http://www.ncbi.nlm.nih.gov/entrez/query.fcgi?cmd=Retrieve&amp;amp;db=pubmed&amp;amp;dopt=Abstract&amp;amp;list_uids=31276196&amp;amp;query_hl=1_x000d__x000a_DO - 10.1002/bjs.11231&lt;/_url&gt;&lt;_volume&gt;106&lt;/_volume&gt;&lt;_created&gt;66046014&lt;/_created&gt;&lt;_modified&gt;66046043&lt;/_modified&gt;&lt;_impact_factor&gt;   8.700&lt;/_impact_factor&gt;&lt;_social_category&gt;外科(1)&lt;/_social_category&gt;&lt;_collection_scope&gt;SCIE&lt;/_collection_scope&gt;&lt;/Details&gt;&lt;Extra&gt;&lt;DBUID&gt;{86835755-9694-411B-A931-C461F6E7F109}&lt;/DBUID&gt;&lt;/Extra&gt;&lt;/Item&gt;&lt;/References&gt;&lt;/Group&gt;&lt;Group&gt;&lt;References&gt;&lt;Item&gt;&lt;ID&gt;5340&lt;/ID&gt;&lt;UID&gt;{4AAD58FE-EC19-4BEC-9AB3-86E790A14D14}&lt;/UID&gt;&lt;Title&gt;Short- and Long-Term Outcomes After Hepatectomy in Elderly Patients with  Hepatocellular Carcinoma: An Analysis of 229 Cases from a Developing Country&lt;/Title&gt;&lt;Template&gt;Journal Article&lt;/Template&gt;&lt;Star&gt;0&lt;/Star&gt;&lt;Tag&gt;0&lt;/Tag&gt;&lt;Author&gt;Galun, Danijel; Bogdanovic, Aleksandar; Zivanovic, Marko; Zuvela, Marinko&lt;/Author&gt;&lt;Year&gt;2021&lt;/Year&gt;&lt;Details&gt;&lt;_author_adr&gt;HPB Unit, Clinic for Digestive Surgery, Clinical Center of Serbia, Belgrade,  11000, Serbia.; Medical School, University of Belgrade, Belgrade, 11000, Serbia.; HPB Unit, Clinic for Digestive Surgery, Clinical Center of Serbia, Belgrade,  11000, Serbia.; Medical School, University of Belgrade, Belgrade, 11000, Serbia.; HPB Unit, Clinic for Digestive Surgery, Clinical Center of Serbia, Belgrade,  11000, Serbia.; HPB Unit, Clinic for Digestive Surgery, Clinical Center of Serbia, Belgrade,  11000, Serbia.; Medical School, University of Belgrade, Belgrade, 11000, Serbia.&lt;/_author_adr&gt;&lt;_date_display&gt;2021&lt;/_date_display&gt;&lt;_date&gt;2021-01-01&lt;/_date&gt;&lt;_isbn&gt;2253-5969 (Print); 2253-5969 (Electronic); 2253-5969 (Linking)&lt;/_isbn&gt;&lt;_journal&gt;J Hepatocell Carcinoma&lt;/_journal&gt;&lt;_keywords&gt;elderly; hepatectomy; hepatocellular carcinoma&lt;/_keywords&gt;&lt;_number&gt;4034&lt;/_number&gt;&lt;_pages&gt;155-165&lt;/_pages&gt;&lt;_url&gt;http://www.ncbi.nlm.nih.gov/entrez/query.fcgi?cmd=Retrieve&amp;amp;db=pubmed&amp;amp;dopt=Abstract&amp;amp;list_uids=33791251&amp;amp;query_hl=1_x000d__x000a_DO - 10.2147/JHC.S297296&lt;/_url&gt;&lt;_volume&gt;8&lt;/_volume&gt;&lt;_created&gt;66046014&lt;/_created&gt;&lt;_modified&gt;66046014&lt;/_modified&gt;&lt;_impact_factor&gt;   4.200&lt;/_impact_factor&gt;&lt;_social_category&gt;肿瘤学(3)&lt;/_social_category&gt;&lt;_collection_scope&gt;SCIE&lt;/_collection_scope&gt;&lt;/Details&gt;&lt;Extra&gt;&lt;DBUID&gt;{86835755-9694-411B-A931-C461F6E7F109}&lt;/DBUID&gt;&lt;/Extra&gt;&lt;/Item&gt;&lt;/References&gt;&lt;/Group&gt;&lt;Group&gt;&lt;References&gt;&lt;Item&gt;&lt;ID&gt;5343&lt;/ID&gt;&lt;UID&gt;{C3997C97-F34F-419F-9487-387B8C0C8516}&lt;/UID&gt;&lt;Title&gt;Influence of surgical approach and quality of resection on the probability of  cure for early-stage HCC occurring in cirrhosis&lt;/Title&gt;&lt;Template&gt;Journal Article&lt;/Template&gt;&lt;Star&gt;0&lt;/Star&gt;&lt;Tag&gt;0&lt;/Tag&gt;&lt;Author&gt;Hobeika, Christian; Nault, Jean Charles; Barbier, Louise; Schwarz, Lilian; Lim, Chetana; Laurent, Alexis; Gay, Suzanne; Salamé, Ephrem; Scatton, Olivier; Soubrane, Olivier; Cauchy, François&lt;/Author&gt;&lt;Year&gt;2020&lt;/Year&gt;&lt;Details&gt;&lt;_author_adr&gt;Department of HPB Surgery and Liver Transplantation, Beaujon Hospital, Clichy,  France.; Assistance Publique Hôpitaux de Paris, Université de Paris, Paris, France.; Liver Unit, Jean Verdier Hospital, Bondy, France.; Assistance Publique-Hôpitaux de Paris, Université Paris-XIII, Paris, France.; Unité de Formation et de Recherche Santé Médecine et Biologie Humaine, Université  Paris-XIII, Paris, France.; Centre de Recherche des Cordeliers, Inserm, Sorbonne Université, Université  Paris, INSERM UMR 1148 Functional Genomics of Solid Tumors laboratory, F-75006,  Paris, France.; Department of Digestive, Endocrine, HPB Surgery and Liver Transplantation,  Trousseau University Hospital, Tours, France.; INSERM U1082, Poitiers, France.; Department of Digestive Surgery, Charles Nicolle University Hospital, Rouen,  France.; Department of HPB Surgery and Liver Transplantation, Pitié-Salpêtrière Hospital,  Paris, France.; Assistance Publique-Hôpitaux de Paris, Université Paris Sorbonne, Paris, France.; Department of Digestive Surgery, Henri Mondor Hospital, Creteil, France.; Assistance Publique-Hôpitaux de Paris, Université Paris-Est Creteil, Paris,  France.; Department of Digestive Surgery, Charles Nicolle University Hospital, Rouen,  France.; Department of Digestive, Endocrine, HPB Surgery and Liver Transplantation,  Trousseau University Hospital, Tours, France.; INSERM U1082, Poitiers, France.; Department of HPB Surgery and Liver Transplantation, Pitié-Salpêtrière Hospital,  Paris, France.; Department of HPB Surgery and Liver Transplantation, Beaujon Hospital, Clichy,  France.; Centre de Recherche Sur l&amp;apos;Inflammation, Inserm, Université de Paris, INSERM UMR  1149 De l&amp;apos;Inflammation au Cancer Laboratory, Paris, France.; Department of HPB Surgery and Liver Transplantation, Beaujon Hospital, Clichy,  France.; Centre de Recherche Sur l&amp;apos;Inflammation, Inserm, Université de Paris, INSERM UMR  1149 De l&amp;apos;Inflammation au Cancer Laboratory, Paris, France.&lt;/_author_adr&gt;&lt;_date_display&gt;2020&lt;/_date_display&gt;&lt;_date&gt;2020-01-01&lt;/_date&gt;&lt;_isbn&gt;2589-5559 (Electronic); 2589-5559 (Linking)&lt;/_isbn&gt;&lt;_issue&gt;6&lt;/_issue&gt;&lt;_journal&gt;JHEP Rep&lt;/_journal&gt;&lt;_keywords&gt;AFP, alpha-fetoprotein; ALBI, albumin-bilirubin; CCI, Comprehensive Complication Index; CT, computed tomography; DFS, disease-free survival; HPB, hepato-pancreatico-biliary; HR, hazard ratio; Hepatocellular carcinoma; IMM, Institut Mutualiste Montsouris; ISGLS, International Study Group of Liver Surgery; LLR, laparoscopic liver resection; LOS, length of stay; LR, liver resection; Laparoscopic liver resection; MELD, model for end-stage liver disease; OLR, open liver resection; OR, odds ratio; OS, overall survival; PHLF, post-hepatectomy liver failure; Quality of care; Statistical cure; TO, textbook outcome; Textbook outcome; VIF, variance inflation factor&lt;/_keywords&gt;&lt;_number&gt;4033&lt;/_number&gt;&lt;_pages&gt;100153&lt;/_pages&gt;&lt;_url&gt;http://www.ncbi.nlm.nih.gov/entrez/query.fcgi?cmd=Retrieve&amp;amp;db=pubmed&amp;amp;dopt=Abstract&amp;amp;list_uids=32995713&amp;amp;query_hl=1_x000d__x000a_DO - 10.1016/j.jhepr.2020.100153&lt;/_url&gt;&lt;_volume&gt;2&lt;/_volume&gt;&lt;_created&gt;66046014&lt;/_created&gt;&lt;_modified&gt;66046014&lt;/_modified&gt;&lt;_impact_factor&gt;   9.500&lt;/_impact_factor&gt;&lt;_social_category&gt;胃肠肝病学(2)&lt;/_social_category&gt;&lt;_collection_scope&gt;SCIE&lt;/_collection_scope&gt;&lt;/Details&gt;&lt;Extra&gt;&lt;DBUID&gt;{86835755-9694-411B-A931-C461F6E7F109}&lt;/DBUID&gt;&lt;/Extra&gt;&lt;/Item&gt;&lt;/References&gt;&lt;/Group&gt;&lt;/Citation&gt;_x000a_"/>
    <w:docVar w:name="NE.Ref{8D4CAF8B-0D87-4C0B-AA31-35CD8A553064}" w:val=" ADDIN NE.Ref.{8D4CAF8B-0D87-4C0B-AA31-35CD8A553064}&lt;Citation&gt;&lt;Group&gt;&lt;References&gt;&lt;Item&gt;&lt;ID&gt;5334&lt;/ID&gt;&lt;UID&gt;{8576306A-DC3B-44A6-8789-1AB15F543E8B}&lt;/UID&gt;&lt;Title&gt;Tumor biology, immune infiltration and liver function define seven hepatocellular  carcinoma subtypes linked to distinct drivers, survival and drug response&lt;/Title&gt;&lt;Template&gt;Journal Article&lt;/Template&gt;&lt;Star&gt;0&lt;/Star&gt;&lt;Tag&gt;0&lt;/Tag&gt;&lt;Author&gt;Wu, Ruihong; Gao, Yue; Zhao, Xiaoxi; Guo, Shuang; Zhou, Hanxiao; Zhang, Yakun; Hou, Yaopan; Mei, Lan; Zhi, Hui; Wang, Peng; Li, Xia; Ning, Shangwei; Zhang, Yunpeng&lt;/Author&gt;&lt;Year&gt;2023&lt;/Year&gt;&lt;Details&gt;&lt;_author_adr&gt;College of Bioinformatics Science and Technology, Harbin Medical University,  Harbin, Heilongjiang, China; Phase I Clinical Research Center, First Hospital of  Jilin University, Chang chun, Jilin, China.; College of Bioinformatics Science and Technology, Harbin Medical University,  Harbin, Heilongjiang, China.; College of Bioinformatics Science and Technology, Harbin Medical University,  Harbin, Heilongjiang, China.; College of Bioinformatics Science and Technology, Harbin Medical University,  Harbin, Heilongjiang, China.; College of Bioinformatics Science and Technology, Harbin Medical University,  Harbin, Heilongjiang, China.; College of Bioinformatics Science and Technology, Harbin Medical University,  Harbin, Heilongjiang, China.; College of Bioinformatics Science and Technology, Harbin Medical University,  Harbin, Heilongjiang, China.; College of Bioinformatics Science and Technology, Harbin Medical University,  Harbin, Heilongjiang, China.; College of Bioinformatics Science and Technology, Harbin Medical University,  Harbin, Heilongjiang, China.; College of Bioinformatics Science and Technology, Harbin Medical University,  Harbin, Heilongjiang, China.; College of Bioinformatics Science and Technology, Harbin Medical University,  Harbin, Heilongjiang, China. Electronic address: lixia@hrbmu.edu.cn.; College of Bioinformatics Science and Technology, Harbin Medical University,  Harbin, Heilongjiang, China. Electronic address: ningsw@ems.hrbmu.edu.cn.; College of Bioinformatics Science and Technology, Harbin Medical University,  Harbin, Heilongjiang, China. Electronic address: zhangyp@hrbmu.edu.cn.&lt;/_author_adr&gt;&lt;_collection_scope&gt;SCIE;EI&lt;/_collection_scope&gt;&lt;_created&gt;66046014&lt;/_created&gt;&lt;_date&gt;2023-01-01&lt;/_date&gt;&lt;_date_display&gt;2023&lt;/_date_display&gt;&lt;_impact_factor&gt;   7.000&lt;/_impact_factor&gt;&lt;_isbn&gt;1879-0534 (Electronic); 0010-4825 (Linking)&lt;/_isbn&gt;&lt;_journal&gt;Comput Biol Med&lt;/_journal&gt;&lt;_keywords&gt;Drug response; Hepatocellular carcinoma; Immune desert; Immunotherapy response; Single sample classifier; Subtype; Tumor ecosystem&lt;/_keywords&gt;&lt;_modified&gt;66046014&lt;/_modified&gt;&lt;_number&gt;4086&lt;/_number&gt;&lt;_pages&gt;107593&lt;/_pages&gt;&lt;_social_category&gt;生物学(1) &amp;amp; 计算机：跨学科应用(2) &amp;amp; 工程：生物医学(2) &amp;amp; 数学与计算生物学(1)&lt;/_social_category&gt;&lt;_url&gt;http://www.ncbi.nlm.nih.gov/entrez/query.fcgi?cmd=Retrieve&amp;amp;db=pubmed&amp;amp;dopt=Abstract&amp;amp;list_uids=37883849&amp;amp;query_hl=1_x000d__x000a_DO - 10.1016/j.compbiomed.2023.107593&lt;/_url&gt;&lt;_volume&gt;167&lt;/_volume&gt;&lt;/Details&gt;&lt;Extra&gt;&lt;DBUID&gt;{86835755-9694-411B-A931-C461F6E7F109}&lt;/DBUID&gt;&lt;/Extra&gt;&lt;/Item&gt;&lt;/References&gt;&lt;/Group&gt;&lt;/Citation&gt;_x000a_"/>
    <w:docVar w:name="NE.Ref{8D9571A9-0443-4CE3-93BD-BEB40E856A90}" w:val=" ADDIN NE.Ref.{8D9571A9-0443-4CE3-93BD-BEB40E856A90}&lt;Citation&gt;&lt;Group&gt;&lt;References&gt;&lt;Item&gt;&lt;ID&gt;4077&lt;/ID&gt;&lt;UID&gt;{B1AA52F6-76FA-4EAB-A36D-B6C380E7DE9D}&lt;/UID&gt;&lt;Title&gt;Patients with Barcelona Clinic Liver Cancer Stages B and C Hepatocellular Carcinoma: Time for a Subclassification&lt;/Title&gt;&lt;Template&gt;Journal Article&lt;/Template&gt;&lt;Star&gt;0&lt;/Star&gt;&lt;Tag&gt;0&lt;/Tag&gt;&lt;Author&gt;Golfieri, Rita; Bargellini, Irene; Spreafico, Carlo; Trevisani, Franco&lt;/Author&gt;&lt;Year&gt;2019&lt;/Year&gt;&lt;Details&gt;&lt;_doi&gt;10.1159/000489791&lt;/_doi&gt;&lt;_created&gt;65957281&lt;/_created&gt;&lt;_modified&gt;65957281&lt;/_modified&gt;&lt;_url&gt;https://karger.com/article/doi/10.1159/000489791_x000d__x000a_https://www.karger.com/Article/Pdf/489791&lt;/_url&gt;&lt;_journal&gt;Liver Cancer&lt;/_journal&gt;&lt;_volume&gt;8&lt;/_volume&gt;&lt;_issue&gt;2&lt;/_issue&gt;&lt;_pages&gt;78-91&lt;/_pages&gt;&lt;_tertiary_title&gt;Liver Cancer&lt;/_tertiary_title&gt;&lt;_isbn&gt;2235-1795&lt;/_isbn&gt;&lt;_accessed&gt;65957281&lt;/_accessed&gt;&lt;_db_updated&gt;CrossRef&lt;/_db_updated&gt;&lt;_impact_factor&gt;  11.600&lt;/_impact_factor&gt;&lt;_social_category&gt;胃肠肝病学(1) &amp;amp; 肿瘤学(1)&lt;/_social_category&gt;&lt;_collection_scope&gt;SCIE&lt;/_collection_scope&gt;&lt;/Details&gt;&lt;Extra&gt;&lt;DBUID&gt;{F66D8B52-6641-45B4-915C-E1383885F5CE}&lt;/DBUID&gt;&lt;/Extra&gt;&lt;/Item&gt;&lt;/References&gt;&lt;/Group&gt;&lt;/Citation&gt;_x000a_"/>
    <w:docVar w:name="NE.Ref{901FB9C8-4300-4EAF-B4E9-FFF1FF42FB29}" w:val=" ADDIN NE.Ref.{901FB9C8-4300-4EAF-B4E9-FFF1FF42FB29}&lt;Citation&gt;&lt;Group&gt;&lt;References&gt;&lt;Item&gt;&lt;ID&gt;4075&lt;/ID&gt;&lt;UID&gt;{9080BDAF-BE77-4F5E-9480-36FD1E24390D}&lt;/UID&gt;&lt;Title&gt;BCLC strategy for prognosis prediction and treatment recommendation: The 2022  update&lt;/Title&gt;&lt;Template&gt;Journal Article&lt;/Template&gt;&lt;Star&gt;0&lt;/Star&gt;&lt;Tag&gt;0&lt;/Tag&gt;&lt;Author&gt;Reig, Maria; Forner, Alejandro; Rimola, Jordi; Ferrer-Fàbrega, Joana; Burrel, Marta; Garcia-Criado, Ángeles; Kelley, Robin K; Galle, Peter R; Mazzaferro, Vincenzo; Salem, Riad; Sangro, Bruno; Singal, Amit G; Vogel, Arndt; Fuster, Josep; Ayuso, Carmen; Bruix, Jordi&lt;/Author&gt;&lt;Year&gt;2022&lt;/Year&gt;&lt;Details&gt;&lt;_accession_num&gt;34801630&lt;/_accession_num&gt;&lt;_author_adr&gt;BCLC Group, Liver Unit, ICMDM, IDIBAPS, Hospital Clinic of Barcelona, University  of Barcelona, Barcelona, Spain; Centro de Investigación Biomédica en Red de  Enfermedades Hepáticas y Digestivas (CIBEREHD), Spain. Electronic address:  mreig1@clinic.cat.; BCLC Group, Liver Unit, ICMDM, IDIBAPS, Hospital Clinic of Barcelona, University  of Barcelona, Barcelona, Spain; Centro de Investigación Biomédica en Red de  Enfermedades Hepáticas y Digestivas (CIBEREHD), Spain.; BCLC Group, Radiology Department, CDI, Hospital Clinic of Barcelona, University  of Barcelona, Barcelona, Spain.; BCLC Group, Surgery Department, ICMDM, IDIBAPS, Hospital Clinic of Barcelona,  University of Barcelona, Barcelona, Spain.; BCLC Group, Vascular Department, CDI, Hospital Clinic of Barcelona, Barcelona  University, University of Barcelona, Barcelona, Spain.; BCLC Group, Radiology Department, CDI, Hospital Clinic of Barcelona, University  of Barcelona, Barcelona, Spain.; Helen Diller Family Comprehensive Cancer Center, University of California, San  Francisco, California, USA.; Department of Internal Medicine, Mainz University Medical Center, Mainz, Germany.; Department of Oncology, University of Milan and HPB Surgery and Liver  Transplantation, Fondazione IRCCS Istituto Nazionale Tumori, Milan, Italy.; Department of Radiology, Section of Interventional Radiology, Northwestern  University, Chicago, IL, USA.; Centro de Investigación Biomédica en Red de Enfermedades Hepáticas y Digestivas  (CIBEREHD), Spain; Liver Unit, Clinica Universidad de Navarra, Pamplona, Spain.; Department of Internal Medicine, University of Texas Southwestern Medical Center,  Dallas, Texas, USA.; Hannover Medical School, Department of Gastroenterology, Hepatology and  Endocrinology, Hannover, Germany.; Centro de Investigación Biomédica en Red de Enfermedades Hepáticas y Digestivas  (CIBEREHD), Spain; BCLC Group, Surgery Department, ICMDM, IDIBAPS, Hospital  Clinic of Barcelona, University of Barcelona, Barcelona, Spain.; Centro de Investigación Biomédica en Red de Enfermedades Hepáticas y Digestivas  (CIBEREHD), Spain; BCLC Group, Radiology Department, CDI, Hospital Clinic of  Barcelona, University of Barcelona, Barcelona, Spain.; BCLC Group, Liver Unit, ICMDM, IDIBAPS, Hospital Clinic of Barcelona, University  of Barcelona, Barcelona, Spain; Centro de Investigación Biomédica en Red de  Enfermedades Hepáticas y Digestivas (CIBEREHD), Spain. Electronic address:  jbruix@clinic.cat.&lt;/_author_adr&gt;&lt;_date_display&gt;2022 Mar&lt;/_date_display&gt;&lt;_date&gt;2022-03-01&lt;/_date&gt;&lt;_doi&gt;10.1016/j.jhep.2021.11.018&lt;/_doi&gt;&lt;_isbn&gt;1600-0641 (Electronic); 0168-8278 (Print); 0168-8278 (Linking)&lt;/_isbn&gt;&lt;_issue&gt;3&lt;/_issue&gt;&lt;_journal&gt;J Hepatol&lt;/_journal&gt;&lt;_keywords&gt;AFP; ALBI score; BCLC; HCC; TARE; ablation; liver transplantation TACE; surgery; survival; systemic treatment&lt;/_keywords&gt;&lt;_language&gt;eng&lt;/_language&gt;&lt;_ori_publication&gt;Copyright © 2021 European Association for the Study of the Liver. Published by _x000d__x000a_      Elsevier B.V. All rights reserved.&lt;/_ori_publication&gt;&lt;_pages&gt;681-693&lt;/_pages&gt;&lt;_subject_headings&gt;Carcinoma, Hepatocellular/*classification/complications; Female; Humans; Liver Neoplasms/classification/complications; Male; Middle Aged; Neoplasm Staging/methods/statistics &amp;amp; numerical data; *Prognosis; Severity of Illness Index&lt;/_subject_headings&gt;&lt;_tertiary_title&gt;Journal of hepatology&lt;/_tertiary_title&gt;&lt;_type_work&gt;Journal Article; Research Support, N.I.H., Extramural; Research Support, Non-U.S. Gov&amp;apos;t; Review&lt;/_type_work&gt;&lt;_url&gt;http://www.ncbi.nlm.nih.gov/entrez/query.fcgi?cmd=Retrieve&amp;amp;db=pubmed&amp;amp;dopt=Abstract&amp;amp;list_uids=34801630&amp;amp;query_hl=1&lt;/_url&gt;&lt;_volume&gt;76&lt;/_volume&gt;&lt;_created&gt;65957029&lt;/_created&gt;&lt;_modified&gt;65957029&lt;/_modified&gt;&lt;_impact_factor&gt;  26.800&lt;/_impact_factor&gt;&lt;_social_category&gt;胃肠肝病学(1)&lt;/_social_category&gt;&lt;_collection_scope&gt;SCIE&lt;/_collection_scope&gt;&lt;/Details&gt;&lt;Extra&gt;&lt;DBUID&gt;{58B27DCE-DEB8-4BEF-8139-AC677AF90E97}&lt;/DBUID&gt;&lt;/Extra&gt;&lt;/Item&gt;&lt;/References&gt;&lt;/Group&gt;&lt;/Citation&gt;_x000a_"/>
    <w:docVar w:name="NE.Ref{90D31326-8F16-4488-BED5-EDCFC94E2074}" w:val=" ADDIN NE.Ref.{90D31326-8F16-4488-BED5-EDCFC94E2074}&lt;Citation&gt;&lt;Group&gt;&lt;References&gt;&lt;Item&gt;&lt;ID&gt;4089&lt;/ID&gt;&lt;UID&gt;{03A1623E-02D2-4AAB-883D-5B9B631EC20C}&lt;/UID&gt;&lt;Title&gt;Fibrosis-4 Model Influences Results of Patients with Hepatocellular Carcinoma  Undergoing Hepatectomy&lt;/Title&gt;&lt;Template&gt;Journal Article&lt;/Template&gt;&lt;Star&gt;0&lt;/Star&gt;&lt;Tag&gt;0&lt;/Tag&gt;&lt;Author&gt;Wang, Haiqing; Liu, Aixiang; Bo, Wentao; Feng, Xielin; Hu, Yong; Tian, Lang; Zhang, Hui; Tang, Xiaoli; Zhang, Lixia&lt;/Author&gt;&lt;Year&gt;2018&lt;/Year&gt;&lt;Details&gt;&lt;_accession_num&gt;30057907&lt;/_accession_num&gt;&lt;_author_adr&gt;Department of Hepato-Biliary-Pancreatic Surgery, Sichuan Cancer Hospital &amp;amp;  Institute, Sichuan Cancer Center, School of Medicine, University of Electronic  Science and Technology of China, Chengdu, China.; Department of Hepato-Biliary-Pancreatic Surgery, Sichuan Cancer Hospital &amp;amp;  Institute, Sichuan Cancer Center, School of Medicine, University of Electronic  Science and Technology of China, Chengdu, China.; Department of Hepato-Biliary-Pancreatic Surgery, Sichuan Cancer Hospital &amp;amp;  Institute, Sichuan Cancer Center, School of Medicine, University of Electronic  Science and Technology of China, Chengdu, China.; Department of Hepato-Biliary-Pancreatic Surgery, Sichuan Cancer Hospital &amp;amp;  Institute, Sichuan Cancer Center, School of Medicine, University of Electronic  Science and Technology of China, Chengdu, China.; Department of Hepato-Biliary-Pancreatic Surgery, Sichuan Cancer Hospital &amp;amp;  Institute, Sichuan Cancer Center, School of Medicine, University of Electronic  Science and Technology of China, Chengdu, China.; Department of Hepato-Biliary-Pancreatic Surgery, Sichuan Cancer Hospital &amp;amp;  Institute, Sichuan Cancer Center, School of Medicine, University of Electronic  Science and Technology of China, Chengdu, China.; Department of Hepato-Biliary-Pancreatic Surgery, Sichuan Cancer Hospital &amp;amp;  Institute, Sichuan Cancer Center, School of Medicine, University of Electronic  Science and Technology of China, Chengdu, China.; Department of Hepato-Biliary-Pancreatic Surgery, Sichuan Cancer Hospital &amp;amp;  Institute, Sichuan Cancer Center, School of Medicine, University of Electronic  Science and Technology of China, Chengdu, China.; Department of Hepato-Biliary-Pancreatic Surgery, Sichuan Cancer Hospital &amp;amp;  Institute, Sichuan Cancer Center, School of Medicine, University of Electronic  Science and Technology of China, Chengdu, China.&lt;/_author_adr&gt;&lt;_date_display&gt;2018&lt;/_date_display&gt;&lt;_date&gt;2018-01-20&lt;/_date&gt;&lt;_doi&gt;10.1155/2018/4305408&lt;/_doi&gt;&lt;_isbn&gt;2314-6141 (Electronic); 2314-6133 (Print)&lt;/_isbn&gt;&lt;_journal&gt;Biomed Res Int&lt;/_journal&gt;&lt;_language&gt;eng&lt;/_language&gt;&lt;_pages&gt;4305408&lt;/_pages&gt;&lt;_subject_headings&gt;Adult; Carcinoma, Hepatocellular/pathology/*surgery; Disease-Free Survival; Female; *Hepatectomy; Humans; Liver Cirrhosis; Liver Neoplasms/pathology/*surgery; Male; Middle Aged; Prognosis; Retrospective Studies&lt;/_subject_headings&gt;&lt;_tertiary_title&gt;BioMed research international&lt;/_tertiary_title&gt;&lt;_type_work&gt;Journal Article&lt;/_type_work&gt;&lt;_url&gt;http://www.ncbi.nlm.nih.gov/entrez/query.fcgi?cmd=Retrieve&amp;amp;db=pubmed&amp;amp;dopt=Abstract&amp;amp;list_uids=30057907&amp;amp;query_hl=1&lt;/_url&gt;&lt;_volume&gt;2018&lt;/_volume&gt;&lt;_created&gt;65958344&lt;/_created&gt;&lt;_modified&gt;65958344&lt;/_modified&gt;&lt;_impact_factor&gt;   2.600&lt;/_impact_factor&gt;&lt;_collection_scope&gt;SCIE&lt;/_collection_scope&gt;&lt;/Details&gt;&lt;Extra&gt;&lt;DBUID&gt;{0CEE86E8-8862-4269-982C-12159126C1F0}&lt;/DBUID&gt;&lt;/Extra&gt;&lt;/Item&gt;&lt;/References&gt;&lt;/Group&gt;&lt;/Citation&gt;_x000a_"/>
    <w:docVar w:name="NE.Ref{916BE48F-C83B-42A1-BCA6-56D16ADCB05E}" w:val=" ADDIN NE.Ref.{916BE48F-C83B-42A1-BCA6-56D16ADCB05E}&lt;Citation&gt;&lt;Group&gt;&lt;References&gt;&lt;Item&gt;&lt;ID&gt;4046&lt;/ID&gt;&lt;UID&gt;{01BFC1AA-8BA9-4C40-8D86-FA576D5DAC23}&lt;/UID&gt;&lt;Title&gt;Progress and prospects of elastography techniques in the evaluation of fibrosis  in chronic liver disease&lt;/Title&gt;&lt;Template&gt;Journal Article&lt;/Template&gt;&lt;Star&gt;0&lt;/Star&gt;&lt;Tag&gt;0&lt;/Tag&gt;&lt;Author&gt;Wang, Yang; Yang, Xiaohuan; Wang, Sisi&lt;/Author&gt;&lt;Year&gt;2024&lt;/Year&gt;&lt;Details&gt;&lt;_accession_num&gt;39967950&lt;/_accession_num&gt;&lt;_author_adr&gt;Department of Ultrasound, Shandong Public Health Clinical Center, Jinan,  Shandong, China.; Department of Ultrasound, Central Hospital Affiliated To Shandong First Medical  University, Jinan, Shandong, China.; Department of Ultrasound, Shandong Public Health Clinical Center, Jinan,  Shandong, China.&lt;/_author_adr&gt;&lt;_date_display&gt;2024&lt;/_date_display&gt;&lt;_date&gt;2024-01-20&lt;/_date&gt;&lt;_doi&gt;10.5114/aoms/187079&lt;/_doi&gt;&lt;_isbn&gt;1734-1922 (Print); 1896-9151 (Electronic); 1734-1922 (Linking)&lt;/_isbn&gt;&lt;_issue&gt;6&lt;/_issue&gt;&lt;_journal&gt;Arch Med Sci&lt;/_journal&gt;&lt;_keywords&gt;biomarkers; chronic liver disease; elastography; fibrosis&lt;/_keywords&gt;&lt;_language&gt;eng&lt;/_language&gt;&lt;_ori_publication&gt;Copyright: © 2024 Termedia &amp;amp; Banach.&lt;/_ori_publication&gt;&lt;_pages&gt;1784-1792&lt;/_pages&gt;&lt;_tertiary_title&gt;Archives of medical science : AMS&lt;/_tertiary_title&gt;&lt;_type_work&gt;Journal Article&lt;/_type_work&gt;&lt;_url&gt;http://www.ncbi.nlm.nih.gov/entrez/query.fcgi?cmd=Retrieve&amp;amp;db=pubmed&amp;amp;dopt=Abstract&amp;amp;list_uids=39967950&amp;amp;query_hl=1&lt;/_url&gt;&lt;_volume&gt;20&lt;/_volume&gt;&lt;_created&gt;65956839&lt;/_created&gt;&lt;_modified&gt;65956839&lt;/_modified&gt;&lt;_impact_factor&gt;   3.000&lt;/_impact_factor&gt;&lt;_social_category&gt;医学：内科(3)&lt;/_social_category&gt;&lt;_collection_scope&gt;SCIE&lt;/_collection_scope&gt;&lt;/Details&gt;&lt;Extra&gt;&lt;DBUID&gt;{58B27DCE-DEB8-4BEF-8139-AC677AF90E97}&lt;/DBUID&gt;&lt;/Extra&gt;&lt;/Item&gt;&lt;/References&gt;&lt;/Group&gt;&lt;/Citation&gt;_x000a_"/>
    <w:docVar w:name="NE.Ref{9542C39C-8D87-4C58-8DA1-7F677196F8DF}" w:val=" ADDIN NE.Ref.{9542C39C-8D87-4C58-8DA1-7F677196F8DF}&lt;Citation&gt;&lt;Group&gt;&lt;References&gt;&lt;Item&gt;&lt;ID&gt;4041&lt;/ID&gt;&lt;UID&gt;{3D0FA5CB-2FB4-48D1-829E-F0717B444999}&lt;/UID&gt;&lt;Title&gt;Global cancer statistics 2022: GLOBOCAN estimates of incidence and mortality  worldwide for 36 cancers in 185 countries&lt;/Title&gt;&lt;Template&gt;Journal Article&lt;/Template&gt;&lt;Star&gt;0&lt;/Star&gt;&lt;Tag&gt;0&lt;/Tag&gt;&lt;Author&gt;Bray, Freddie; Laversanne, Mathieu; Sung, Hyuna; Ferlay, Jacques; Siegel, Rebecca L; Soerjomataram, Isabelle; Jemal, Ahmedin&lt;/Author&gt;&lt;Year&gt;2024&lt;/Year&gt;&lt;Details&gt;&lt;_accession_num&gt;38572751&lt;/_accession_num&gt;&lt;_author_adr&gt;Cancer Surveillance Branch, International Agency for Research on Cancer, Lyon,  France.; Cancer Surveillance Branch, International Agency for Research on Cancer, Lyon,  France.; Surveillance and Health Equity Science, American Cancer Society, Atlanta,  Georgia, USA.; Cancer Surveillance Branch, International Agency for Research on Cancer, Lyon,  France.; Surveillance and Health Equity Science, American Cancer Society, Atlanta,  Georgia, USA.; Cancer Surveillance Branch, International Agency for Research on Cancer, Lyon,  France.; Surveillance and Health Equity Science, American Cancer Society, Atlanta,  Georgia, USA.&lt;/_author_adr&gt;&lt;_date_display&gt;2024 May-Jun&lt;/_date_display&gt;&lt;_date&gt;2024-05-01&lt;/_date&gt;&lt;_doi&gt;10.3322/caac.21834&lt;/_doi&gt;&lt;_isbn&gt;1542-4863 (Electronic); 0007-9235 (Linking)&lt;/_isbn&gt;&lt;_issue&gt;3&lt;/_issue&gt;&lt;_journal&gt;CA Cancer J Clin&lt;/_journal&gt;&lt;_keywords&gt;cancer burden; cancer control; epidemiology; incidence; mortality&lt;/_keywords&gt;&lt;_language&gt;eng&lt;/_language&gt;&lt;_ori_publication&gt;© 2024 The Authors. CA: A Cancer Journal for Clinicians published by Wiley _x000d__x000a_      Periodicals LLC on behalf of American Cancer Society.&lt;/_ori_publication&gt;&lt;_pages&gt;229-263&lt;/_pages&gt;&lt;_subject_headings&gt;Humans; *Neoplasms/epidemiology/mortality; Male; Female; Incidence; *Global Health/statistics &amp;amp; numerical data; Adult; Middle Aged; Aged; Child; Adolescent; Child, Preschool; Infant; Young Adult; Sex Distribution; Infant, Newborn; Aged, 80 and over&lt;/_subject_headings&gt;&lt;_tertiary_title&gt;CA: a cancer journal for clinicians&lt;/_tertiary_title&gt;&lt;_type_work&gt;Journal Article; Research Support, Non-U.S. Gov&amp;apos;t&lt;/_type_work&gt;&lt;_url&gt;http://www.ncbi.nlm.nih.gov/entrez/query.fcgi?cmd=Retrieve&amp;amp;db=pubmed&amp;amp;dopt=Abstract&amp;amp;list_uids=38572751&amp;amp;query_hl=1&lt;/_url&gt;&lt;_volume&gt;74&lt;/_volume&gt;&lt;_created&gt;65956837&lt;/_created&gt;&lt;_modified&gt;65956837&lt;/_modified&gt;&lt;_impact_factor&gt; 521.600&lt;/_impact_factor&gt;&lt;_social_category&gt;肿瘤学(1)&lt;/_social_category&gt;&lt;_collection_scope&gt;SCIE&lt;/_collection_scope&gt;&lt;/Details&gt;&lt;Extra&gt;&lt;DBUID&gt;{58B27DCE-DEB8-4BEF-8139-AC677AF90E97}&lt;/DBUID&gt;&lt;/Extra&gt;&lt;/Item&gt;&lt;/References&gt;&lt;/Group&gt;&lt;/Citation&gt;_x000a_"/>
    <w:docVar w:name="NE.Ref{99A19864-FBB7-4EA8-B447-6DE451F63DE0}" w:val=" ADDIN NE.Ref.{99A19864-FBB7-4EA8-B447-6DE451F63DE0}&lt;Citation&gt;&lt;Group&gt;&lt;References&gt;&lt;Item&gt;&lt;ID&gt;5325&lt;/ID&gt;&lt;UID&gt;{2DADB34F-B57D-4831-B97D-BB1261C63C52}&lt;/UID&gt;&lt;Title&gt;Global cancer statistics 2022: GLOBOCAN estimates of incidence and mortality  worldwide for 36 cancers in 185 countries&lt;/Title&gt;&lt;Template&gt;Journal Article&lt;/Template&gt;&lt;Star&gt;0&lt;/Star&gt;&lt;Tag&gt;0&lt;/Tag&gt;&lt;Author&gt;Bray, Freddie; Laversanne, Mathieu; Sung, Hyuna; Ferlay, Jacques; Siegel, Rebecca L; Soerjomataram, Isabelle; Jemal, Ahmedin&lt;/Author&gt;&lt;Year&gt;2024&lt;/Year&gt;&lt;Details&gt;&lt;_author_adr&gt;Cancer Surveillance Branch, International Agency for Research on Cancer, Lyon,  France.; Cancer Surveillance Branch, International Agency for Research on Cancer, Lyon,  France.; Surveillance and Health Equity Science, American Cancer Society, Atlanta,  Georgia, USA.; Cancer Surveillance Branch, International Agency for Research on Cancer, Lyon,  France.; Surveillance and Health Equity Science, American Cancer Society, Atlanta,  Georgia, USA.; Cancer Surveillance Branch, International Agency for Research on Cancer, Lyon,  France.; Surveillance and Health Equity Science, American Cancer Society, Atlanta,  Georgia, USA.&lt;/_author_adr&gt;&lt;_date_display&gt;2024&lt;/_date_display&gt;&lt;_date&gt;2024-01-01&lt;/_date&gt;&lt;_isbn&gt;1542-4863 (Electronic); 0007-9235 (Linking)&lt;/_isbn&gt;&lt;_issue&gt;3&lt;/_issue&gt;&lt;_journal&gt;CA Cancer J Clin&lt;/_journal&gt;&lt;_keywords&gt;cancer burden; cancer control; epidemiology; incidence; mortality&lt;/_keywords&gt;&lt;_number&gt;4041&lt;/_number&gt;&lt;_pages&gt;229-263&lt;/_pages&gt;&lt;_url&gt;http://www.ncbi.nlm.nih.gov/entrez/query.fcgi?cmd=Retrieve&amp;amp;db=pubmed&amp;amp;dopt=Abstract&amp;amp;list_uids=38572751&amp;amp;query_hl=1_x000d__x000a_DO - 10.3322/caac.21834&lt;/_url&gt;&lt;_volume&gt;74&lt;/_volume&gt;&lt;_created&gt;66046014&lt;/_created&gt;&lt;_modified&gt;66046014&lt;/_modified&gt;&lt;_impact_factor&gt; 521.600&lt;/_impact_factor&gt;&lt;_social_category&gt;肿瘤学(1)&lt;/_social_category&gt;&lt;_collection_scope&gt;SCIE&lt;/_collection_scope&gt;&lt;/Details&gt;&lt;Extra&gt;&lt;DBUID&gt;{86835755-9694-411B-A931-C461F6E7F109}&lt;/DBUID&gt;&lt;/Extra&gt;&lt;/Item&gt;&lt;/References&gt;&lt;/Group&gt;&lt;/Citation&gt;_x000a_"/>
    <w:docVar w:name="NE.Ref{A96988B8-C261-4FCC-93D3-1AE6006B61D0}" w:val=" ADDIN NE.Ref.{A96988B8-C261-4FCC-93D3-1AE6006B61D0}&lt;Citation&gt;&lt;Group&gt;&lt;References&gt;&lt;Item&gt;&lt;ID&gt;4082&lt;/ID&gt;&lt;UID&gt;{5CC04807-D84D-4EA6-9F4E-6D99BC0980DF}&lt;/UID&gt;&lt;Title&gt;ALBI score combined with FIB-4 index to predict post-hepatectomy liver failure in  patients with hepatocellular carcinoma&lt;/Title&gt;&lt;Template&gt;Journal Article&lt;/Template&gt;&lt;Star&gt;0&lt;/Star&gt;&lt;Tag&gt;0&lt;/Tag&gt;&lt;Author&gt;Tian, Yi-Bo; Niu, Hong; Xu, Feng; Shang-Guan, Peng-Wei; Song, Wei-Wei&lt;/Author&gt;&lt;Year&gt;2024&lt;/Year&gt;&lt;Details&gt;&lt;_accession_num&gt;38580647&lt;/_accession_num&gt;&lt;_author_adr&gt;Department of Hepatobiliary Surgery, Jincheng People&amp;apos;s Hospital, Jincheng,  048026, Shanxi Province, China.; Department of Emergency, Jincheng General Hospital, Jincheng, 048000, Shanxi  Province, China.; Department of Gastroenterology, Jincheng General Hospital, Jincheng, 048000,  Shanxi Province, China.; Department of General Surgery, Jincheng General Hospital, Jincheng, 048000,  Shanxi Province, China. xf3646089@sina.com.; Department of General Surgery, Jincheng General Hospital, Jincheng, 048000,  Shanxi Province, China.; Department of Medical Quality Control, Jincheng General Hospital, Jincheng,  048000, Shanxi Province, China.&lt;/_author_adr&gt;&lt;_date_display&gt;2024 Apr 5&lt;/_date_display&gt;&lt;_date&gt;2024-04-05&lt;/_date&gt;&lt;_doi&gt;10.1038/s41598-024-58205-5&lt;/_doi&gt;&lt;_isbn&gt;2045-2322 (Electronic); 2045-2322 (Linking)&lt;/_isbn&gt;&lt;_issue&gt;1&lt;/_issue&gt;&lt;_journal&gt;Sci Rep&lt;/_journal&gt;&lt;_keywords&gt;Albumin-bilirubin (ALBI) score; Fibrosis-4 (FIB-4) index; Hepatectomy; Hepatocellular carcinoma; Post-hepatectomy liver failure&lt;/_keywords&gt;&lt;_language&gt;eng&lt;/_language&gt;&lt;_ori_publication&gt;© 2024. The Author(s).&lt;/_ori_publication&gt;&lt;_pages&gt;8034&lt;/_pages&gt;&lt;_subject_headings&gt;Humans; *Carcinoma, Hepatocellular/pathology; Hepatectomy/adverse effects; *Liver Neoplasms/pathology; Prognosis; Serum Albumin/analysis; *Liver Failure/diagnosis/etiology; Fibrosis; Retrospective Studies&lt;/_subject_headings&gt;&lt;_tertiary_title&gt;Scientific reports&lt;/_tertiary_title&gt;&lt;_type_work&gt;Journal Article&lt;/_type_work&gt;&lt;_url&gt;http://www.ncbi.nlm.nih.gov/entrez/query.fcgi?cmd=Retrieve&amp;amp;db=pubmed&amp;amp;dopt=Abstract&amp;amp;list_uids=38580647&amp;amp;query_hl=1&lt;/_url&gt;&lt;_volume&gt;14&lt;/_volume&gt;&lt;_created&gt;65957324&lt;/_created&gt;&lt;_modified&gt;65957324&lt;/_modified&gt;&lt;_impact_factor&gt;   3.800&lt;/_impact_factor&gt;&lt;_social_category&gt;综合性期刊(2)&lt;/_social_category&gt;&lt;_collection_scope&gt;SCIE&lt;/_collection_scope&gt;&lt;/Details&gt;&lt;Extra&gt;&lt;DBUID&gt;{F66D8B52-6641-45B4-915C-E1383885F5CE}&lt;/DBUID&gt;&lt;/Extra&gt;&lt;/Item&gt;&lt;/References&gt;&lt;/Group&gt;&lt;/Citation&gt;_x000a_"/>
    <w:docVar w:name="NE.Ref{AEB094AE-8B6D-4A78-9E5B-F9DC54F89103}" w:val=" ADDIN NE.Ref.{AEB094AE-8B6D-4A78-9E5B-F9DC54F89103}&lt;Citation&gt;&lt;Group&gt;&lt;References&gt;&lt;Item&gt;&lt;ID&gt;5356&lt;/ID&gt;&lt;UID&gt;{86C957C1-65DB-4464-8572-9492E5E9DA6A}&lt;/UID&gt;&lt;Title&gt;Prognostic staging system for hepatocellular carcinoma (CLIP score): its value  and limitations, and a proposal for a new staging system, the Japan Integrated  Staging Score (JIS score)&lt;/Title&gt;&lt;Template&gt;Journal Article&lt;/Template&gt;&lt;Star&gt;0&lt;/Star&gt;&lt;Tag&gt;0&lt;/Tag&gt;&lt;Author&gt;Kudo, Masatoshi; Chung, Hobyung; Osaki, Yukio&lt;/Author&gt;&lt;Year&gt;2003&lt;/Year&gt;&lt;Details&gt;&lt;_author_adr&gt;Department of Gastroenterology and Hepatology, Kinki University School of  Medicine, 377-2 Ohno-Higashi, Osaka-Sayama 589-8511, Japan.&lt;/_author_adr&gt;&lt;_date_display&gt;2003&lt;/_date_display&gt;&lt;_date&gt;2003-01-01&lt;/_date&gt;&lt;_isbn&gt;0944-1174 (Print); 0944-1174 (Linking)&lt;/_isbn&gt;&lt;_issue&gt;3&lt;/_issue&gt;&lt;_journal&gt;J Gastroenterol&lt;/_journal&gt;&lt;_number&gt;4074&lt;/_number&gt;&lt;_pages&gt;207-15&lt;/_pages&gt;&lt;_url&gt;http://www.ncbi.nlm.nih.gov/entrez/query.fcgi?cmd=Retrieve&amp;amp;db=pubmed&amp;amp;dopt=Abstract&amp;amp;list_uids=12673442&amp;amp;query_hl=1_x000d__x000a_DO - 10.1007/s005350300038&lt;/_url&gt;&lt;_volume&gt;38&lt;/_volume&gt;&lt;_created&gt;66046014&lt;/_created&gt;&lt;_modified&gt;66046014&lt;/_modified&gt;&lt;_impact_factor&gt;   6.900&lt;/_impact_factor&gt;&lt;_social_category&gt;胃肠肝病学(2)&lt;/_social_category&gt;&lt;_collection_scope&gt;SCIE&lt;/_collection_scope&gt;&lt;/Details&gt;&lt;Extra&gt;&lt;DBUID&gt;{86835755-9694-411B-A931-C461F6E7F109}&lt;/DBUID&gt;&lt;/Extra&gt;&lt;/Item&gt;&lt;/References&gt;&lt;/Group&gt;&lt;Group&gt;&lt;References&gt;&lt;Item&gt;&lt;ID&gt;5344&lt;/ID&gt;&lt;UID&gt;{2A1A0D91-08CA-4E91-81CA-26C590F317FC}&lt;/UID&gt;&lt;Title&gt;Biomarkers in Hepatocellular Carcinoma: Diagnosis, Prognosis and Treatment  Response Assessment&lt;/Title&gt;&lt;Template&gt;Journal Article&lt;/Template&gt;&lt;Star&gt;0&lt;/Star&gt;&lt;Tag&gt;0&lt;/Tag&gt;&lt;Author&gt;Piñero, Federico; Dirchwolf, Melisa; Pessôa, Mário G&lt;/Author&gt;&lt;Year&gt;2020&lt;/Year&gt;&lt;Details&gt;&lt;_author_adr&gt;Hepatology and Liver Transplant Unit, Hospital Universitario Austral, School of  Medicine, Austral University, Buenos Aires B1629AHJ, Argentina.; Latin American Liver Research Educational and Awareness Network (LALREAN), Buenos  Aires B1629AHJ, Argentina.; Liver Unit, Hospital Privado de Rosario, Rosario 2000, Santa Fe, Argentina.; Division of Gastroenterology and Hepatology, University of São Paulo School of  Medicine, São Paulo 05403-000, Brazil.&lt;/_author_adr&gt;&lt;_date_display&gt;2020&lt;/_date_display&gt;&lt;_date&gt;2020-01-01&lt;/_date&gt;&lt;_isbn&gt;2073-4409 (Electronic); 2073-4409 (Linking)&lt;/_isbn&gt;&lt;_issue&gt;6&lt;/_issue&gt;&lt;_journal&gt;Cells&lt;/_journal&gt;&lt;_keywords&gt;biological; liver cancer; markers&lt;/_keywords&gt;&lt;_number&gt;4076&lt;/_number&gt;&lt;_url&gt;http://www.ncbi.nlm.nih.gov/entrez/query.fcgi?cmd=Retrieve&amp;amp;db=pubmed&amp;amp;dopt=Abstract&amp;amp;list_uids=32492896&amp;amp;query_hl=1_x000d__x000a_DO - 10.3390/cells9061370&lt;/_url&gt;&lt;_volume&gt;9&lt;/_volume&gt;&lt;_created&gt;66046014&lt;/_created&gt;&lt;_modified&gt;66046014&lt;/_modified&gt;&lt;_impact_factor&gt;   5.100&lt;/_impact_factor&gt;&lt;_social_category&gt;细胞生物学(3)&lt;/_social_category&gt;&lt;_collection_scope&gt;SCIE&lt;/_collection_scope&gt;&lt;/Details&gt;&lt;Extra&gt;&lt;DBUID&gt;{86835755-9694-411B-A931-C461F6E7F109}&lt;/DBUID&gt;&lt;/Extra&gt;&lt;/Item&gt;&lt;/References&gt;&lt;/Group&gt;&lt;/Citation&gt;_x000a_"/>
    <w:docVar w:name="NE.Ref{B039135B-F132-4206-B2DA-4B139CE4D591}" w:val=" ADDIN NE.Ref.{B039135B-F132-4206-B2DA-4B139CE4D591}&lt;Citation&gt;&lt;Group&gt;&lt;References&gt;&lt;Item&gt;&lt;ID&gt;4053&lt;/ID&gt;&lt;UID&gt;{BC48A1D0-9195-42D8-9BBF-B7D0546E0D91}&lt;/UID&gt;&lt;Title&gt;BCLC strategy for prognosis prediction and treatment recommendation: The 2022 update&lt;/Title&gt;&lt;Template&gt;Journal Article&lt;/Template&gt;&lt;Star&gt;0&lt;/Star&gt;&lt;Tag&gt;0&lt;/Tag&gt;&lt;Author&gt;Reig, Maria; Forner, Alejandro; Rimola, Jordi; Ferrer-Fàbrega, Joana; Burrel, Marta; Garcia-Criado, Ángeles; Kelley, Robin K; Galle, Peter R; Mazzaferro, Vincenzo; Salem, Riad; Sangro, Bruno; Singal, Amit G; Vogel, Arndt; Fuster, Josep; Ayuso, Carmen; Bruix, Jordi&lt;/Author&gt;&lt;Year&gt;2022&lt;/Year&gt;&lt;Details&gt;&lt;_accessed&gt;65956842&lt;/_accessed&gt;&lt;_collection_scope&gt;SCIE&lt;/_collection_scope&gt;&lt;_created&gt;65956842&lt;/_created&gt;&lt;_db_updated&gt;CrossRef&lt;/_db_updated&gt;&lt;_doi&gt;10.1016/j.jhep.2021.11.018&lt;/_doi&gt;&lt;_impact_factor&gt;  26.800&lt;/_impact_factor&gt;&lt;_isbn&gt;01688278&lt;/_isbn&gt;&lt;_issue&gt;3&lt;/_issue&gt;&lt;_journal&gt;Journal of Hepatology&lt;/_journal&gt;&lt;_modified&gt;65956842&lt;/_modified&gt;&lt;_pages&gt;681-693&lt;/_pages&gt;&lt;_social_category&gt;胃肠肝病学(1)&lt;/_social_category&gt;&lt;_tertiary_title&gt;Journal of Hepatology&lt;/_tertiary_title&gt;&lt;_url&gt;https://linkinghub.elsevier.com/retrieve/pii/S0168827821022236_x000d__x000a_https://api.elsevier.com/content/article/PII:S0168827821022236?httpAccept=text/xml&lt;/_url&gt;&lt;_volume&gt;76&lt;/_volume&gt;&lt;/Details&gt;&lt;Extra&gt;&lt;DBUID&gt;{F66D8B52-6641-45B4-915C-E1383885F5CE}&lt;/DBUID&gt;&lt;/Extra&gt;&lt;/Item&gt;&lt;/References&gt;&lt;/Group&gt;&lt;/Citation&gt;_x000a_"/>
    <w:docVar w:name="NE.Ref{B1ADE4AD-4C15-4346-9B42-2342A72C0388}" w:val=" ADDIN NE.Ref.{B1ADE4AD-4C15-4346-9B42-2342A72C0388}&lt;Citation&gt;&lt;Group&gt;&lt;References&gt;&lt;Item&gt;&lt;ID&gt;4086&lt;/ID&gt;&lt;UID&gt;{D42B4904-8A3A-4A46-B601-BA589CB7F9D4}&lt;/UID&gt;&lt;Title&gt;Tumor biology, immune infiltration and liver function define seven hepatocellular  carcinoma subtypes linked to distinct drivers, survival and drug response&lt;/Title&gt;&lt;Template&gt;Journal Article&lt;/Template&gt;&lt;Star&gt;0&lt;/Star&gt;&lt;Tag&gt;0&lt;/Tag&gt;&lt;Author&gt;Wu, Ruihong; Gao, Yue; Zhao, Xiaoxi; Guo, Shuang; Zhou, Hanxiao; Zhang, Yakun; Hou, Yaopan; Mei, Lan; Zhi, Hui; Wang, Peng; Li, Xia; Ning, Shangwei; Zhang, Yunpeng&lt;/Author&gt;&lt;Year&gt;2023&lt;/Year&gt;&lt;Details&gt;&lt;_accession_num&gt;37883849&lt;/_accession_num&gt;&lt;_author_adr&gt;College of Bioinformatics Science and Technology, Harbin Medical University,  Harbin, Heilongjiang, China; Phase I Clinical Research Center, First Hospital of  Jilin University, Chang chun, Jilin, China.; College of Bioinformatics Science and Technology, Harbin Medical University,  Harbin, Heilongjiang, China.; College of Bioinformatics Science and Technology, Harbin Medical University,  Harbin, Heilongjiang, China.; College of Bioinformatics Science and Technology, Harbin Medical University,  Harbin, Heilongjiang, China.; College of Bioinformatics Science and Technology, Harbin Medical University,  Harbin, Heilongjiang, China.; College of Bioinformatics Science and Technology, Harbin Medical University,  Harbin, Heilongjiang, China.; College of Bioinformatics Science and Technology, Harbin Medical University,  Harbin, Heilongjiang, China.; College of Bioinformatics Science and Technology, Harbin Medical University,  Harbin, Heilongjiang, China.; College of Bioinformatics Science and Technology, Harbin Medical University,  Harbin, Heilongjiang, China.; College of Bioinformatics Science and Technology, Harbin Medical University,  Harbin, Heilongjiang, China.; College of Bioinformatics Science and Technology, Harbin Medical University,  Harbin, Heilongjiang, China. Electronic address: lixia@hrbmu.edu.cn.; College of Bioinformatics Science and Technology, Harbin Medical University,  Harbin, Heilongjiang, China. Electronic address: ningsw@ems.hrbmu.edu.cn.; College of Bioinformatics Science and Technology, Harbin Medical University,  Harbin, Heilongjiang, China. Electronic address: zhangyp@hrbmu.edu.cn.&lt;/_author_adr&gt;&lt;_date_display&gt;2023 Dec&lt;/_date_display&gt;&lt;_date&gt;2023-12-01&lt;/_date&gt;&lt;_doi&gt;10.1016/j.compbiomed.2023.107593&lt;/_doi&gt;&lt;_isbn&gt;1879-0534 (Electronic); 0010-4825 (Linking)&lt;/_isbn&gt;&lt;_journal&gt;Comput Biol Med&lt;/_journal&gt;&lt;_keywords&gt;Drug response; Hepatocellular carcinoma; Immune desert; Immunotherapy response; Single sample classifier; Subtype; Tumor ecosystem&lt;/_keywords&gt;&lt;_language&gt;eng&lt;/_language&gt;&lt;_ori_publication&gt;Copyright © 2023. Published by Elsevier Ltd.&lt;/_ori_publication&gt;&lt;_pages&gt;107593&lt;/_pages&gt;&lt;_subject_headings&gt;Humans; *Carcinoma, Hepatocellular/genetics; Ecosystem; *Chemoembolization, Therapeutic; *Liver Neoplasms/genetics; Genomics; Tumor Microenvironment/genetics&lt;/_subject_headings&gt;&lt;_tertiary_title&gt;Computers in biology and medicine&lt;/_tertiary_title&gt;&lt;_type_work&gt;Journal Article; Research Support, Non-U.S. Gov&amp;apos;t&lt;/_type_work&gt;&lt;_url&gt;http://www.ncbi.nlm.nih.gov/entrez/query.fcgi?cmd=Retrieve&amp;amp;db=pubmed&amp;amp;dopt=Abstract&amp;amp;list_uids=37883849&amp;amp;query_hl=1&lt;/_url&gt;&lt;_volume&gt;167&lt;/_volume&gt;&lt;_created&gt;65957362&lt;/_created&gt;&lt;_modified&gt;65957362&lt;/_modified&gt;&lt;_impact_factor&gt;   7.000&lt;/_impact_factor&gt;&lt;_social_category&gt;生物学(1) &amp;amp; 计算机：跨学科应用(2) &amp;amp; 工程：生物医学(2) &amp;amp; 数学与计算生物学(1)&lt;/_social_category&gt;&lt;_collection_scope&gt;SCIE;EI&lt;/_collection_scope&gt;&lt;/Details&gt;&lt;Extra&gt;&lt;DBUID&gt;{F66D8B52-6641-45B4-915C-E1383885F5CE}&lt;/DBUID&gt;&lt;/Extra&gt;&lt;/Item&gt;&lt;/References&gt;&lt;/Group&gt;&lt;/Citation&gt;_x000a_"/>
    <w:docVar w:name="NE.Ref{B6A8445B-D049-4AFA-B446-06CFF64A123E}" w:val=" ADDIN NE.Ref.{B6A8445B-D049-4AFA-B446-06CFF64A123E}&lt;Citation&gt;&lt;Group&gt;&lt;References&gt;&lt;Item&gt;&lt;ID&gt;5326&lt;/ID&gt;&lt;UID&gt;{2009E012-DA61-4D46-9CD6-A98B3DE7C581}&lt;/UID&gt;&lt;Title&gt;Impact of Liver Fibrosis Severity on Oncological Prognosis in Hepatocellular  Carcinoma&lt;/Title&gt;&lt;Template&gt;Journal Article&lt;/Template&gt;&lt;Star&gt;0&lt;/Star&gt;&lt;Tag&gt;0&lt;/Tag&gt;&lt;Author&gt;Yasukawa, Koya; Shimizu, Akira; Kubota, Koji; Notake, Tsuyoshi; Hosoda, Kiyotaka; Hayashi, Hikaru; Soejima, Yuji&lt;/Author&gt;&lt;Year&gt;2024&lt;/Year&gt;&lt;Details&gt;&lt;_author_adr&gt;Division of Gastroenterological, Hepato-Biliary-Pancreatic, Transplantation and  Pediatric Surgery, Department of Surgery, Shinshu University School of Medicine,  Matsumoto, Japan.; Division of Gastroenterological, Hepato-Biliary-Pancreatic, Transplantation and  Pediatric Surgery, Department of Surgery, Shinshu University School of Medicine,  Matsumoto, Japan.; Division of Gastroenterological, Hepato-Biliary-Pancreatic, Transplantation and  Pediatric Surgery, Department of Surgery, Shinshu University School of Medicine,  Matsumoto, Japan.; Division of Gastroenterological, Hepato-Biliary-Pancreatic, Transplantation and  Pediatric Surgery, Department of Surgery, Shinshu University School of Medicine,  Matsumoto, Japan.; Division of Gastroenterological, Hepato-Biliary-Pancreatic, Transplantation and  Pediatric Surgery, Department of Surgery, Shinshu University School of Medicine,  Matsumoto, Japan.; Division of Gastroenterological, Hepato-Biliary-Pancreatic, Transplantation and  Pediatric Surgery, Department of Surgery, Shinshu University School of Medicine,  Matsumoto, Japan.; Division of Gastroenterological, Hepato-Biliary-Pancreatic, Transplantation and  Pediatric Surgery, Department of Surgery, Shinshu University School of Medicine,  Matsumoto, Japan.&lt;/_author_adr&gt;&lt;_date_display&gt;2024&lt;/_date_display&gt;&lt;_date&gt;2024-01-01&lt;/_date&gt;&lt;_isbn&gt;2235-1795 (Print); 1664-5553 (Electronic); 1664-5553 (Linking)&lt;/_isbn&gt;&lt;_issue&gt;2&lt;/_issue&gt;&lt;_journal&gt;Liver Cancer&lt;/_journal&gt;&lt;_keywords&gt;Hepatocellular carcinoma; Liver cirrhosis; Liver fibrosis&lt;/_keywords&gt;&lt;_number&gt;4042&lt;/_number&gt;&lt;_pages&gt;150-160&lt;/_pages&gt;&lt;_url&gt;http://www.ncbi.nlm.nih.gov/entrez/query.fcgi?cmd=Retrieve&amp;amp;db=pubmed&amp;amp;dopt=Abstract&amp;amp;list_uids=38751553&amp;amp;query_hl=1_x000d__x000a_DO - 10.1159/000533857&lt;/_url&gt;&lt;_volume&gt;13&lt;/_volume&gt;&lt;_created&gt;66046014&lt;/_created&gt;&lt;_modified&gt;66046014&lt;/_modified&gt;&lt;_impact_factor&gt;  11.600&lt;/_impact_factor&gt;&lt;_social_category&gt;胃肠肝病学(1) &amp;amp; 肿瘤学(1)&lt;/_social_category&gt;&lt;_collection_scope&gt;SCIE&lt;/_collection_scope&gt;&lt;/Details&gt;&lt;Extra&gt;&lt;DBUID&gt;{86835755-9694-411B-A931-C461F6E7F109}&lt;/DBUID&gt;&lt;/Extra&gt;&lt;/Item&gt;&lt;/References&gt;&lt;/Group&gt;&lt;/Citation&gt;_x000a_"/>
    <w:docVar w:name="NE.Ref{BDBF19BD-58A6-484E-A977-8BC4E53775D7}" w:val=" ADDIN NE.Ref.{BDBF19BD-58A6-484E-A977-8BC4E53775D7}&lt;Citation&gt;&lt;Group&gt;&lt;References&gt;&lt;Item&gt;&lt;ID&gt;5800&lt;/ID&gt;&lt;UID&gt;{19197D68-66D7-4FA1-B10A-A5EB4CFD5FFE}&lt;/UID&gt;&lt;Title&gt;New Blood Biomarkers for the Diagnosis of AFP-Negative Hepatocellular Carcinoma&lt;/Title&gt;&lt;Template&gt;Journal Article&lt;/Template&gt;&lt;Star&gt;0&lt;/Star&gt;&lt;Tag&gt;0&lt;/Tag&gt;&lt;Author&gt;Wang, Ting; Zhang, Kun-He&lt;/Author&gt;&lt;Year&gt;2020&lt;/Year&gt;&lt;Details&gt;&lt;_accession_num&gt;32923383&lt;/_accession_num&gt;&lt;_author_adr&gt;Department of Gastroenterology, Jiangxi Institute of Gastroenterology &amp;amp;  Hepatology, The First Affiliated Hospital of Nanchang University, Nanchang,  China.; Department of Gastroenterology, Jiangxi Institute of Gastroenterology &amp;amp;  Hepatology, The First Affiliated Hospital of Nanchang University, Nanchang,  China.&lt;/_author_adr&gt;&lt;_date_display&gt;2020&lt;/_date_display&gt;&lt;_date&gt;2020-01-20&lt;/_date&gt;&lt;_doi&gt;10.3389/fonc.2020.01316&lt;/_doi&gt;&lt;_isbn&gt;2234-943X (Print); 2234-943X (Electronic); 2234-943X (Linking)&lt;/_isbn&gt;&lt;_journal&gt;Front Oncol&lt;/_journal&gt;&lt;_keywords&gt;AFP-negative; DNA; RNA; blood biomarkers; diagnosis; hepatocellular carcinoma; protein&lt;/_keywords&gt;&lt;_language&gt;eng&lt;/_language&gt;&lt;_ori_publication&gt;Copyright © 2020 Wang and Zhang.&lt;/_ori_publication&gt;&lt;_pages&gt;1316&lt;/_pages&gt;&lt;_tertiary_title&gt;Frontiers in oncology&lt;/_tertiary_title&gt;&lt;_type_work&gt;Journal Article; Review&lt;/_type_work&gt;&lt;_url&gt;http://www.ncbi.nlm.nih.gov/entrez/query.fcgi?cmd=Retrieve&amp;amp;db=pubmed&amp;amp;dopt=Abstract&amp;amp;list_uids=32923383&amp;amp;query_hl=1&lt;/_url&gt;&lt;_volume&gt;10&lt;/_volume&gt;&lt;_created&gt;66468206&lt;/_created&gt;&lt;_modified&gt;66468206&lt;/_modified&gt;&lt;_impact_factor&gt;   3.300&lt;/_impact_factor&gt;&lt;_social_category&gt;肿瘤学(4)&lt;/_social_category&gt;&lt;_collection_scope&gt;SCIE&lt;/_collection_scope&gt;&lt;/Details&gt;&lt;Extra&gt;&lt;DBUID&gt;{86835755-9694-411B-A931-C461F6E7F109}&lt;/DBUID&gt;&lt;/Extra&gt;&lt;/Item&gt;&lt;/References&gt;&lt;/Group&gt;&lt;Group&gt;&lt;References&gt;&lt;Item&gt;&lt;ID&gt;5801&lt;/ID&gt;&lt;UID&gt;{6413EE6B-B520-476B-A2AB-88F2A57EE8B1}&lt;/UID&gt;&lt;Title&gt;EpCAM-positive circulating tumor cells and serum AFP levels predict outcome after  curative resection of hepatocellular carcinoma&lt;/Title&gt;&lt;Template&gt;Journal Article&lt;/Template&gt;&lt;Star&gt;0&lt;/Star&gt;&lt;Tag&gt;0&lt;/Tag&gt;&lt;Author&gt;Kocheise, Lorenz; Schoenlein, Martin; Behrends, Berit; Joerg, Vincent; Casar, Christian; Fruendt, Thorben W; Renné, Thomas; Heumann, Asmus; Li, Jun; Huber, Samuel; Lohse, Ansgar W; Pantel, Klaus; Riethdorf, Sabine; Wege, Henning; Schulze, Kornelius; von Felden, Johann&lt;/Author&gt;&lt;Year&gt;2023&lt;/Year&gt;&lt;Details&gt;&lt;_accession_num&gt;38012205&lt;/_accession_num&gt;&lt;_author_adr&gt;I. Department of Medicine, University Medical Center Hamburg-Eppendorf,  Martinistr. 52, 20246, Hamburg, Germany.; Department of Oncology, Hematology and Bone Marrow Transplantation with Section  Pneumology, Hubertus Wald University Comprehensive Cancer Center Hamburg,  University Medical Center Hamburg-Eppendorf, Hamburg, Germany.; Institute of Clinical Chemistry and Laboratory Medicine, University Medical  Center Hamburg-Eppendorf, Hamburg, Germany.; I. Department of Medicine, University Medical Center Hamburg-Eppendorf,  Martinistr. 52, 20246, Hamburg, Germany.; I. Department of Medicine, University Medical Center Hamburg-Eppendorf,  Martinistr. 52, 20246, Hamburg, Germany.; Bioinformatics Core, University Medical Center Hamburg-Eppendorf, Hamburg,  Germany.; I. Department of Medicine, University Medical Center Hamburg-Eppendorf,  Martinistr. 52, 20246, Hamburg, Germany.; Institute of Clinical Chemistry and Laboratory Medicine, University Medical  Center Hamburg-Eppendorf, Hamburg, Germany.; Irish Centre for Vascular Biology, School of Pharmacy and Biomolecular Sciences,  Royal College of Surgeons in Ireland, Dublin, Ireland.; Center for Thrombosis and Hemostasis (CTH), Johannes Gutenberg University Medical  Center, Mainz, Germany.; Department of General, Visceral and Thoracic Surgery, University Medical Center  Hamburg-Eppendorf, Hamburg, Germany.; Department of General, Visceral and Thoracic Surgery, University Medical Center  Hamburg-Eppendorf, Hamburg, Germany.; I. Department of Medicine, University Medical Center Hamburg-Eppendorf,  Martinistr. 52, 20246, Hamburg, Germany.; I. Department of Medicine, University Medical Center Hamburg-Eppendorf,  Martinistr. 52, 20246, Hamburg, Germany.; Department of Tumor Biology, University Medical Center Hamburg-Eppendorf,  Hamburg, Germany.; Department of Tumor Biology, University Medical Center Hamburg-Eppendorf,  Hamburg, Germany.; I. Department of Medicine, University Medical Center Hamburg-Eppendorf,  Martinistr. 52, 20246, Hamburg, Germany.; Cancer Center Esslingen, Klinikum Esslingen, Esslingen, Germany.; I. Department of Medicine, University Medical Center Hamburg-Eppendorf,  Martinistr. 52, 20246, Hamburg, Germany.; I. Department of Medicine, University Medical Center Hamburg-Eppendorf,  Martinistr. 52, 20246, Hamburg, Germany. j.von-felden@uke.de.&lt;/_author_adr&gt;&lt;_date_display&gt;2023 Nov 27&lt;/_date_display&gt;&lt;_date&gt;2023-11-27&lt;/_date&gt;&lt;_doi&gt;10.1038/s41598-023-47580-0&lt;/_doi&gt;&lt;_isbn&gt;2045-2322 (Electronic); 2045-2322 (Linking)&lt;/_isbn&gt;&lt;_issue&gt;1&lt;/_issue&gt;&lt;_journal&gt;Sci Rep&lt;/_journal&gt;&lt;_language&gt;eng&lt;/_language&gt;&lt;_ori_publication&gt;© 2023. The Author(s).&lt;/_ori_publication&gt;&lt;_pages&gt;20827&lt;/_pages&gt;&lt;_subject_headings&gt;Humans; *Carcinoma, Hepatocellular/diagnosis/surgery; *Liver Neoplasms/pathology; alpha-Fetoproteins; Epithelial Cell Adhesion Molecule; *Neoplastic Cells, Circulating; Prognosis; Neoplasm Recurrence, Local/diagnosis; Biomarkers, Tumor&lt;/_subject_headings&gt;&lt;_tertiary_title&gt;Scientific reports&lt;/_tertiary_title&gt;&lt;_type_work&gt;Journal Article&lt;/_type_work&gt;&lt;_url&gt;http://www.ncbi.nlm.nih.gov/entrez/query.fcgi?cmd=Retrieve&amp;amp;db=pubmed&amp;amp;dopt=Abstract&amp;amp;list_uids=38012205&amp;amp;query_hl=1&lt;/_url&gt;&lt;_volume&gt;13&lt;/_volume&gt;&lt;_created&gt;66468207&lt;/_created&gt;&lt;_modified&gt;66468207&lt;/_modified&gt;&lt;_impact_factor&gt;   3.900&lt;/_impact_factor&gt;&lt;_social_category&gt;综合性期刊(3)&lt;/_social_category&gt;&lt;_collection_scope&gt;SCIE&lt;/_collection_scope&gt;&lt;/Details&gt;&lt;Extra&gt;&lt;DBUID&gt;{86835755-9694-411B-A931-C461F6E7F109}&lt;/DBUID&gt;&lt;/Extra&gt;&lt;/Item&gt;&lt;/References&gt;&lt;/Group&gt;&lt;/Citation&gt;_x000a_"/>
    <w:docVar w:name="NE.Ref{C037FE8B-686C-45D6-B67E-D8545D17A475}" w:val=" ADDIN NE.Ref.{C037FE8B-686C-45D6-B67E-D8545D17A475}&lt;Citation&gt;&lt;Group&gt;&lt;References&gt;&lt;Item&gt;&lt;ID&gt;4085&lt;/ID&gt;&lt;UID&gt;{46EDE50F-0E75-45F8-85F7-D6981ADF305E}&lt;/UID&gt;&lt;Title&gt;Update on the applications and limitations of alpha-fetoprotein for  hepatocellular carcinoma&lt;/Title&gt;&lt;Template&gt;Journal Article&lt;/Template&gt;&lt;Star&gt;0&lt;/Star&gt;&lt;Tag&gt;0&lt;/Tag&gt;&lt;Author&gt;Hanif, Hira; Ali, Mukarram Jamat; Susheela, Ammu T; Khan, Iman Waheed; Luna-Cuadros, Maria Alejandra; Khan, Muzammil Muhammad; Lau, Daryl Tan-Yeung&lt;/Author&gt;&lt;Year&gt;2022&lt;/Year&gt;&lt;Details&gt;&lt;_accession_num&gt;35110946&lt;/_accession_num&gt;&lt;_author_adr&gt;Liver Center, Department of Medicine, Beth Israel Deaconess Medical Center,  Harvard Medical School, Boston, MA 02215, United States.; Liver Center, Department of Medicine, Beth Israel Deaconess Medical Center,  Harvard Medical School, Boston, MA 02215, United States.; Internal Medicine, Loyola MacNeal Hospital, Berwyn, PA 60402, United States.; Liver Center, Department of Medicine, Beth Israel Deaconess Medical Center,  Harvard Medical School, Boston, MA 02215, United States.; Liver Center, Department of Medicine, Beth Israel Deaconess Medical Center,  Harvard Medical School, Boston, MA 02215, United States.; Liver Center, Department of Medicine, Beth Israel Deaconess Medical Center,  Harvard Medical School, Boston, MA 02215, United States.; Liver Center, Department of Medicine, Beth Israel Deaconess Medical Center,  Harvard Medical School, Boston, MA 02215, United States. dlau@bidmc.harvard.edu.&lt;/_author_adr&gt;&lt;_date_display&gt;2022 Jan 14&lt;/_date_display&gt;&lt;_date&gt;2022-01-14&lt;/_date&gt;&lt;_doi&gt;10.3748/wjg.v28.i2.216&lt;/_doi&gt;&lt;_isbn&gt;2219-2840 (Electronic); 1007-9327 (Print); 1007-9327 (Linking)&lt;/_isbn&gt;&lt;_issue&gt;2&lt;/_issue&gt;&lt;_journal&gt;World J Gastroenterol&lt;/_journal&gt;&lt;_keywords&gt;Alpha-fetoprotein; Alpha-fetoprotein-L3; Cirrhosis; Hepatocellular carcinoma; Hereditary persistence of alpha-fetoprotein; Tumor markers&lt;/_keywords&gt;&lt;_language&gt;eng&lt;/_language&gt;&lt;_ori_publication&gt;©The Author(s) 2022. Published by Baishideng Publishing Group Inc. All rights _x000d__x000a_      reserved.&lt;/_ori_publication&gt;&lt;_pages&gt;216-229&lt;/_pages&gt;&lt;_subject_headings&gt;Biomarkers, Tumor/genetics; *Carcinoma, Hepatocellular/diagnostic imaging; Humans; Liver Cirrhosis; *Liver Neoplasms/diagnostic imaging; alpha-Fetoproteins&lt;/_subject_headings&gt;&lt;_tertiary_title&gt;World journal of gastroenterology&lt;/_tertiary_title&gt;&lt;_type_work&gt;Journal Article; Review&lt;/_type_work&gt;&lt;_url&gt;http://www.ncbi.nlm.nih.gov/entrez/query.fcgi?cmd=Retrieve&amp;amp;db=pubmed&amp;amp;dopt=Abstract&amp;amp;list_uids=35110946&amp;amp;query_hl=1&lt;/_url&gt;&lt;_volume&gt;28&lt;/_volume&gt;&lt;_created&gt;65957342&lt;/_created&gt;&lt;_modified&gt;65957342&lt;/_modified&gt;&lt;_impact_factor&gt;   4.300&lt;/_impact_factor&gt;&lt;_social_category&gt;胃肠肝病学(3)&lt;/_social_category&gt;&lt;_collection_scope&gt;SCIE&lt;/_collection_scope&gt;&lt;/Details&gt;&lt;Extra&gt;&lt;DBUID&gt;{F66D8B52-6641-45B4-915C-E1383885F5CE}&lt;/DBUID&gt;&lt;/Extra&gt;&lt;/Item&gt;&lt;/References&gt;&lt;/Group&gt;&lt;/Citation&gt;_x000a_"/>
    <w:docVar w:name="NE.Ref{CAA44256-8AC6-44B6-B52E-090343D3A1E9}" w:val=" ADDIN NE.Ref.{CAA44256-8AC6-44B6-B52E-090343D3A1E9}&lt;Citation&gt;&lt;Group&gt;&lt;References&gt;&lt;Item&gt;&lt;ID&gt;5805&lt;/ID&gt;&lt;UID&gt;{DA58CB83-5739-4704-A926-9291AB7F1342}&lt;/UID&gt;&lt;Title&gt;HOXC6 predicts invasion and poor survival in hepatocellular carcinoma by driving  epithelial-mesenchymal transition&lt;/Title&gt;&lt;Template&gt;Journal Article&lt;/Template&gt;&lt;Star&gt;0&lt;/Star&gt;&lt;Tag&gt;0&lt;/Tag&gt;&lt;Author&gt;Li, Pin-Dong; Chen, Peng; Peng, Xin; Ma, Charlie; Zhang, Wen-Jie; Dai, Xiao-Fang&lt;/Author&gt;&lt;Year&gt;2018&lt;/Year&gt;&lt;Details&gt;&lt;_accession_num&gt;29348394&lt;/_accession_num&gt;&lt;_author_adr&gt;Cancer Center, Union Hospital, Tongji Medical College, Huazhong University of  Science and Technology, Wuhan 430022, China.; Cancer Center, Union Hospital, Tongji Medical College, Huazhong University of  Science and Technology, Wuhan 430022, China.; Cancer Center, Union Hospital, Tongji Medical College, Huazhong University of  Science and Technology, Wuhan 430022, China.; Department of Radiation Oncology, Fox Chase Cancer Center, Philadelphia, PA  19111, USA.; Department of Pathology, Shihezi University School of Medicine, Shihezi, Xinjiang  832002, China.; Cancer Center, Union Hospital, Tongji Medical College, Huazhong University of  Science and Technology, Wuhan 430022, China.&lt;/_author_adr&gt;&lt;_date_display&gt;2018 Jan 15&lt;/_date_display&gt;&lt;_date&gt;2018-01-15&lt;/_date&gt;&lt;_doi&gt;10.18632/aging.101363&lt;/_doi&gt;&lt;_isbn&gt;1945-4589 (Electronic); 1945-4589 (Linking)&lt;/_isbn&gt;&lt;_issue&gt;1&lt;/_issue&gt;&lt;_journal&gt;Aging (Albany NY)&lt;/_journal&gt;&lt;_keywords&gt;EMT; HOXC6; aggressiveness; hepatocellular carcinoma; prognosis&lt;/_keywords&gt;&lt;_language&gt;eng&lt;/_language&gt;&lt;_pages&gt;115-130&lt;/_pages&gt;&lt;_subject_headings&gt;Adult; Carcinoma, Hepatocellular/*genetics/pathology; Cell Line, Tumor; *Epithelial-Mesenchymal Transition; Female; Gene Expression Regulation, Neoplastic; Gene Knockdown Techniques; Homeodomain Proteins/*metabolism; Humans; Kaplan-Meier Estimate; Liver Neoplasms/*genetics/pathology; Male; Middle Aged; Neoplasm Invasiveness/*genetics; alpha-Fetoproteins/analysis&lt;/_subject_headings&gt;&lt;_tertiary_title&gt;Aging&lt;/_tertiary_title&gt;&lt;_type_work&gt;Journal Article; Research Support, Non-U.S. Gov&amp;apos;t&lt;/_type_work&gt;&lt;_url&gt;http://www.ncbi.nlm.nih.gov/entrez/query.fcgi?cmd=Retrieve&amp;amp;db=pubmed&amp;amp;dopt=Abstract&amp;amp;list_uids=29348394&amp;amp;query_hl=1&lt;/_url&gt;&lt;_volume&gt;10&lt;/_volume&gt;&lt;_created&gt;66468256&lt;/_created&gt;&lt;_modified&gt;66468256&lt;/_modified&gt;&lt;/Details&gt;&lt;Extra&gt;&lt;DBUID&gt;{86835755-9694-411B-A931-C461F6E7F109}&lt;/DBUID&gt;&lt;/Extra&gt;&lt;/Item&gt;&lt;/References&gt;&lt;/Group&gt;&lt;/Citation&gt;_x000a_"/>
    <w:docVar w:name="NE.Ref{CC064068-F434-43F7-AFF7-44498FFFCE41}" w:val=" ADDIN NE.Ref.{CC064068-F434-43F7-AFF7-44498FFFCE41}&lt;Citation&gt;&lt;Group&gt;&lt;References&gt;&lt;Item&gt;&lt;ID&gt;4079&lt;/ID&gt;&lt;UID&gt;{99DB32DF-7D35-4D00-A1F3-8BE71AC6D9C7}&lt;/UID&gt;&lt;Title&gt;Chronological evolution in liver resection for hepatocellular carcinoma:  Prognostic trends across three decades in early to advanced stages&lt;/Title&gt;&lt;Template&gt;Journal Article&lt;/Template&gt;&lt;Star&gt;0&lt;/Star&gt;&lt;Tag&gt;0&lt;/Tag&gt;&lt;Author&gt;Takamoto, Takeshi; Nara, Satoshi; Ban, Daisuke; Mizui, Takahiro; Mukai, Masami; Esaki, Minoru; Shimada, Kazuaki&lt;/Author&gt;&lt;Year&gt;2025&lt;/Year&gt;&lt;Details&gt;&lt;_accession_num&gt;39631231&lt;/_accession_num&gt;&lt;_author_adr&gt;Department of Hepatobiliary and Pancreatic Surgery, National Cancer Center  Hospital, Tokyo, Japan. Electronic address: ttakamot@ncc.go.jp.; Department of Hepatobiliary and Pancreatic Surgery, National Cancer Center  Hospital, Tokyo, Japan.; Department of Hepatobiliary and Pancreatic Surgery, National Cancer Center  Hospital, Tokyo, Japan.; Department of Hepatobiliary and Pancreatic Surgery, National Cancer Center  Hospital, Tokyo, Japan.; Department of Medical Informatics, National Cancer Center Hospital, Tokyo, Japan.; Department of Hepatobiliary and Pancreatic Surgery, National Cancer Center  Hospital, Tokyo, Japan.; Department of Hepatobiliary and Pancreatic Surgery, National Cancer Center  Hospital, Tokyo, Japan.&lt;/_author_adr&gt;&lt;_date_display&gt;2025 Feb&lt;/_date_display&gt;&lt;_date&gt;2025-02-01&lt;/_date&gt;&lt;_doi&gt;10.1016/j.ejso.2024.109461&lt;/_doi&gt;&lt;_isbn&gt;1532-2157 (Electronic); 0748-7983 (Linking)&lt;/_isbn&gt;&lt;_issue&gt;2&lt;/_issue&gt;&lt;_journal&gt;Eur J Surg Oncol&lt;/_journal&gt;&lt;_keywords&gt;BCLC stage; Chronological change; Hepatocellular carcinoma; Liver resection&lt;/_keywords&gt;&lt;_language&gt;eng&lt;/_language&gt;&lt;_ori_publication&gt;Copyright © 2024 Elsevier Ltd, BASO ~ The Association for Cancer Surgery, and the _x000d__x000a_      European Society of Surgical Oncology. All rights reserved.&lt;/_ori_publication&gt;&lt;_pages&gt;109461&lt;/_pages&gt;&lt;_subject_headings&gt;Humans; *Carcinoma, Hepatocellular/surgery/pathology/mortality; *Liver Neoplasms/surgery/pathology/mortality; Female; Male; *Hepatectomy/trends; Middle Aged; Neoplasm Staging; Retrospective Studies; Prognosis; Aged; Survival Rate; Adult&lt;/_subject_headings&gt;&lt;_tertiary_title&gt;European journal of surgical oncology : the journal of the European Society of _x000d__x000a_      Surgical Oncology and the British Association of Surgical Oncology&lt;/_tertiary_title&gt;&lt;_type_work&gt;Journal Article&lt;/_type_work&gt;&lt;_url&gt;http://www.ncbi.nlm.nih.gov/entrez/query.fcgi?cmd=Retrieve&amp;amp;db=pubmed&amp;amp;dopt=Abstract&amp;amp;list_uids=39631231&amp;amp;query_hl=1&lt;/_url&gt;&lt;_volume&gt;51&lt;/_volume&gt;&lt;_created&gt;65957304&lt;/_created&gt;&lt;_modified&gt;65957304&lt;/_modified&gt;&lt;_impact_factor&gt;   3.500&lt;/_impact_factor&gt;&lt;_social_category&gt;肿瘤学(2) &amp;amp; 外科(2)&lt;/_social_category&gt;&lt;_collection_scope&gt;SCIE&lt;/_collection_scope&gt;&lt;/Details&gt;&lt;Extra&gt;&lt;DBUID&gt;{F66D8B52-6641-45B4-915C-E1383885F5CE}&lt;/DBUID&gt;&lt;/Extra&gt;&lt;/Item&gt;&lt;/References&gt;&lt;/Group&gt;&lt;Group&gt;&lt;References&gt;&lt;Item&gt;&lt;ID&gt;4080&lt;/ID&gt;&lt;UID&gt;{B1239D77-81A4-42DB-A444-2345000DB6DF}&lt;/UID&gt;&lt;Title&gt;Adherence to the modified Barcelona Clinic Liver Cancer guidelines: Results from  a high-volume liver surgery center in East Asias&lt;/Title&gt;&lt;Template&gt;Journal Article&lt;/Template&gt;&lt;Star&gt;0&lt;/Star&gt;&lt;Tag&gt;0&lt;/Tag&gt;&lt;Author&gt;Yen, Yi-Hao; Cheng, Yu-Fan; Wang, Jing-Houng; Lin, Chih-Che; Chen, Chien-Hung; Wang, Chih-Chi&lt;/Author&gt;&lt;Year&gt;2021&lt;/Year&gt;&lt;Details&gt;&lt;_accession_num&gt;33765059&lt;/_accession_num&gt;&lt;_author_adr&gt;Division of Hepatogastroenterology, Department of Internal Medicine, Kaohsiung  Chang Gung Memorial Hospital and Chang Gung University College of Medicine,  Kaohsiung, Taiwan.; Department of Diagnostic Radiology, Liver Transplantation Center, Kaohsiung Chang  Gung Memorial Hospital, Chang Gung University College of Medicine, Kaohsiung,  Taiwan.; Division of Hepatogastroenterology, Department of Internal Medicine, Kaohsiung  Chang Gung Memorial Hospital and Chang Gung University College of Medicine,  Kaohsiung, Taiwan.; Department of Surgery, Liver Transplantation Center, Kaohsiung Chang Gung  Memorial Hospital, Kaohsiung, Taiwan.; Division of Hepatogastroenterology, Department of Internal Medicine, Kaohsiung  Chang Gung Memorial Hospital and Chang Gung University College of Medicine,  Kaohsiung, Taiwan.; Department of Surgery, Liver Transplantation Center, Kaohsiung Chang Gung  Memorial Hospital, Kaohsiung, Taiwan.&lt;/_author_adr&gt;&lt;_date_display&gt;2021&lt;/_date_display&gt;&lt;_date&gt;2021-01-20&lt;/_date&gt;&lt;_doi&gt;10.1371/journal.pone.0249194&lt;/_doi&gt;&lt;_isbn&gt;1932-6203 (Electronic); 1932-6203 (Linking)&lt;/_isbn&gt;&lt;_issue&gt;3&lt;/_issue&gt;&lt;_journal&gt;PLoS One&lt;/_journal&gt;&lt;_language&gt;eng&lt;/_language&gt;&lt;_pages&gt;e0249194&lt;/_pages&gt;&lt;_subject_headings&gt;Adult; Aged; Aged, 80 and over; Carcinoma, Hepatocellular/mortality/*pathology/surgery; Female; *Guideline Adherence; Guidelines as Topic; Hepatectomy; Humans; Kaplan-Meier Estimate; Liver/pathology; Liver Neoplasms/mortality/*pathology/surgery; Male; Middle Aged; Neoplasm Staging; Retrospective Studies; Taiwan; Tertiary Care Centers&lt;/_subject_headings&gt;&lt;_tertiary_title&gt;PloS one&lt;/_tertiary_title&gt;&lt;_type_work&gt;Journal Article; Research Support, Non-U.S. Gov&amp;apos;t&lt;/_type_work&gt;&lt;_url&gt;http://www.ncbi.nlm.nih.gov/entrez/query.fcgi?cmd=Retrieve&amp;amp;db=pubmed&amp;amp;dopt=Abstract&amp;amp;list_uids=33765059&amp;amp;query_hl=1&lt;/_url&gt;&lt;_volume&gt;16&lt;/_volume&gt;&lt;_created&gt;65957307&lt;/_created&gt;&lt;_modified&gt;65957307&lt;/_modified&gt;&lt;_impact_factor&gt;   2.900&lt;/_impact_factor&gt;&lt;_social_category&gt;综合性期刊(3)&lt;/_social_category&gt;&lt;_collection_scope&gt;SCIE&lt;/_collection_scope&gt;&lt;/Details&gt;&lt;Extra&gt;&lt;DBUID&gt;{F66D8B52-6641-45B4-915C-E1383885F5CE}&lt;/DBUID&gt;&lt;/Extra&gt;&lt;/Item&gt;&lt;/References&gt;&lt;/Group&gt;&lt;/Citation&gt;_x000a_"/>
    <w:docVar w:name="NE.Ref{CD656BE8-8807-46D7-9CEE-C437FC2FCFE7}" w:val=" ADDIN NE.Ref.{CD656BE8-8807-46D7-9CEE-C437FC2FCFE7}&lt;Citation&gt;&lt;Group&gt;&lt;References&gt;&lt;Item&gt;&lt;ID&gt;4052&lt;/ID&gt;&lt;UID&gt;{E97D1C32-A66B-44AD-B673-F3FA33692624}&lt;/UID&gt;&lt;Title&gt;Association Between Noninvasive Fibrosis Markers and Postoperative Mortality After Hepatectomy for Hepatocellular Carcinoma&lt;/Title&gt;&lt;Template&gt;Journal Article&lt;/Template&gt;&lt;Star&gt;0&lt;/Star&gt;&lt;Tag&gt;0&lt;/Tag&gt;&lt;Author&gt;Maegawa, Felipe B; Shehorn, Lauren; Aziz, Hassan; Kettelle, John; Jie, Tun; Riall, Taylor S&lt;/Author&gt;&lt;Year&gt;2019&lt;/Year&gt;&lt;Details&gt;&lt;_doi&gt;10.1001/jamanetworkopen.2018.7142&lt;/_doi&gt;&lt;_created&gt;65956842&lt;/_created&gt;&lt;_modified&gt;65956842&lt;/_modified&gt;&lt;_url&gt;http://jamanetworkopen.jamanetwork.com/article.aspx?doi=10.1001/jamanetworkopen.2018.7142_x000d__x000a_https://jamanetwork.com/journals/jamanetworkopen/fullarticle/2720918&lt;/_url&gt;&lt;_journal&gt;JAMA Network Open&lt;/_journal&gt;&lt;_volume&gt;2&lt;/_volume&gt;&lt;_issue&gt;1&lt;/_issue&gt;&lt;_pages&gt;e187142&lt;/_pages&gt;&lt;_tertiary_title&gt;JAMA Netw Open&lt;/_tertiary_title&gt;&lt;_date&gt;62612640&lt;/_date&gt;&lt;_isbn&gt;2574-3805&lt;/_isbn&gt;&lt;_accessed&gt;65956842&lt;/_accessed&gt;&lt;_db_updated&gt;CrossRef&lt;/_db_updated&gt;&lt;_impact_factor&gt;  10.500&lt;/_impact_factor&gt;&lt;_social_category&gt;医学：内科(1)&lt;/_social_category&gt;&lt;_collection_scope&gt;SCIE&lt;/_collection_scope&gt;&lt;/Details&gt;&lt;Extra&gt;&lt;DBUID&gt;{58B27DCE-DEB8-4BEF-8139-AC677AF90E97}&lt;/DBUID&gt;&lt;/Extra&gt;&lt;/Item&gt;&lt;/References&gt;&lt;/Group&gt;&lt;/Citation&gt;_x000a_"/>
    <w:docVar w:name="NE.Ref{CF30655F-5DCB-4248-99C7-1BC3A37EDCFD}" w:val=" ADDIN NE.Ref.{CF30655F-5DCB-4248-99C7-1BC3A37EDCFD}&lt;Citation&gt;&lt;Group&gt;&lt;References&gt;&lt;Item&gt;&lt;ID&gt;5807&lt;/ID&gt;&lt;UID&gt;{6C51328E-F512-4282-851D-DB890CAB197B}&lt;/UID&gt;&lt;Title&gt;Assessment of liver function in patients with hepatocellular carcinoma: a new  evidence-based approach-the ALBI grade&lt;/Title&gt;&lt;Template&gt;Journal Article&lt;/Template&gt;&lt;Star&gt;0&lt;/Star&gt;&lt;Tag&gt;0&lt;/Tag&gt;&lt;Author&gt;Johnson, Philip J; Berhane, Sarah; Kagebayashi, Chiaki; Satomura, Shinji; Teng, Mabel; Reeves, Helen L; O&amp;apos;Beirne, James; Fox, Richard; Skowronska, Anna; Palmer, Daniel; Yeo, Winnie; Mo, Frankie; Lai, Paul; Iñarrairaegui, Mercedes; Chan, Stephen L; Sangro, Bruno; Miksad, Rebecca; Tada, Toshifumi; Kumada, Takashi; Toyoda, Hidenori&lt;/Author&gt;&lt;Year&gt;2015&lt;/Year&gt;&lt;Details&gt;&lt;_accession_num&gt;25512453&lt;/_accession_num&gt;&lt;_author_adr&gt;Philip J. Johnson, Sarah Berhane, and Daniel Palmer, University of Liverpool,  Liverpool; Philip J. Johnson and Daniel Palmer, The Clatterbridge Cancer Centre  National Health Service (NHS) Foundation Trust, Bebington; Mabel Teng,  Addenbrooke&amp;apos;s Hospital, University of Cambridge, Cambridge; Helen L. Reeves,  Northern Institute for Cancer Research and the Hepatopancreatobiliary  Multidisciplinary Team, Newcastle upon Tyne NHS Foundation Trust, The Freeman  Hospital, Newcastle upon Tyne; James O&amp;apos;Beirne, The Sheila Sherlock Liver Centre,  Royal Free Hospital, London; Richard Fox and Anna Skowronska, School of Cancer  Sciences, University of Birmingham, Birmingham, United Kingdom; Chiaki  Kagebayashi and Shinji Satomura, Wako Life Sciences, Mountain View, CA; Rebecca  Miksad, Beth Israel Deaconess Medical Center, Institute for Technology  Assessment, Massachusetts General Hospital, and Harvard Medical School, Boston,  MA; Winnie Yeo, Frankie Mo, and Stephen L. Chan, State Key Laboratory in Oncology  in South China, Sir Y. K. Pao Centre for Cancer, Chinese University of Hong Kong,  Hong Kong Cancer Institute; Paul Lai, Prince of Wales Hospital, Chinese  University of Hong Kong, Hong Kong, China; Mercedes Iñarrairaegui and Bruno  Sangro, Clinica Universidad de Navarra, and Centro de Investigacion Biomedica en  Red de Enfermedades Hepaticas y Digestivas, Pamplona, Spain; Toshifumi Tada,  Takashi Kumada, and Hidenori Toyoda, Ogaki Municipal Hospital, Ogaki, Gifu,  Japan. Philip.Johnson@liverpool.ac.uk.; Philip J. Johnson, Sarah Berhane, and Daniel Palmer, University of Liverpool,  Liverpool; Philip J. Johnson and Daniel Palmer, The Clatterbridge Cancer Centre  National Health Service (NHS) Foundation Trust, Bebington; Mabel Teng,  Addenbrooke&amp;apos;s Hospital, University of Cambridge, Cambridge; Helen L. Reeves,  Northern Institute for Cancer Research and the Hepatopancreatobiliary  Multidisciplinary Team, Newcastle upon Tyne NHS Foundation Trust, The Freeman  Hospital, Newcastle upon Tyne; James O&amp;apos;Beirne, The Sheila Sherlock Liver Centre,  Royal Free Hospital, London; Richard Fox and Anna Skowronska, School of Cancer  Sciences, University of Birmingham, Birmingham, United Kingdom; Chiaki  Kagebayashi and Shinji Satomura, Wako Life Sciences, Mountain View, CA; Rebecca  Miksad, Beth Israel Deaconess Medical Center, Institute for Technology  Assessment, Massachusetts General Hospital, and Harvard Medical School, Boston,  MA; Winnie Yeo, Frankie Mo, and Stephen L. Chan, State Key Laboratory in Oncology  in South China, Sir Y. K. Pao Centre for Cancer, Chinese University of Hong Kong,  Hong Kong Cancer Institute; Paul Lai, Prince of Wales Hospital, Chinese  University of Hong Kong, Hong Kong, China; Mercedes Iñarrairaegui and Bruno  Sangro, Clinica Universidad de Navarra, and Centro de Investigacion Biomedica en  Red de Enfermedades Hepaticas y Digestivas, Pamplona, Spain; Toshifumi Tada,  Takashi Kumada, and Hidenori Toyoda, Ogaki Municipal Hospital, Ogaki, Gifu,  Japan.; Philip J. Johnson, Sarah Berhane, and Daniel Palmer, University of Liverpool,  Liverpool; Philip J. Johnson and Daniel Palmer, The Clatterbridge Cancer Centre  National Health Service (NHS) Foundation Trust, Bebington; Mabel Teng,  Addenbrooke&amp;apos;s Hospital, University of Cambridge, Cambridge; Helen L. Reeves,  Northern Institute for Cancer Research and the Hepatopancreatobiliary  Multidisciplinary Team, Newcastle upon Tyne NHS Foundation Trust, The Freeman  Hospital, Newcastle upon Tyne; James O&amp;apos;Beirne, The Sheila Sherlock Liver Centre,  Royal Free Hospital, London; Richard Fox and Anna Skowronska, School of Cancer  Sciences, University of Birmingham, Birmingham, United Kingdom; Chiaki  Kagebayashi and Shinji Satomura, Wako Life Sciences, Mountain View, CA; Rebecca  Miksad, Beth Israel Deaconess Medical Center, Institute for Technology  Assessment, Massachusetts General Hospital, and Harvard Medical School, Boston,  MA; Winnie Yeo, Frankie Mo, and Stephen L. Chan, State Key Laboratory in Oncology  in South China, Sir Y. K. Pao Centre for Cancer, Chinese University of Hong Kong,  Hong Kong Cancer Institute; Paul Lai, Prince of Wales Hospital, Chinese  University of Hong Kong, Hong Kong, China; Mercedes Iñarrairaegui and Bruno  Sangro, Clinica Universidad de Navarra, and Centro de Investigacion Biomedica en  Red de Enfermedades Hepaticas y Digestivas, Pamplona, Spain; Toshifumi Tada,  Takashi Kumada, and Hidenori Toyoda, Ogaki Municipal Hospital, Ogaki, Gifu,  Japan.; Philip J. Johnson, Sarah Berhane, and Daniel Palmer, University of Liverpool,  Liverpool; Philip J. Johnson and Daniel Palmer, The Clatterbridge Cancer Centre  National Health Service (NHS) Foundation Trust, Bebington; Mabel Teng,  Addenbrooke&amp;apos;s Hospital, University of Cambridge, Cambridge; Helen L. Reeves,  Northern Institute for Cancer Research and the Hepatopancreatobiliary  Multidisciplinary Team, Newcastle upon Tyne NHS Foundation Trust, The Freeman  Hospital, Newcastle upon Tyne; James O&amp;apos;Beirne, The Sheila Sherlock Liver Centre,  Royal Free Hospital, London; Richard Fox and Anna Skowronska, School of Cancer  Sciences, University of Birmingham, Birmingham, United Kingdom; Chiaki  Kagebayashi and Shinji Satomura, Wako Life Sciences, Mountain View, CA; Rebecca  Miksad, Beth Israel Deaconess Medical Center, Institute for Technology  Assessment, Massachusetts General Hospital, and Harvard Medical School, Boston,  MA; Winnie Yeo, Frankie Mo, and Stephen L. Chan, State Key Laboratory in Oncology  in South China, Sir Y. K. Pao Centre for Cancer, Chinese University of Hong Kong,  Hong Kong Cancer Institute; Paul Lai, Prince of Wales Hospital, Chinese  University of Hong Kong, Hong Kong, China; Mercedes Iñarrairaegui and Bruno  Sangro, Clinica Universidad de Navarra, and Centro de Investigacion Biomedica en  Red de Enfermedades Hepaticas y Digestivas, Pamplona, Spain; Toshifumi Tada,  Takashi Kumada, and Hidenori Toyoda, Ogaki Municipal Hospital, Ogaki, Gifu,  Japan.; Philip J. Johnson, Sarah Berhane, and Daniel Palmer, University of Liverpool,  Liverpool; Philip J. Johnson and Daniel Palmer, The Clatterbridge Cancer Centre  National Health Service (NHS) Foundation Trust, Bebington; Mabel Teng,  Addenbrooke&amp;apos;s Hospital, University of Cambridge, Cambridge; Helen L. Reeves,  Northern Institute for Cancer Research and the Hepatopancreatobiliary  Multidisciplinary Team, Newcastle upon Tyne NHS Foundation Trust, The Freeman  Hospital, Newcastle upon Tyne; James O&amp;apos;Beirne, The Sheila Sherlock Liver Centre,  Royal Free Hospital, London; Richard Fox and Anna Skowronska, School of Cancer  Sciences, University of Birmingham, Birmingham, United Kingdom; Chiaki  Kagebayashi and Shinji Satomura, Wako Life Sciences, Mountain View, CA; Rebecca  Miksad, Beth Israel Deaconess Medical Center, Institute for Technology  Assessment, Massachusetts General Hospital, and Harvard Medical School, Boston,  MA; Winnie Yeo, Frankie Mo, and Stephen L. Chan, State Key Laboratory in Oncology  in South China, Sir Y. K. Pao Centre for Cancer, Chinese University of Hong Kong,  Hong Kong Cancer Institute; Paul Lai, Prince of Wales Hospital, Chinese  University of Hong Kong, Hong Kong, China; Mercedes Iñarrairaegui and Bruno  Sangro, Clinica Universidad de Navarra, and Centro de Investigacion Biomedica en  Red de Enfermedades Hepaticas y Digestivas, Pamplona, Spain; Toshifumi Tada,  Takashi Kumada, and Hidenori Toyoda, Ogaki Municipal Hospital, Ogaki, Gifu,  Japan.; Philip J. Johnson, Sarah Berhane, and Daniel Palmer, University of Liverpool,  Liverpool; Philip J. Johnson and Daniel Palmer, The Clatterbridge Cancer Centre  National Health Service (NHS) Foundation Trust, Bebington; Mabel Teng,  Addenbrooke&amp;apos;s Hospital, University of Cambridge, Cambridge; Helen L. Reeves,  Northern Institute for Cancer Research and the Hepatopancreatobiliary  Multidisciplinary Team, Newcastle upon Tyne NHS Foundation Trust, The Freeman  Hospital, Newcastle upon Tyne; James O&amp;apos;Beirne, The Sheila Sherlock Liver Centre,  Royal Free Hospital, London; Richard Fox and Anna Skowronska, School of Cancer  Sciences, University of Birmingham, Birmingham, United Kingdom; Chiaki  Kagebayashi and Shinji Satomura, Wako Life Sciences, Mountain View, CA; Rebecca  Miksad, Beth Israel Deaconess Medical Center, Institute for Technology  Assessment, Massachusetts General Hospital, and Harvard Medical School, Boston,  MA; Winnie Yeo, Frankie Mo, and Stephen L. Chan, State Key Laboratory in Oncology  in South China, Sir Y. K. Pao Centre for Cancer, Chinese University of Hong Kong,  Hong Kong Cancer Institute; Paul Lai, Prince of Wales Hospital, Chinese  University of Hong Kong, Hong Kong, China; Mercedes Iñarrairaegui and Bruno  Sangro, Clinica Universidad de Navarra, and Centro de Investigacion Biomedica en  Red de Enfermedades Hepaticas y Digestivas, Pamplona, Spain; Toshifumi Tada,  Takashi Kumada, and Hidenori Toyoda, Ogaki Municipal Hospital, Ogaki, Gifu,  Japan.; Philip J. Johnson, Sarah Berhane, and Daniel Palmer, University of Liverpool,  Liverpool; Philip J. Johnson and Daniel Palmer, The Clatterbridge Cancer Centre  National Health Service (NHS) Foundation Trust, Bebington; Mabel Teng,  Addenbrooke&amp;apos;s Hospital, University of Cambridge, Cambridge; Helen L. Reeves,  Northern Institute for Cancer Research and the Hepatopancreatobiliary  Multidisciplinary Team, Newcastle upon Tyne NHS Foundation Trust, The Freeman  Hospital, Newcastle upon Tyne; James O&amp;apos;Beirne, The Sheila Sherlock Liver Centre,  Royal Free Hospital, London; Richard Fox and Anna Skowronska, School of Cancer  Sciences, University of Birmingham, Birmingham, United Kingdom; Chiaki  Kagebayashi and Shinji Satomura, Wako Life Sciences, Mountain View, CA; Rebecca  Miksad, Beth Israel Deaconess Medical Center, Institute for Technology  Assessment, Massachusetts General Hospital, and Harvard Medical School, Boston,  MA; Winnie Yeo, Frankie Mo, and Stephen L. Chan, State Key Laboratory in Oncology  in South China, Sir Y. K. Pao Centre for Cancer, Chinese University of Hong Kong,  Hong Kong Cancer Institute; Paul Lai, Prince of Wales Hospital, Chinese  University of Hong Kong, Hong Kong, China; Mercedes Iñarrairaegui and Bruno  Sangro, Clinica Universidad de Navarra, and Centro de Investigacion Biomedica en  Red de Enfermedades Hepaticas y Digestivas, Pamplona, Spain; Toshifumi Tada,  Takashi Kumada, and Hidenori Toyoda, Ogaki Municipal Hospital, Ogaki, Gifu,  Japan.; Philip J. Johnson, Sarah Berhane, and Daniel Palmer, University of Liverpool,  Liverpool; Philip J. Johnson and Daniel Palmer, The Clatterbridge Cancer Centre  National Health Service (NHS) Foundation Trust, Bebington; Mabel Teng,  Addenbrooke&amp;apos;s Hospital, University of Cambridge, Cambridge; Helen L. Reeves,  Northern Institute for Cancer Research and the Hepatopancreatobiliary  Multidisciplinary Team, Newcastle upon Tyne NHS Foundation Trust, The Freeman  Hospital, Newcastle upon Tyne; James O&amp;apos;Beirne, The Sheila Sherlock Liver Centre,  Royal Free Hospital, London; Richard Fox and Anna Skowronska, School of Cancer  Sciences, University of Birmingham, Birmingham, United Kingdom; Chiaki  Kagebayashi and Shinji Satomura, Wako Life Sciences, Mountain View, CA; Rebecca  Miksad, Beth Israel Deaconess Medical Center, Institute for Technology  Assessment, Massachusetts General Hospital, and Harvard Medical School, Boston,  MA; Winnie Yeo, Frankie Mo, and Stephen L. Chan, State Key Laboratory in Oncology  in South China, Sir Y. K. Pao Centre for Cancer, Chinese University of Hong Kong,  Hong Kong Cancer Institute; Paul Lai, Prince of Wales Hospital, Chinese  University of Hong Kong, Hong Kong, China; Mercedes Iñarrairaegui and Bruno  Sangro, Clinica Universidad de Navarra, and Centro de Investigacion Biomedica en  Red de Enfermedades Hepaticas y Digestivas, Pamplona, Spain; Toshifumi Tada,  Takashi Kumada, and Hidenori Toyoda, Ogaki Municipal Hospital, Ogaki, Gifu,  Japan.; Philip J. Johnson, Sarah Berhane, and Daniel Palmer, University of Liverpool,  Liverpool; Philip J. Johnson and Daniel Palmer, The Clatterbridge Cancer Centre  National Health Service (NHS) Foundation Trust, Bebington; Mabel Teng,  Addenbrooke&amp;apos;s Hospital, University of Cambridge, Cambridge; Helen L. Reeves,  Northern Institute for Cancer Research and the Hepatopancreatobiliary  Multidisciplinary Team, Newcastle upon Tyne NHS Foundation Trust, The Freeman  Hospital, Newcastle upon Tyne; James O&amp;apos;Beirne, The Sheila Sherlock Liver Centre,  Royal Free Hospital, London; Richard Fox and Anna Skowronska, School of Cancer  Sciences, University of Birmingham, Birmingham, United Kingdom; Chiaki  Kagebayashi and Shinji Satomura, Wako Life Sciences, Mountain View, CA; Rebecca  Miksad, Beth Israel Deaconess Medical Center, Institute for Technology  Assessment, Massachusetts General Hospital, and Harvard Medical School, Boston,  MA; Winnie Yeo, Frankie Mo, and Stephen L. Chan, State Key Laboratory in Oncology  in South China, Sir Y. K. Pao Centre for Cancer, Chinese University of Hong Kong,  Hong Kong Cancer Institute; Paul Lai, Prince of Wales Hospital, Chinese  University of Hong Kong, Hong Kong, China; Mercedes Iñarrairaegui and Bruno  Sangro, Clinica Universidad de Navarra, and Centro de Investigacion Biomedica en  Red de Enfermedades Hepaticas y Digestivas, Pamplona, Spain; Toshifumi Tada,  Takashi Kumada, and Hidenori Toyoda, Ogaki Municipal Hospital, Ogaki, Gifu,  Japan.; Philip J. Johnson, Sarah Berhane, and Daniel Palmer, University of Liverpool,  Liverpool; Philip J. Johnson and Daniel Palmer, The Clatterbridge Cancer Centre  National Health Service (NHS) Foundation Trust, Bebington; Mabel Teng,  Addenbrooke&amp;apos;s Hospital, University of Cambridge, Cambridge; Helen L. Reeves,  Northern Institute for Cancer Research and the Hepatopancreatobiliary  Multidisciplinary Team, Newcastle upon Tyne NHS Foundation Trust, The Freeman  Hospital, Newcastle upon Tyne; James O&amp;apos;Beirne, The Sheila Sherlock Liver Centre,  Royal Free Hospital, London; Richard Fox and Anna Skowronska, School of Cancer  Sciences, University of Birmingham, Birmingham, United Kingdom; Chiaki  Kagebayashi and Shinji Satomura, Wako Life Sciences, Mountain View, CA; Rebecca  Miksad, Beth Israel Deaconess Medical Center, Institute for Technology  Assessment, Massachusetts General Hospital, and Harvard Medical School, Boston,  MA; Winnie Yeo, Frankie Mo, and Stephen L. Chan, State Key Laboratory in Oncology  in South China, Sir Y. K. Pao Centre for Cancer, Chinese University of Hong Kong,  Hong Kong Cancer Institute; Paul Lai, Prince of Wales Hospital, Chinese  University of Hong Kong, Hong Kong, China; Mercedes Iñarrairaegui and Bruno  Sangro, Clinica Universidad de Navarra, and Centro de Investigacion Biomedica en  Red de Enfermedades Hepaticas y Digestivas, Pamplona, Spain; Toshifumi Tada,  Takashi Kumada, and Hidenori Toyoda, Ogaki Municipal Hospital, Ogaki, Gifu,  Japan.; Philip J. Johnson, Sarah Berhane, and Daniel Palmer, University of Liverpool,  Liverpool; Philip J. Johnson and Daniel Palmer, The Clatterbridge Cancer Centre  National Health Service (NHS) Foundation Trust, Bebington; Mabel Teng,  Addenbrooke&amp;apos;s Hospital, University of Cambridge, Cambridge; Helen L. Reeves,  Northern Institute for Cancer Research and the Hepatopancreatobiliary  Multidisciplinary Team, Newcastle upon Tyne NHS Foundation Trust, The Freeman  Hospital, Newcastle upon Tyne; James O&amp;apos;Beirne, The Sheila Sherlock Liver Centre,  Royal Free Hospital, London; Richard Fox and Anna Skowronska, School of Cancer  Sciences, University of Birmingham, Birmingham, United Kingdom; Chiaki  Kagebayashi and Shinji Satomura, Wako Life Sciences, Mountain View, CA; Rebecca  Miksad, Beth Israel Deaconess Medical Center, Institute for Technology  Assessment, Massachusetts General Hospital, and Harvard Medical School, Boston,  MA; Winnie Yeo, Frankie Mo, and Stephen L. Chan, State Key Laboratory in Oncology  in South China, Sir Y. K. Pao Centre for Cancer, Chinese University of Hong Kong,  Hong Kong Cancer Institute; Paul Lai, Prince of Wales Hospital, Chinese  University of Hong Kong, Hong Kong, China; Mercedes Iñarrairaegui and Bruno  Sangro, Clinica Universidad de Navarra, and Centro de Investigacion Biomedica en  Red de Enfermedades Hepaticas y Digestivas, Pamplona, Spain; Toshifumi Tada,  Takashi Kumada, and Hidenori Toyoda, Ogaki Municipal Hospital, Ogaki, Gifu,  Japan.; Philip J. Johnson, Sarah Berhane, and Daniel Palmer, University of Liverpool,  Liverpool; Philip J. Johnson and Daniel Palmer, The Clatterbridge Cancer Centre  National Health Service (NHS) Foundation Trust, Bebington; Mabel Teng,  Addenbrooke&amp;apos;s Hospital, University of Cambridge, Cambridge; Helen L. Reeves,  Northern Institute for Cancer Research and the Hepatopancreatobiliary  Multidisciplinary Team, Newcastle upon Tyne NHS Foundation Trust, The Freeman  Hospital, Newcastle upon Tyne; James O&amp;apos;Beirne, The Sheila Sherlock Liver Centre,  Royal Free Hospital, London; Richard Fox and Anna Skowronska, School of Cancer  Sciences, University of Birmingham, Birmingham, United Kingdom; Chiaki  Kagebayashi and Shinji Satomura, Wako Life Sciences, Mountain View, CA; Rebecca  Miksad, Beth Israel Deaconess Medical Center, Institute for Technology  Assessment, Massachusetts General Hospital, and Harvard Medical School, Boston,  MA; Winnie Yeo, Frankie Mo, and Stephen L. Chan, State Key Laboratory in Oncology  in South China, Sir Y. K. Pao Centre for Cancer, Chinese University of Hong Kong,  Hong Kong Cancer Institute; Paul Lai, Prince of Wales Hospital, Chinese  University of Hong Kong, Hong Kong, China; Mercedes Iñarrairaegui and Bruno  Sangro, Clinica Universidad de Navarra, and Centro de Investigacion Biomedica en  Red de Enfermedades Hepaticas y Digestivas, Pamplona, Spain; Toshifumi Tada,  Takashi Kumada, and Hidenori Toyoda, Ogaki Municipal Hospital, Ogaki, Gifu,  Japan.; Philip J. Johnson, Sarah Berhane, and Daniel Palmer, University of Liverpool,  Liverpool; Philip J. Johnson and Daniel Palmer, The Clatterbridge Cancer Centre  National Health Service (NHS) Foundation Trust, Bebington; Mabel Teng,  Addenbrooke&amp;apos;s Hospital, University of Cambridge, Cambridge; Helen L. Reeves,  Northern Institute for Cancer Research and the Hepatopancreatobiliary  Multidisciplinary Team, Newcastle upon Tyne NHS Foundation Trust, The Freeman  Hospital, Newcastle upon Tyne; James O&amp;apos;Beirne, The Sheila Sherlock Liver Centre,  Royal Free Hospital, London; Richard Fox and Anna Skowronska, School of Cancer  Sciences, University of Birmingham, Birmingham, United Kingdom; Chiaki  Kagebayashi and Shinji Satomura, Wako Life Sciences, Mountain View, CA; Rebecca  Miksad, Beth Israel Deaconess Medical Center, Institute for Technology  Assessment, Massachusetts General Hospital, and Harvard Medical School, Boston,  MA; Winnie Yeo, Frankie Mo, and Stephen L. Chan, State Key Laboratory in Oncology  in South China, Sir Y. K. Pao Centre for Cancer, Chinese University of Hong Kong,  Hong Kong Cancer Institute; Paul Lai, Prince of Wales Hospital, Chinese  University of Hong Kong, Hong Kong, China; Mercedes Iñarrairaegui and Bruno  Sangro, Clinica Universidad de Navarra, and Centro de Investigacion Biomedica en  Red de Enfermedades Hepaticas y Digestivas, Pamplona, Spain; Toshifumi Tada,  Takashi Kumada, and Hidenori Toyoda, Ogaki Municipal Hospital, Ogaki, Gifu,  Japan.; Philip J. Johnson, Sarah Berhane, and Daniel Palmer, University of Liverpool,  Liverpool; Philip J. Johnson and Daniel Palmer, The Clatterbridge Cancer Centre  National Health Service (NHS) Foundation Trust, Bebington; Mabel Teng,  Addenbrooke&amp;apos;s Hospital, University of Cambridge, Cambridge; Helen L. Reeves,  Northern Institute for Cancer Research and the Hepatopancreatobiliary  Multidisciplinary Team, Newcastle upon Tyne NHS Foundation Trust, The Freeman  Hospital, Newcastle upon Tyne; James O&amp;apos;Beirne, The Sheila Sherlock Liver Centre,  Royal Free Hospital, London; Richard Fox and Anna Skowronska, School of Cancer  Sciences, University of Birmingham, Birmingham, United Kingdom; Chiaki  Kagebayashi and Shinji Satomura, Wako Life Sciences, Mountain View, CA; Rebecca  Miksad, Beth Israel Deaconess Medical Center, Institute for Technology  Assessment, Massachusetts General Hospital, and Harvard Medical School, Boston,  MA; Winnie Yeo, Frankie Mo, and Stephen L. Chan, State Key Laboratory in Oncology  in South China, Sir Y. K. Pao Centre for Cancer, Chinese University of Hong Kong,  Hong Kong Cancer Institute; Paul Lai, Prince of Wales Hospital, Chinese  University of Hong Kong, Hong Kong, China; Mercedes Iñarrairaegui and Bruno  Sangro, Clinica Universidad de Navarra, and Centro de Investigacion Biomedica en  Red de Enfermedades Hepaticas y Digestivas, Pamplona, Spain; Toshifumi Tada,  Takashi Kumada, and Hidenori Toyoda, Ogaki Municipal Hospital, Ogaki, Gifu,  Japan.; Philip J. Johnson, Sarah Berhane, and Daniel Palmer, University of Liverpool,  Liverpool; Philip J. Johnson and Daniel Palmer, The Clatterbridge Cancer Centre  National Health Service (NHS) Foundation Trust, Bebington; Mabel Teng,  Addenbrooke&amp;apos;s Hospital, University of Cambridge, Cambridge; Helen L. Reeves,  Northern Institute for Cancer Research and the Hepatopancreatobiliary  Multidisciplinary Team, Newcastle upon Tyne NHS Foundation Trust, The Freeman  Hospital, Newcastle upon Tyne; James O&amp;apos;Beirne, The Sheila Sherlock Liver Centre,  Royal Free Hospital, London; Richard Fox and Anna Skowronska, School of Cancer  Sciences, University of Birmingham, Birmingham, United Kingdom; Chiaki  Kagebayashi and Shinji Satomura, Wako Life Sciences, Mountain View, CA; Rebecca  Miksad, Beth Israel Deaconess Medical Center, Institute for Technology  Assessment, Massachusetts General Hospital, and Harvard Medical School, Boston,  MA; Winnie Yeo, Frankie Mo, and Stephen L. Chan, State Key Laboratory in Oncology  in South China, Sir Y. K. Pao Centre for Cancer, Chinese University of Hong Kong,  Hong Kong Cancer Institute; Paul Lai, Prince of Wales Hospital, Chinese  University of Hong Kong, Hong Kong, China; Mercedes Iñarrairaegui and Bruno  Sangro, Clinica Universidad de Navarra, and Centro de Investigacion Biomedica en  Red de Enfermedades Hepaticas y Digestivas, Pamplona, Spain; Toshifumi Tada,  Takashi Kumada, and Hidenori Toyoda, Ogaki Municipal Hospital, Ogaki, Gifu,  Japan.; Philip J. Johnson, Sarah Berhane, and Daniel Palmer, University of Liverpool,  Liverpool; Philip J. Johnson and Daniel Palmer, The Clatterbridge Cancer Centre  National Health Service (NHS) Foundation Trust, Bebington; Mabel Teng,  Addenbrooke&amp;apos;s Hospital, University of Cambridge, Cambridge; Helen L. Reeves,  Northern Institute for Cancer Research and the Hepatopancreatobiliary  Multidisciplinary Team, Newcastle upon Tyne NHS Foundation Trust, The Freeman  Hospital, Newcastle upon Tyne; James O&amp;apos;Beirne, The Sheila Sherlock Liver Centre,  Royal Free Hospital, London; Richard Fox and Anna Skowronska, School of Cancer  Sciences, University of Birmingham, Birmingham, United Kingdom; Chiaki  Kagebayashi and Shinji Satomura, Wako Life Sciences, Mountain View, CA; Rebecca  Miksad, Beth Israel Deaconess Medical Center, Institute for Technology  Assessment, Massachusetts General Hospital, and Harvard Medical School, Boston,  MA; Winnie Yeo, Frankie Mo, and Stephen L. Chan, State Key Laboratory in Oncology  in South China, Sir Y. K. Pao Centre for Cancer, Chinese University of Hong Kong,  Hong Kong Cancer Institute; Paul Lai, Prince of Wales Hospital, Chinese  University of Hong Kong, Hong Kong, China; Mercedes Iñarrairaegui and Bruno  Sangro, Clinica Universidad de Navarra, and Centro de Investigacion Biomedica en  Red de Enfermedades Hepaticas y Digestivas, Pamplona, Spain; Toshifumi Tada,  Takashi Kumada, and Hidenori Toyoda, Ogaki Municipal Hospital, Ogaki, Gifu,  Japan.; Philip J. Johnson, Sarah Berhane, and Daniel Palmer, University of Liverpool,  Liverpool; Philip J. Johnson and Daniel Palmer, The Clatterbridge Cancer Centre  National Health Service (NHS) Foundation Trust, Bebington; Mabel Teng,  Addenbrooke&amp;apos;s Hospital, University of Cambridge, Cambridge; Helen L. Reeves,  Northern Institute for Cancer Research and the Hepatopancreatobiliary  Multidisciplinary Team, Newcastle upon Tyne NHS Foundation Trust, The Freeman  Hospital, Newcastle upon Tyne; James O&amp;apos;Beirne, The Sheila Sherlock Liver Centre,  Royal Free Hospital, London; Richard Fox and Anna Skowronska, School of Cancer  Sciences, University of Birmingham, Birmingham, United Kingdom; Chiaki  Kagebayashi and Shinji Satomura, Wako Life Sciences, Mountain View, CA; Rebecca  Miksad, Beth Israel Deaconess Medical Center, Institute for Technology  Assessment, Massachusetts General Hospital, and Harvard Medical School, Boston,  MA; Winnie Yeo, Frankie Mo, and Stephen L. Chan, State Key Laboratory in Oncology  in South China, Sir Y. K. Pao Centre for Cancer, Chinese University of Hong Kong,  Hong Kong Cancer Institute; Paul Lai, Prince of Wales Hospital, Chinese  University of Hong Kong, Hong Kong, China; Mercedes Iñarrairaegui and Bruno  Sangro, Clinica Universidad de Navarra, and Centro de Investigacion Biomedica en  Red de Enfermedades Hepaticas y Digestivas, Pamplona, Spain; Toshifumi Tada,  Takashi Kumada, and Hidenori Toyoda, Ogaki Municipal Hospital, Ogaki, Gifu,  Japan.; Philip J. Johnson, Sarah Berhane, and Daniel Palmer, University of Liverpool,  Liverpool; Philip J. Johnson and Daniel Palmer, The Clatterbridge Cancer Centre  National Health Service (NHS) Foundation Trust, Bebington; Mabel Teng,  Addenbrooke&amp;apos;s Hospital, University of Cambridge, Cambridge; Helen L. Reeves,  Northern Institute for Cancer Research and the Hepatopancreatobiliary  Multidisciplinary Team, Newcastle upon Tyne NHS Foundation Trust, The Freeman  Hospital, Newcastle upon Tyne; James O&amp;apos;Beirne, The Sheila Sherlock Liver Centre,  Royal Free Hospital, London; Richard Fox and Anna Skowronska, School of Cancer  Sciences, University of Birmingham, Birmingham, United Kingdom; Chiaki  Kagebayashi and Shinji Satomura, Wako Life Sciences, Mountain View, CA; Rebecca  Miksad, Beth Israel Deaconess Medical Center, Institute for Technology  Assessment, Massachusetts General Hospital, and Harvard Medical School, Boston,  MA; Winnie Yeo, Frankie Mo, and Stephen L. Chan, State Key Laboratory in Oncology  in South China, Sir Y. K. Pao Centre for Cancer, Chinese University of Hong Kong,  Hong Kong Cancer Institute; Paul Lai, Prince of Wales Hospital, Chinese  University of Hong Kong, Hong Kong, China; Mercedes Iñarrairaegui and Bruno  Sangro, Clinica Universidad de Navarra, and Centro de Investigacion Biomedica en  Red de Enfermedades Hepaticas y Digestivas, Pamplona, Spain; Toshifumi Tada,  Takashi Kumada, and Hidenori Toyoda, Ogaki Municipal Hospital, Ogaki, Gifu,  Japan.; Philip J. Johnson, Sarah Berhane, and Daniel Palmer, University of Liverpool,  Liverpool; Philip J. Johnson and Daniel Palmer, The Clatterbridge Cancer Centre  National Health Service (NHS) Foundation Trust, Bebington; Mabel Teng,  Addenbrooke&amp;apos;s Hospital, University of Cambridge, Cambridge; Helen L. Reeves,  Northern Institute for Cancer Research and the Hepatopancreatobiliary  Multidisciplinary Team, Newcastle upon Tyne NHS Foundation Trust, The Freeman  Hospital, Newcastle upon Tyne; James O&amp;apos;Beirne, The Sheila Sherlock Liver Centre,  Royal Free Hospital, London; Richard Fox and Anna Skowronska, School of Cancer  Sciences, University of Birmingham, Birmingham, United Kingdom; Chiaki  Kagebayashi and Shinji Satomura, Wako Life Sciences, Mountain View, CA; Rebecca  Miksad, Beth Israel Deaconess Medical Center, Institute for Technology  Assessment, Massachusetts General Hospital, and Harvard Medical School, Boston,  MA; Winnie Yeo, Frankie Mo, and Stephen L. Chan, State Key Laboratory in Oncology  in South China, Sir Y. K. Pao Centre for Cancer, Chinese University of Hong Kong,  Hong Kong Cancer Institute; Paul Lai, Prince of Wales Hospital, Chinese  University of Hong Kong, Hong Kong, China; Mercedes Iñarrairaegui and Bruno  Sangro, Clinica Universidad de Navarra, and Centro de Investigacion Biomedica en  Red de Enfermedades Hepaticas y Digestivas, Pamplona, Spain; Toshifumi Tada,  Takashi Kumada, and Hidenori Toyoda, Ogaki Municipal Hospital, Ogaki, Gifu,  Japan.; Philip J. Johnson, Sarah Berhane, and Daniel Palmer, University of Liverpool,  Liverpool; Philip J. Johnson and Daniel Palmer, The Clatterbridge Cancer Centre  National Health Service (NHS) Foundation Trust, Bebington; Mabel Teng,  Addenbrooke&amp;apos;s Hospital, University of Cambridge, Cambridge; Helen L. Reeves,  Northern Institute for Cancer Research and the Hepatopancreatobiliary  Multidisciplinary Team, Newcastle upon Tyne NHS Foundation Trust, The Freeman  Hospital, Newcastle upon Tyne; James O&amp;apos;Beirne, The Sheila Sherlock Liver Centre,  Royal Free Hospital, London; Richard Fox and Anna Skowronska, School of Cancer  Sciences, University of Birmingham, Birmingham, United Kingdom; Chiaki  Kagebayashi and Shinji Satomura, Wako Life Sciences, Mountain View, CA; Rebecca  Miksad, Beth Israel Deaconess Medical Center, Institute for Technology  Assessment, Massachusetts General Hospital, and Harvard Medical School, Boston,  MA; Winnie Yeo, Frankie Mo, and Stephen L. Chan, State Key Laboratory in Oncology  in South China, Sir Y. K. Pao Centre for Cancer, Chinese University of Hong Kong,  Hong Kong Cancer Institute; Paul Lai, Prince of Wales Hospital, Chinese  University of Hong Kong, Hong Kong, China; Mercedes Iñarrairaegui and Bruno  Sangro, Clinica Universidad de Navarra, and Centro de Investigacion Biomedica en  Red de Enfermedades Hepaticas y Digestivas, Pamplona, Spain; Toshifumi Tada,  Takashi Kumada, and Hidenori Toyoda, Ogaki Municipal Hospital, Ogaki, Gifu,  Japan.&lt;/_author_adr&gt;&lt;_date_display&gt;2015 Feb 20&lt;/_date_display&gt;&lt;_date&gt;2015-02-20&lt;/_date&gt;&lt;_doi&gt;10.1200/JCO.2014.57.9151&lt;/_doi&gt;&lt;_isbn&gt;1527-7755 (Electronic); 0732-183X (Print); 0732-183X (Linking)&lt;/_isbn&gt;&lt;_issue&gt;6&lt;/_issue&gt;&lt;_journal&gt;J Clin Oncol&lt;/_journal&gt;&lt;_language&gt;eng&lt;/_language&gt;&lt;_ori_publication&gt;© 2014 by American Society of Clinical Oncology.&lt;/_ori_publication&gt;&lt;_pages&gt;550-8&lt;/_pages&gt;&lt;_subject_headings&gt;Aged; Bilirubin/*blood; Carcinoma, Hepatocellular/*blood/pathology/*physiopathology; Cohort Studies; Female; Humans; Liver/*physiopathology; Liver Neoplasms/*blood/pathology/*physiopathology; Male; Middle Aged; Models, Biological; Neoplasm Grading; Neoplasm Staging; Serum Albumin/*metabolism&lt;/_subject_headings&gt;&lt;_tertiary_title&gt;Journal of clinical oncology : official journal of the American Society of _x000d__x000a_      Clinical Oncology&lt;/_tertiary_title&gt;&lt;_type_work&gt;Journal Article; Research Support, N.I.H., Extramural; Research Support, Non-U.S. Gov&amp;apos;t&lt;/_type_work&gt;&lt;_url&gt;http://www.ncbi.nlm.nih.gov/entrez/query.fcgi?cmd=Retrieve&amp;amp;db=pubmed&amp;amp;dopt=Abstract&amp;amp;list_uids=25512453&amp;amp;query_hl=1&lt;/_url&gt;&lt;_volume&gt;33&lt;/_volume&gt;&lt;_created&gt;66468267&lt;/_created&gt;&lt;_modified&gt;66468267&lt;/_modified&gt;&lt;_impact_factor&gt;  41.900&lt;/_impact_factor&gt;&lt;_social_category&gt;肿瘤学(1)&lt;/_social_category&gt;&lt;_collection_scope&gt;SCIE&lt;/_collection_scope&gt;&lt;/Details&gt;&lt;Extra&gt;&lt;DBUID&gt;{86835755-9694-411B-A931-C461F6E7F109}&lt;/DBUID&gt;&lt;/Extra&gt;&lt;/Item&gt;&lt;/References&gt;&lt;/Group&gt;&lt;/Citation&gt;_x000a_"/>
    <w:docVar w:name="NE.Ref{D0B2CAA3-A635-4FEF-A321-E1B844EB954E}" w:val=" ADDIN NE.Ref.{D0B2CAA3-A635-4FEF-A321-E1B844EB954E}&lt;Citation&gt;&lt;Group&gt;&lt;References&gt;&lt;Item&gt;&lt;ID&gt;4087&lt;/ID&gt;&lt;UID&gt;{1748D8B6-8A3B-4931-91C6-B8D537F0BAF4}&lt;/UID&gt;&lt;Title&gt;The FIB-4 score predicts postoperative short-term outcomes of hepatocellular  carcinoma fulfilling the milan criteria&lt;/Title&gt;&lt;Template&gt;Journal Article&lt;/Template&gt;&lt;Star&gt;0&lt;/Star&gt;&lt;Tag&gt;0&lt;/Tag&gt;&lt;Author&gt;Dong, J; Xu, X-h; Ke, M-y; Xiang, J-x; Liu, W-y; Liu, X-m; Wang, B; Zhang, X-f; Lv, Y&lt;/Author&gt;&lt;Year&gt;2016&lt;/Year&gt;&lt;Details&gt;&lt;_accession_num&gt;26927299&lt;/_accession_num&gt;&lt;_author_adr&gt;Department of Hepatobiliary Surgery, First Affiliated Hospital of Medical  College, Xi&amp;apos;an Jiaotong University, 277 West Yanta Road, Xi&amp;apos;an 710061, Shaanxi  Province, China; Research Institute of Advanced Surgical Techniques and  Engineering, Xi&amp;apos;an Jiaotong University, Xi&amp;apos;an, China.; Department of Hepatobiliary Surgery, First Affiliated Hospital of Medical  College, Xi&amp;apos;an Jiaotong University, 277 West Yanta Road, Xi&amp;apos;an 710061, Shaanxi  Province, China; Research Institute of Advanced Surgical Techniques and  Engineering, Xi&amp;apos;an Jiaotong University, Xi&amp;apos;an, China.; Department of Hepatobiliary Surgery, First Affiliated Hospital of Medical  College, Xi&amp;apos;an Jiaotong University, 277 West Yanta Road, Xi&amp;apos;an 710061, Shaanxi  Province, China; Research Institute of Advanced Surgical Techniques and  Engineering, Xi&amp;apos;an Jiaotong University, Xi&amp;apos;an, China.; Department of Hepatobiliary Surgery, First Affiliated Hospital of Medical  College, Xi&amp;apos;an Jiaotong University, 277 West Yanta Road, Xi&amp;apos;an 710061, Shaanxi  Province, China; Research Institute of Advanced Surgical Techniques and  Engineering, Xi&amp;apos;an Jiaotong University, Xi&amp;apos;an, China.; Department of Hepatobiliary Surgery, First Affiliated Hospital of Medical  College, Xi&amp;apos;an Jiaotong University, 277 West Yanta Road, Xi&amp;apos;an 710061, Shaanxi  Province, China; Research Institute of Advanced Surgical Techniques and  Engineering, Xi&amp;apos;an Jiaotong University, Xi&amp;apos;an, China.; Department of Hepatobiliary Surgery, First Affiliated Hospital of Medical  College, Xi&amp;apos;an Jiaotong University, 277 West Yanta Road, Xi&amp;apos;an 710061, Shaanxi  Province, China; Research Institute of Advanced Surgical Techniques and  Engineering, Xi&amp;apos;an Jiaotong University, Xi&amp;apos;an, China.; Department of Hepatobiliary Surgery, First Affiliated Hospital of Medical  College, Xi&amp;apos;an Jiaotong University, 277 West Yanta Road, Xi&amp;apos;an 710061, Shaanxi  Province, China; Research Institute of Advanced Surgical Techniques and  Engineering, Xi&amp;apos;an Jiaotong University, Xi&amp;apos;an, China.; Department of Hepatobiliary Surgery, First Affiliated Hospital of Medical  College, Xi&amp;apos;an Jiaotong University, 277 West Yanta Road, Xi&amp;apos;an 710061, Shaanxi  Province, China; Research Institute of Advanced Surgical Techniques and  Engineering, Xi&amp;apos;an Jiaotong University, Xi&amp;apos;an, China.; Department of Hepatobiliary Surgery, First Affiliated Hospital of Medical  College, Xi&amp;apos;an Jiaotong University, 277 West Yanta Road, Xi&amp;apos;an 710061, Shaanxi  Province, China; Research Institute of Advanced Surgical Techniques and  Engineering, Xi&amp;apos;an Jiaotong University, Xi&amp;apos;an, China. Electronic address:  Luyi169@126.com.&lt;/_author_adr&gt;&lt;_date_display&gt;2016 May&lt;/_date_display&gt;&lt;_date&gt;2016-05-01&lt;/_date&gt;&lt;_doi&gt;10.1016/j.ejso.2016.02.009&lt;/_doi&gt;&lt;_isbn&gt;1532-2157 (Electronic); 0748-7983 (Linking)&lt;/_isbn&gt;&lt;_issue&gt;5&lt;/_issue&gt;&lt;_journal&gt;Eur J Surg Oncol&lt;/_journal&gt;&lt;_keywords&gt;FIB-4; Hepatectomy; Hepatocellular carcinoma; Short-term outcomes&lt;/_keywords&gt;&lt;_language&gt;eng&lt;/_language&gt;&lt;_ori_publication&gt;Copyright © 2016 Elsevier Ltd. All rights reserved.&lt;/_ori_publication&gt;&lt;_pages&gt;722-7&lt;/_pages&gt;&lt;_subject_headings&gt;Adolescent; Adult; Aged; Aged, 80 and over; Carcinoma, Hepatocellular/*surgery; Child; Female; Hepatectomy; Humans; Liver Cirrhosis/*complications; Liver Neoplasms/*surgery; Male; Middle Aged; Postoperative Complications/epidemiology; Predictive Value of Tests; Retrospective Studies; Risk Factors; Tomography, X-Ray Computed&lt;/_subject_headings&gt;&lt;_tertiary_title&gt;European journal of surgical oncology : the journal of the European Society of _x000d__x000a_      Surgical Oncology and the British Association of Surgical Oncology&lt;/_tertiary_title&gt;&lt;_type_work&gt;Journal Article&lt;/_type_work&gt;&lt;_url&gt;http://www.ncbi.nlm.nih.gov/entrez/query.fcgi?cmd=Retrieve&amp;amp;db=pubmed&amp;amp;dopt=Abstract&amp;amp;list_uids=26927299&amp;amp;query_hl=1&lt;/_url&gt;&lt;_volume&gt;42&lt;/_volume&gt;&lt;_created&gt;65958292&lt;/_created&gt;&lt;_modified&gt;65958292&lt;/_modified&gt;&lt;_impact_factor&gt;   3.500&lt;/_impact_factor&gt;&lt;_social_category&gt;肿瘤学(2) &amp;amp; 外科(2)&lt;/_social_category&gt;&lt;_collection_scope&gt;SCIE&lt;/_collection_scope&gt;&lt;/Details&gt;&lt;Extra&gt;&lt;DBUID&gt;{0CEE86E8-8862-4269-982C-12159126C1F0}&lt;/DBUID&gt;&lt;/Extra&gt;&lt;/Item&gt;&lt;/References&gt;&lt;/Group&gt;&lt;Group&gt;&lt;References&gt;&lt;Item&gt;&lt;ID&gt;4088&lt;/ID&gt;&lt;UID&gt;{3FB8855E-78FD-4C1B-B6CA-8D902258A616}&lt;/UID&gt;&lt;Title&gt;A laboratory marker, FIB-4 index, as a predictor for long-term outcomes of  hepatocellular carcinoma patients after curative hepatic resection&lt;/Title&gt;&lt;Template&gt;Journal Article&lt;/Template&gt;&lt;Star&gt;0&lt;/Star&gt;&lt;Tag&gt;0&lt;/Tag&gt;&lt;Author&gt;Toyoda, Hidenori; Kumada, Takashi; Tada, Toshifumi; Kaneoka, Yuji; Maeda, Atsuyuki&lt;/Author&gt;&lt;Year&gt;2015&lt;/Year&gt;&lt;Details&gt;&lt;_accession_num&gt;25704421&lt;/_accession_num&gt;&lt;_author_adr&gt;Department of Gastroenterology, Ogaki Municipal Hospital, Ogaki, Japan.  Electronic address: tkumada@he.mirai.ne.jp.; Department of Gastroenterology, Ogaki Municipal Hospital, Ogaki, Japan.; Department of Gastroenterology, Ogaki Municipal Hospital, Ogaki, Japan.; Department of Surgery, Ogaki Municipal Hospital, Ogaki, Japan.; Department of Surgery, Ogaki Municipal Hospital, Ogaki, Japan.&lt;/_author_adr&gt;&lt;_date_display&gt;2015 Apr&lt;/_date_display&gt;&lt;_date&gt;2015-04-01&lt;/_date&gt;&lt;_doi&gt;10.1016/j.surg.2014.10.022&lt;/_doi&gt;&lt;_isbn&gt;1532-7361 (Electronic); 0039-6060 (Linking)&lt;/_isbn&gt;&lt;_issue&gt;4&lt;/_issue&gt;&lt;_journal&gt;Surgery&lt;/_journal&gt;&lt;_language&gt;eng&lt;/_language&gt;&lt;_ori_publication&gt;Copyright © 2015 Elsevier Inc. All rights reserved.&lt;/_ori_publication&gt;&lt;_pages&gt;699-707&lt;/_pages&gt;&lt;_subject_headings&gt;Adult; Age Factors; Aged; Aged, 80 and over; Alanine Transaminase/blood; Aspartate Aminotransferases/blood; Biomarkers/blood; Biomarkers, Tumor/blood; Carcinoma, Hepatocellular/blood/etiology/mortality/*surgery; *Decision Support Techniques; Female; *Hepatectomy; Humans; Liver Cirrhosis/blood/complications/*diagnosis; Liver Neoplasms/blood/etiology/mortality/*surgery; Male; Middle Aged; Multivariate Analysis; Neoplasm Recurrence, Local/*diagnosis; Platelet Count; Prognosis; Risk Assessment; Risk Factors; *Severity of Illness Index; Survival Analysis; Treatment Outcome&lt;/_subject_headings&gt;&lt;_tertiary_title&gt;Surgery&lt;/_tertiary_title&gt;&lt;_type_work&gt;Evaluation Study; Journal Article&lt;/_type_work&gt;&lt;_url&gt;http://www.ncbi.nlm.nih.gov/entrez/query.fcgi?cmd=Retrieve&amp;amp;db=pubmed&amp;amp;dopt=Abstract&amp;amp;list_uids=25704421&amp;amp;query_hl=1&lt;/_url&gt;&lt;_volume&gt;157&lt;/_volume&gt;&lt;_created&gt;65958293&lt;/_created&gt;&lt;_modified&gt;65958293&lt;/_modified&gt;&lt;_impact_factor&gt;   3.200&lt;/_impact_factor&gt;&lt;_social_category&gt;外科(2)&lt;/_social_category&gt;&lt;_collection_scope&gt;SCIE&lt;/_collection_scope&gt;&lt;/Details&gt;&lt;Extra&gt;&lt;DBUID&gt;{0CEE86E8-8862-4269-982C-12159126C1F0}&lt;/DBUID&gt;&lt;/Extra&gt;&lt;/Item&gt;&lt;/References&gt;&lt;/Group&gt;&lt;/Citation&gt;_x000a_"/>
    <w:docVar w:name="NE.Ref{D1ACD4D8-2A81-4347-9897-F9BA4D6B0F31}" w:val=" ADDIN NE.Ref.{D1ACD4D8-2A81-4347-9897-F9BA4D6B0F31}&lt;Citation&gt;&lt;Group&gt;&lt;References&gt;&lt;Item&gt;&lt;ID&gt;5200&lt;/ID&gt;&lt;UID&gt;{6789C14B-CC3A-41F8-A03D-40A5FB5F6087}&lt;/UID&gt;&lt;Title&gt;Development and comprehensive validation of a predictive prognosis model for very early HCC recurrence within one year after curative resection: a multicenter cohort study&lt;/Title&gt;&lt;Template&gt;Journal Article&lt;/Template&gt;&lt;Star&gt;0&lt;/Star&gt;&lt;Tag&gt;0&lt;/Tag&gt;&lt;Author&gt;Liu, Lei; Qin, Shangdong; Lin, Kongying; Xu, Qingguo; Yang, Yuan; Cai, Jinzhen; Zeng, Yongyi; Yuan, Shengxian; Xiang, Bangde; Lau, Wan Yee; Zhou, Weiping&lt;/Author&gt;&lt;Year&gt;2024&lt;/Year&gt;&lt;Details&gt;&lt;_accessed&gt;65865182&lt;/_accessed&gt;&lt;_accession_num&gt;38626419&lt;/_accession_num&gt;&lt;_author_adr&gt;The Third Department of Hepatic Surgery, Eastern Hepatobiliary Surgery Hospital.; Hepatobiliary Surgery Department, Guangxi Medical University Cancer Hospital,  Nanning.; Department of Hepatopancreatobiliary Surgery, Mengchao Hepatobiliary Hospital of  Fujian Medical University, Fuzhou.; Organ Transplantation Center, The Institute of Transplantation Science, The  Affiliated Hospital of Qingdao University.; The Third Department of Hepatic Surgery, Eastern Hepatobiliary Surgery Hospital.; Organ Transplantation Center, The Institute of Transplantation Science, The  Affiliated Hospital of Qingdao University.; Department of Hepatopancreatobiliary Surgery, Mengchao Hepatobiliary Hospital of  Fujian Medical University, Fuzhou.; The Third Department of Hepatic Surgery, Eastern Hepatobiliary Surgery Hospital.; Hepatobiliary Surgery Department, Guangxi Medical University Cancer Hospital,  Nanning.; The Third Department of Hepatic Surgery, Eastern Hepatobiliary Surgery Hospital.; Faculty of Medicine, The Chinese University of Hong Kong, Shatin, New  Territories, Hong Kong SAR.; The Third Department of Hepatic Surgery, Eastern Hepatobiliary Surgery Hospital.; Key Laboratory of Signaling Regulation and Targeting Therapy of Liver Cancer  (SMMU), Ministry of Education.; Shanghai Key Laboratory of Hepatobiliary Tumor Biology (EHBH), Shanghai, People&amp;apos;s  Republic of China.&lt;/_author_adr&gt;&lt;_collection_scope&gt;SCIE&lt;/_collection_scope&gt;&lt;_created&gt;65865181&lt;/_created&gt;&lt;_date&gt;65436480&lt;/_date&gt;&lt;_date_display&gt;2024 Jun 1&lt;/_date_display&gt;&lt;_db_updated&gt;PubMed&lt;/_db_updated&gt;&lt;_doi&gt;10.1097/JS9.0000000000001467&lt;/_doi&gt;&lt;_impact_factor&gt;  10.100&lt;/_impact_factor&gt;&lt;_isbn&gt;1743-9159 (Electronic); 1743-9191 (Print); 1743-9159 (Linking)&lt;/_isbn&gt;&lt;_issue&gt;6&lt;/_issue&gt;&lt;_journal&gt;Int J Surg&lt;/_journal&gt;&lt;_language&gt;eng&lt;/_language&gt;&lt;_modified&gt;66149714&lt;/_modified&gt;&lt;_ori_publication&gt;Copyright (c) 2024 The Author(s). Published by Wolters Kluwer Health, Inc.&lt;/_ori_publication&gt;&lt;_pages&gt;3401-3411&lt;/_pages&gt;&lt;_social_category&gt;外科(2)&lt;/_social_category&gt;&lt;_subject_headings&gt;Humans; *Carcinoma, Hepatocellular/surgery/pathology/mortality; Female; Male; Middle Aged; *Liver Neoplasms/surgery/pathology/mortality; *Neoplasm Recurrence, Local; Prognosis; Retrospective Studies; Aged; Cohort Studies; China/epidemiology; Adult; Hepatectomy; Risk Factors; Prospective Studies&lt;/_subject_headings&gt;&lt;_tertiary_title&gt;International journal of surgery (London, England)&lt;/_tertiary_title&gt;&lt;_type_work&gt;Journal Article; Multicenter Study; Validation Study&lt;/_type_work&gt;&lt;_url&gt;http://www.ncbi.nlm.nih.gov/entrez/query.fcgi?cmd=Retrieve&amp;amp;db=pubmed&amp;amp;dopt=Abstract&amp;amp;list_uids=38626419&amp;amp;query_hl=1&lt;/_url&gt;&lt;_volume&gt;110&lt;/_volume&gt;&lt;/Details&gt;&lt;Extra&gt;&lt;DBUID&gt;{86835755-9694-411B-A931-C461F6E7F109}&lt;/DBUID&gt;&lt;/Extra&gt;&lt;/Item&gt;&lt;/References&gt;&lt;/Group&gt;&lt;/Citation&gt;_x000a_"/>
    <w:docVar w:name="NE.Ref{D4224F8D-6E82-46FA-BC23-91A7C7E0C519}" w:val=" ADDIN NE.Ref.{D4224F8D-6E82-46FA-BC23-91A7C7E0C519}&lt;Citation&gt;&lt;Group&gt;&lt;References&gt;&lt;Item&gt;&lt;ID&gt;5329&lt;/ID&gt;&lt;UID&gt;{5E248DE4-8434-48E4-AB99-ECBC93AC0409}&lt;/UID&gt;&lt;Title&gt;Conventional and machine learning-based risk scores for patients with early-stage  hepatocellular carcinoma&lt;/Title&gt;&lt;Template&gt;Journal Article&lt;/Template&gt;&lt;Star&gt;0&lt;/Star&gt;&lt;Tag&gt;0&lt;/Tag&gt;&lt;Author&gt;Ho, Chun-Ting; Tan, Elise Chia-Hui; Lee, Pei-Chang; Chu, Chi-Jen; Huang, Yi-Hsiang; Huo, Teh-Ia; Su, Yu-Hui; Hou, Ming-Chih; Wu, Jaw-Ching; Su, Chien-Wei&lt;/Author&gt;&lt;Year&gt;2024&lt;/Year&gt;&lt;Details&gt;&lt;_author_adr&gt;Division of Gastroenterology and Hepatology, Department of Medicine, Taipei  Veterans General Hospital, Taipei, Taiwan.; Department of Health Service Administration, College of Public Health, China  Medical University, Taichung, Taiwan.; Division of Gastroenterology and Hepatology, Department of Medicine, Taipei  Veterans General Hospital, Taipei, Taiwan.; School of Medicine, College of Medicine, National Yang Ming Chiao Tung  University, Taipei, Taiwan.; Division of Gastroenterology and Hepatology, Department of Medicine, Taipei  Veterans General Hospital, Taipei, Taiwan.; School of Medicine, College of Medicine, National Yang Ming Chiao Tung  University, Taipei, Taiwan.; School of Medicine, College of Medicine, National Yang Ming Chiao Tung  University, Taipei, Taiwan.; Institute of Clinical Medicine, School of Medicine, National Yang Ming Chiao Tung  University, Taipei, Taiwan.; Division of Basic Research, Department of Medical Research, Taipei Veterans  General Hospital, Taipei, Taiwan.; Department of Accounting, Soochow University, Taipei, Taiwan.; Division of Gastroenterology and Hepatology, Department of Medicine, Taipei  Veterans General Hospital, Taipei, Taiwan.; School of Medicine, College of Medicine, National Yang Ming Chiao Tung  University, Taipei, Taiwan.; Institute of Clinical Medicine, School of Medicine, National Yang Ming Chiao Tung  University, Taipei, Taiwan.; Division of Gastroenterology and Hepatology, Department of Medicine, Taipei  Veterans General Hospital, Taipei, Taiwan.; School of Medicine, College of Medicine, National Yang Ming Chiao Tung  University, Taipei, Taiwan.; Institute of Clinical Medicine, School of Medicine, National Yang Ming Chiao Tung  University, Taipei, Taiwan.; Division of General Medicine, Department of Medicine, Taipei Veterans General  Hospital, Taipei, Taiwan.&lt;/_author_adr&gt;&lt;_date_display&gt;2024&lt;/_date_display&gt;&lt;_date&gt;2024-01-01&lt;/_date&gt;&lt;_isbn&gt;2287-285X (Electronic); 2287-2728 (Print); 2287-2728 (Linking)&lt;/_isbn&gt;&lt;_issue&gt;3&lt;/_issue&gt;&lt;_journal&gt;Clin Mol Hepatol&lt;/_journal&gt;&lt;_keywords&gt;Fibrosis; Hepatocellular carcinoma; Inflammation; Machine learning; Prognosis&lt;/_keywords&gt;&lt;_number&gt;4081&lt;/_number&gt;&lt;_pages&gt;406-420&lt;/_pages&gt;&lt;_url&gt;http://www.ncbi.nlm.nih.gov/entrez/query.fcgi?cmd=Retrieve&amp;amp;db=pubmed&amp;amp;dopt=Abstract&amp;amp;list_uids=38600872&amp;amp;query_hl=1_x000d__x000a_DO - 10.3350/cmh.2024.0103&lt;/_url&gt;&lt;_volume&gt;30&lt;/_volume&gt;&lt;_created&gt;66046014&lt;/_created&gt;&lt;_modified&gt;66046014&lt;/_modified&gt;&lt;_impact_factor&gt;  14.000&lt;/_impact_factor&gt;&lt;_social_category&gt;胃肠肝病学(2)&lt;/_social_category&gt;&lt;_collection_scope&gt;SCIE&lt;/_collection_scope&gt;&lt;/Details&gt;&lt;Extra&gt;&lt;DBUID&gt;{86835755-9694-411B-A931-C461F6E7F109}&lt;/DBUID&gt;&lt;/Extra&gt;&lt;/Item&gt;&lt;/References&gt;&lt;/Group&gt;&lt;/Citation&gt;_x000a_"/>
    <w:docVar w:name="NE.Ref{D5C347DB-3030-4935-8461-68B7F8E4319B}" w:val=" ADDIN NE.Ref.{D5C347DB-3030-4935-8461-68B7F8E4319B}&lt;Citation&gt;&lt;Group&gt;&lt;References&gt;&lt;Item&gt;&lt;ID&gt;5323&lt;/ID&gt;&lt;UID&gt;{CB845311-74B5-409C-8530-C8245A9F1BB8}&lt;/UID&gt;&lt;Title&gt;Chronological evolution in liver resection for hepatocellular carcinoma:  Prognostic trends across three decades in early to advanced stages&lt;/Title&gt;&lt;Template&gt;Journal Article&lt;/Template&gt;&lt;Star&gt;0&lt;/Star&gt;&lt;Tag&gt;0&lt;/Tag&gt;&lt;Author&gt;Takamoto, Takeshi; Nara, Satoshi; Ban, Daisuke; Mizui, Takahiro; Mukai, Masami; Esaki, Minoru; Shimada, Kazuaki&lt;/Author&gt;&lt;Year&gt;2025&lt;/Year&gt;&lt;Details&gt;&lt;_author_adr&gt;Department of Hepatobiliary and Pancreatic Surgery, National Cancer Center  Hospital, Tokyo, Japan. Electronic address: ttakamot@ncc.go.jp.; Department of Hepatobiliary and Pancreatic Surgery, National Cancer Center  Hospital, Tokyo, Japan.; Department of Hepatobiliary and Pancreatic Surgery, National Cancer Center  Hospital, Tokyo, Japan.; Department of Hepatobiliary and Pancreatic Surgery, National Cancer Center  Hospital, Tokyo, Japan.; Department of Medical Informatics, National Cancer Center Hospital, Tokyo, Japan.; Department of Hepatobiliary and Pancreatic Surgery, National Cancer Center  Hospital, Tokyo, Japan.; Department of Hepatobiliary and Pancreatic Surgery, National Cancer Center  Hospital, Tokyo, Japan.&lt;/_author_adr&gt;&lt;_date_display&gt;2025&lt;/_date_display&gt;&lt;_date&gt;2025-01-01&lt;/_date&gt;&lt;_isbn&gt;1532-2157 (Electronic); 0748-7983 (Linking)&lt;/_isbn&gt;&lt;_issue&gt;2&lt;/_issue&gt;&lt;_journal&gt;Eur J Surg Oncol&lt;/_journal&gt;&lt;_keywords&gt;BCLC stage; Chronological change; Hepatocellular carcinoma; Liver resection&lt;/_keywords&gt;&lt;_number&gt;4079&lt;/_number&gt;&lt;_pages&gt;109461&lt;/_pages&gt;&lt;_url&gt;http://www.ncbi.nlm.nih.gov/entrez/query.fcgi?cmd=Retrieve&amp;amp;db=pubmed&amp;amp;dopt=Abstract&amp;amp;list_uids=39631231&amp;amp;query_hl=1_x000d__x000a_DO - 10.1016/j.ejso.2024.109461&lt;/_url&gt;&lt;_volume&gt;51&lt;/_volume&gt;&lt;_created&gt;66046014&lt;/_created&gt;&lt;_modified&gt;66046014&lt;/_modified&gt;&lt;_impact_factor&gt;   3.500&lt;/_impact_factor&gt;&lt;_social_category&gt;肿瘤学(2) &amp;amp; 外科(2)&lt;/_social_category&gt;&lt;_collection_scope&gt;SCIE&lt;/_collection_scope&gt;&lt;/Details&gt;&lt;Extra&gt;&lt;DBUID&gt;{86835755-9694-411B-A931-C461F6E7F109}&lt;/DBUID&gt;&lt;/Extra&gt;&lt;/Item&gt;&lt;/References&gt;&lt;/Group&gt;&lt;Group&gt;&lt;References&gt;&lt;Item&gt;&lt;ID&gt;5342&lt;/ID&gt;&lt;UID&gt;{9F701D4B-58A2-4DE0-B89A-95C37B69F01C}&lt;/UID&gt;&lt;Title&gt;Adherence to the modified Barcelona Clinic Liver Cancer guidelines: Results from  a high-volume liver surgery center in East Asias&lt;/Title&gt;&lt;Template&gt;Journal Article&lt;/Template&gt;&lt;Star&gt;0&lt;/Star&gt;&lt;Tag&gt;0&lt;/Tag&gt;&lt;Author&gt;Yen, Yi-Hao; Cheng, Yu-Fan; Wang, Jing-Houng; Lin, Chih-Che; Chen, Chien-Hung; Wang, Chih-Chi&lt;/Author&gt;&lt;Year&gt;2021&lt;/Year&gt;&lt;Details&gt;&lt;_author_adr&gt;Division of Hepatogastroenterology, Department of Internal Medicine, Kaohsiung  Chang Gung Memorial Hospital and Chang Gung University College of Medicine,  Kaohsiung, Taiwan.; Department of Diagnostic Radiology, Liver Transplantation Center, Kaohsiung Chang  Gung Memorial Hospital, Chang Gung University College of Medicine, Kaohsiung,  Taiwan.; Division of Hepatogastroenterology, Department of Internal Medicine, Kaohsiung  Chang Gung Memorial Hospital and Chang Gung University College of Medicine,  Kaohsiung, Taiwan.; Department of Surgery, Liver Transplantation Center, Kaohsiung Chang Gung  Memorial Hospital, Kaohsiung, Taiwan.; Division of Hepatogastroenterology, Department of Internal Medicine, Kaohsiung  Chang Gung Memorial Hospital and Chang Gung University College of Medicine,  Kaohsiung, Taiwan.; Department of Surgery, Liver Transplantation Center, Kaohsiung Chang Gung  Memorial Hospital, Kaohsiung, Taiwan.&lt;/_author_adr&gt;&lt;_date_display&gt;2021&lt;/_date_display&gt;&lt;_date&gt;2021-01-01&lt;/_date&gt;&lt;_isbn&gt;1932-6203 (Electronic); 1932-6203 (Linking)&lt;/_isbn&gt;&lt;_issue&gt;3&lt;/_issue&gt;&lt;_journal&gt;PLoS One&lt;/_journal&gt;&lt;_number&gt;4080&lt;/_number&gt;&lt;_pages&gt;e0249194&lt;/_pages&gt;&lt;_url&gt;http://www.ncbi.nlm.nih.gov/entrez/query.fcgi?cmd=Retrieve&amp;amp;db=pubmed&amp;amp;dopt=Abstract&amp;amp;list_uids=33765059&amp;amp;query_hl=1_x000d__x000a_DO - 10.1371/journal.pone.0249194&lt;/_url&gt;&lt;_volume&gt;16&lt;/_volume&gt;&lt;_created&gt;66046014&lt;/_created&gt;&lt;_modified&gt;66046014&lt;/_modified&gt;&lt;_impact_factor&gt;   2.900&lt;/_impact_factor&gt;&lt;_social_category&gt;综合性期刊(3)&lt;/_social_category&gt;&lt;_collection_scope&gt;SCIE&lt;/_collection_scope&gt;&lt;/Details&gt;&lt;Extra&gt;&lt;DBUID&gt;{86835755-9694-411B-A931-C461F6E7F109}&lt;/DBUID&gt;&lt;/Extra&gt;&lt;/Item&gt;&lt;/References&gt;&lt;/Group&gt;&lt;/Citation&gt;_x000a_"/>
    <w:docVar w:name="NE.Ref{D7B6D929-ECAF-425E-86A2-5799221375E2}" w:val=" ADDIN NE.Ref.{D7B6D929-ECAF-425E-86A2-5799221375E2}&lt;Citation&gt;&lt;Group&gt;&lt;References&gt;&lt;Item&gt;&lt;ID&gt;5339&lt;/ID&gt;&lt;UID&gt;{9F48CE76-49AD-49B0-A285-B7E8088D7C58}&lt;/UID&gt;&lt;Title&gt;Update on the applications and limitations of alpha-fetoprotein for  hepatocellular carcinoma&lt;/Title&gt;&lt;Template&gt;Journal Article&lt;/Template&gt;&lt;Star&gt;0&lt;/Star&gt;&lt;Tag&gt;0&lt;/Tag&gt;&lt;Author&gt;Hanif, Hira; Ali, Mukarram Jamat; Susheela, Ammu T; Khan, Iman Waheed; Luna-Cuadros, Maria Alejandra; Khan, Muzammil Muhammad; Lau, Daryl Tan-Yeung&lt;/Author&gt;&lt;Year&gt;2022&lt;/Year&gt;&lt;Details&gt;&lt;_author_adr&gt;Liver Center, Department of Medicine, Beth Israel Deaconess Medical Center,  Harvard Medical School, Boston, MA 02215, United States.; Liver Center, Department of Medicine, Beth Israel Deaconess Medical Center,  Harvard Medical School, Boston, MA 02215, United States.; Internal Medicine, Loyola MacNeal Hospital, Berwyn, PA 60402, United States.; Liver Center, Department of Medicine, Beth Israel Deaconess Medical Center,  Harvard Medical School, Boston, MA 02215, United States.; Liver Center, Department of Medicine, Beth Israel Deaconess Medical Center,  Harvard Medical School, Boston, MA 02215, United States.; Liver Center, Department of Medicine, Beth Israel Deaconess Medical Center,  Harvard Medical School, Boston, MA 02215, United States.; Liver Center, Department of Medicine, Beth Israel Deaconess Medical Center,  Harvard Medical School, Boston, MA 02215, United States. dlau@bidmc.harvard.edu.&lt;/_author_adr&gt;&lt;_collection_scope&gt;SCIE&lt;/_collection_scope&gt;&lt;_created&gt;66046014&lt;/_created&gt;&lt;_date&gt;2022-01-01&lt;/_date&gt;&lt;_date_display&gt;2022&lt;/_date_display&gt;&lt;_impact_factor&gt;   4.300&lt;/_impact_factor&gt;&lt;_isbn&gt;2219-2840 (Electronic); 1007-9327 (Print); 1007-9327 (Linking)&lt;/_isbn&gt;&lt;_issue&gt;2&lt;/_issue&gt;&lt;_journal&gt;World J Gastroenterol&lt;/_journal&gt;&lt;_keywords&gt;Alpha-fetoprotein; Alpha-fetoprotein-L3; Cirrhosis; Hepatocellular carcinoma; Hereditary persistence of alpha-fetoprotein; Tumor markers&lt;/_keywords&gt;&lt;_modified&gt;66046014&lt;/_modified&gt;&lt;_number&gt;4085&lt;/_number&gt;&lt;_pages&gt;216-229&lt;/_pages&gt;&lt;_social_category&gt;胃肠肝病学(3)&lt;/_social_category&gt;&lt;_url&gt;http://www.ncbi.nlm.nih.gov/entrez/query.fcgi?cmd=Retrieve&amp;amp;db=pubmed&amp;amp;dopt=Abstract&amp;amp;list_uids=35110946&amp;amp;query_hl=1_x000d__x000a_DO - 10.3748/wjg.v28.i2.216&lt;/_url&gt;&lt;_volume&gt;28&lt;/_volume&gt;&lt;/Details&gt;&lt;Extra&gt;&lt;DBUID&gt;{86835755-9694-411B-A931-C461F6E7F109}&lt;/DBUID&gt;&lt;/Extra&gt;&lt;/Item&gt;&lt;/References&gt;&lt;/Group&gt;&lt;/Citation&gt;_x000a_"/>
    <w:docVar w:name="NE.Ref{DB21B802-8E43-41D8-951A-58A18C399FDB}" w:val=" ADDIN NE.Ref.{DB21B802-8E43-41D8-951A-58A18C399FDB}&lt;Citation&gt;&lt;Group&gt;&lt;References&gt;&lt;Item&gt;&lt;ID&gt;5803&lt;/ID&gt;&lt;UID&gt;{4FBE7110-E3B7-483B-B49A-5867AF4368D4}&lt;/UID&gt;&lt;Title&gt;Substantial risk of recurrence even after 5 recurrence-free years in early-stage  hepatocellular carcinoma patients&lt;/Title&gt;&lt;Template&gt;Journal Article&lt;/Template&gt;&lt;Star&gt;0&lt;/Star&gt;&lt;Tag&gt;0&lt;/Tag&gt;&lt;Author&gt;Kim, Jihye; Kang, Wonseok; Sinn, Dong Hyun; Gwak, Geum-Youn; Paik, Yong-Han; Choi, Moon Seok; Lee, Joon Hyeok; Koh, Kwang Cheol; Paik, Seung Woon&lt;/Author&gt;&lt;Year&gt;2020&lt;/Year&gt;&lt;Details&gt;&lt;_accession_num&gt;32911589&lt;/_accession_num&gt;&lt;_author_adr&gt;Department of Medicine, Samsung Medical Center, Sungkyunkwan University School of  Medicine, Seoul, Korea.; Department of Medicine, Samsung Medical Center, Sungkyunkwan University School of  Medicine, Seoul, Korea.; Department of Medicine, Samsung Medical Center, Sungkyunkwan University School of  Medicine, Seoul, Korea.; Department of Medicine, Samsung Medical Center, Sungkyunkwan University School of  Medicine, Seoul, Korea.; Department of Medicine, Samsung Medical Center, Sungkyunkwan University School of  Medicine, Seoul, Korea.; Department of Medicine, Samsung Medical Center, Sungkyunkwan University School of  Medicine, Seoul, Korea.; Department of Medicine, Samsung Medical Center, Sungkyunkwan University School of  Medicine, Seoul, Korea.; Department of Medicine, Samsung Medical Center, Sungkyunkwan University School of  Medicine, Seoul, Korea.; Department of Medicine, Samsung Medical Center, Sungkyunkwan University School of  Medicine, Seoul, Korea.&lt;/_author_adr&gt;&lt;_date_display&gt;2020 Oct&lt;/_date_display&gt;&lt;_date&gt;2020-10-01&lt;/_date&gt;&lt;_doi&gt;10.3350/cmh.2020.0016&lt;/_doi&gt;&lt;_isbn&gt;2287-285X (Electronic); 2287-2728 (Print); 2287-2728 (Linking)&lt;/_isbn&gt;&lt;_issue&gt;4&lt;/_issue&gt;&lt;_journal&gt;Clin Mol Hepatol&lt;/_journal&gt;&lt;_keywords&gt;Carcinoma, Hepatocellular; Long-term; Recurrence; Treatment&lt;/_keywords&gt;&lt;_language&gt;eng&lt;/_language&gt;&lt;_pages&gt;516-528&lt;/_pages&gt;&lt;_subject_headings&gt;Carcinoma, Hepatocellular/*pathology; *Catheter Ablation; Child, Preschool; *End Stage Liver Disease; Humans; *Liver Neoplasms/pathology; Male; Middle Aged; Neoplasm Recurrence, Local; Neoplasm Staging; Retrospective Studies; Risk Factors; Severity of Illness Index; Treatment Outcome&lt;/_subject_headings&gt;&lt;_tertiary_title&gt;Clinical and molecular hepatology&lt;/_tertiary_title&gt;&lt;_type_work&gt;Journal Article&lt;/_type_work&gt;&lt;_url&gt;http://www.ncbi.nlm.nih.gov/entrez/query.fcgi?cmd=Retrieve&amp;amp;db=pubmed&amp;amp;dopt=Abstract&amp;amp;list_uids=32911589&amp;amp;query_hl=1&lt;/_url&gt;&lt;_volume&gt;26&lt;/_volume&gt;&lt;_created&gt;66468247&lt;/_created&gt;&lt;_modified&gt;66468247&lt;/_modified&gt;&lt;_impact_factor&gt;  16.900&lt;/_impact_factor&gt;&lt;_social_category&gt;胃肠肝病学(1)&lt;/_social_category&gt;&lt;_collection_scope&gt;SCIE&lt;/_collection_scope&gt;&lt;/Details&gt;&lt;Extra&gt;&lt;DBUID&gt;{86835755-9694-411B-A931-C461F6E7F109}&lt;/DBUID&gt;&lt;/Extra&gt;&lt;/Item&gt;&lt;/References&gt;&lt;/Group&gt;&lt;/Citation&gt;_x000a_"/>
    <w:docVar w:name="NE.Ref{DC8E02C4-CBB5-4804-A169-FADCF9D126F6}" w:val=" ADDIN NE.Ref.{DC8E02C4-CBB5-4804-A169-FADCF9D126F6}&lt;Citation&gt;&lt;Group&gt;&lt;References&gt;&lt;Item&gt;&lt;ID&gt;5337&lt;/ID&gt;&lt;UID&gt;{3941154F-1FD7-47C3-A9CC-D2AAC3A1AE34}&lt;/UID&gt;&lt;Title&gt;BCLC strategy for prognosis prediction and treatment recommendation: The 2022  update&lt;/Title&gt;&lt;Template&gt;Journal Article&lt;/Template&gt;&lt;Star&gt;0&lt;/Star&gt;&lt;Tag&gt;0&lt;/Tag&gt;&lt;Author&gt;Reig, Maria; Forner, Alejandro; Rimola, Jordi; Ferrer-Fàbrega, Joana; Burrel, Marta; Garcia-Criado, Ángeles; Kelley, Robin K; Galle, Peter R; Mazzaferro, Vincenzo; Salem, Riad; Sangro, Bruno; Singal, Amit G; Vogel, Arndt; Fuster, Josep; Ayuso, Carmen; Bruix, Jordi&lt;/Author&gt;&lt;Year&gt;2022&lt;/Year&gt;&lt;Details&gt;&lt;_author_adr&gt;BCLC Group, Liver Unit, ICMDM, IDIBAPS, Hospital Clinic of Barcelona, University  of Barcelona, Barcelona, Spain; Centro de Investigación Biomédica en Red de  Enfermedades Hepáticas y Digestivas (CIBEREHD), Spain. Electronic address:  mreig1@clinic.cat.; BCLC Group, Liver Unit, ICMDM, IDIBAPS, Hospital Clinic of Barcelona, University  of Barcelona, Barcelona, Spain; Centro de Investigación Biomédica en Red de  Enfermedades Hepáticas y Digestivas (CIBEREHD), Spain.; BCLC Group, Radiology Department, CDI, Hospital Clinic of Barcelona, University  of Barcelona, Barcelona, Spain.; BCLC Group, Surgery Department, ICMDM, IDIBAPS, Hospital Clinic of Barcelona,  University of Barcelona, Barcelona, Spain.; BCLC Group, Vascular Department, CDI, Hospital Clinic of Barcelona, Barcelona  University, University of Barcelona, Barcelona, Spain.; BCLC Group, Radiology Department, CDI, Hospital Clinic of Barcelona, University  of Barcelona, Barcelona, Spain.; Helen Diller Family Comprehensive Cancer Center, University of California, San  Francisco, California, USA.; Department of Internal Medicine, Mainz University Medical Center, Mainz, Germany.; Department of Oncology, University of Milan and HPB Surgery and Liver  Transplantation, Fondazione IRCCS Istituto Nazionale Tumori, Milan, Italy.; Department of Radiology, Section of Interventional Radiology, Northwestern  University, Chicago, IL, USA.; Centro de Investigación Biomédica en Red de Enfermedades Hepáticas y Digestivas  (CIBEREHD), Spain; Liver Unit, Clinica Universidad de Navarra, Pamplona, Spain.; Department of Internal Medicine, University of Texas Southwestern Medical Center,  Dallas, Texas, USA.; Hannover Medical School, Department of Gastroenterology, Hepatology and  Endocrinology, Hannover, Germany.; Centro de Investigación Biomédica en Red de Enfermedades Hepáticas y Digestivas  (CIBEREHD), Spain; BCLC Group, Surgery Department, ICMDM, IDIBAPS, Hospital  Clinic of Barcelona, University of Barcelona, Barcelona, Spain.; Centro de Investigación Biomédica en Red de Enfermedades Hepáticas y Digestivas  (CIBEREHD), Spain; BCLC Group, Radiology Department, CDI, Hospital Clinic of  Barcelona, University of Barcelona, Barcelona, Spain.; BCLC Group, Liver Unit, ICMDM, IDIBAPS, Hospital Clinic of Barcelona, University  of Barcelona, Barcelona, Spain; Centro de Investigación Biomédica en Red de  Enfermedades Hepáticas y Digestivas (CIBEREHD), Spain. Electronic address:  jbruix@clinic.cat.&lt;/_author_adr&gt;&lt;_date_display&gt;2022&lt;/_date_display&gt;&lt;_date&gt;2022-01-01&lt;/_date&gt;&lt;_isbn&gt;1600-0641 (Electronic); 0168-8278 (Print); 0168-8278 (Linking)&lt;/_isbn&gt;&lt;_issue&gt;3&lt;/_issue&gt;&lt;_journal&gt;J Hepatol&lt;/_journal&gt;&lt;_keywords&gt;AFP; ALBI score; BCLC; HCC; TARE; ablation; liver transplantation TACE; surgery; survival; systemic treatment&lt;/_keywords&gt;&lt;_number&gt;4075&lt;/_number&gt;&lt;_pages&gt;681-693&lt;/_pages&gt;&lt;_url&gt;http://www.ncbi.nlm.nih.gov/entrez/query.fcgi?cmd=Retrieve&amp;amp;db=pubmed&amp;amp;dopt=Abstract&amp;amp;list_uids=34801630&amp;amp;query_hl=1_x000d__x000a_DO - 10.1016/j.jhep.2021.11.018&lt;/_url&gt;&lt;_volume&gt;76&lt;/_volume&gt;&lt;_created&gt;66046014&lt;/_created&gt;&lt;_modified&gt;66046014&lt;/_modified&gt;&lt;_impact_factor&gt;  26.800&lt;/_impact_factor&gt;&lt;_social_category&gt;胃肠肝病学(1)&lt;/_social_category&gt;&lt;_collection_scope&gt;SCIE&lt;/_collection_scope&gt;&lt;/Details&gt;&lt;Extra&gt;&lt;DBUID&gt;{86835755-9694-411B-A931-C461F6E7F109}&lt;/DBUID&gt;&lt;/Extra&gt;&lt;/Item&gt;&lt;/References&gt;&lt;/Group&gt;&lt;/Citation&gt;_x000a_"/>
    <w:docVar w:name="NE.Ref{E0911793-8E15-41A2-B74E-22907A3E2B5C}" w:val=" ADDIN NE.Ref.{E0911793-8E15-41A2-B74E-22907A3E2B5C}&lt;Citation&gt;&lt;Group&gt;&lt;References&gt;&lt;Item&gt;&lt;ID&gt;4067&lt;/ID&gt;&lt;UID&gt;{9F8D2C32-5DE4-4EDE-ABB1-A87DA69BC43B}&lt;/UID&gt;&lt;Title&gt;Platelet-albumin-bilirubin versus albumin–bilirubin as a predictor of long-term survival for hepatitis B-Induced hepatocellular carcinoma after hepatic resection&lt;/Title&gt;&lt;Template&gt;Journal Article&lt;/Template&gt;&lt;Star&gt;0&lt;/Star&gt;&lt;Tag&gt;0&lt;/Tag&gt;&lt;Author&gt;Yang, Haojie; Shen, Shuang; Yang, Yuting; Zhou, Houping; Xiang, Bangde&lt;/Author&gt;&lt;Year&gt;2025&lt;/Year&gt;&lt;Details&gt;&lt;_doi&gt;10.1186/s12885-025-14240-7&lt;/_doi&gt;&lt;_created&gt;65956842&lt;/_created&gt;&lt;_modified&gt;65956843&lt;/_modified&gt;&lt;_url&gt;https://bmccancer.biomedcentral.com/articles/10.1186/s12885-025-14240-7_x000d__x000a_https://link.springer.com/content/pdf/10.1186/s12885-025-14240-7.pdf&lt;/_url&gt;&lt;_journal&gt;BMC Cancer&lt;/_journal&gt;&lt;_volume&gt;25&lt;/_volume&gt;&lt;_issue&gt;1&lt;/_issue&gt;&lt;_pages&gt;855&lt;/_pages&gt;&lt;_tertiary_title&gt;BMC Cancer&lt;/_tertiary_title&gt;&lt;_date&gt;65933280&lt;/_date&gt;&lt;_isbn&gt;1471-2407&lt;/_isbn&gt;&lt;_accessed&gt;65956843&lt;/_accessed&gt;&lt;_db_updated&gt;CrossRef&lt;/_db_updated&gt;&lt;_impact_factor&gt;   3.400&lt;/_impact_factor&gt;&lt;_social_category&gt;肿瘤学(3)&lt;/_social_category&gt;&lt;_collection_scope&gt;SCIE&lt;/_collection_scope&gt;&lt;/Details&gt;&lt;Extra&gt;&lt;DBUID&gt;{58B27DCE-DEB8-4BEF-8139-AC677AF90E97}&lt;/DBUID&gt;&lt;/Extra&gt;&lt;/Item&gt;&lt;/References&gt;&lt;/Group&gt;&lt;/Citation&gt;_x000a_"/>
    <w:docVar w:name="NE.Ref{E22CC6F9-6161-4EEC-9A2B-5F8C5D3AFEB4}" w:val=" ADDIN NE.Ref.{E22CC6F9-6161-4EEC-9A2B-5F8C5D3AFEB4}&lt;Citation&gt;&lt;Group&gt;&lt;References&gt;&lt;Item&gt;&lt;ID&gt;5315&lt;/ID&gt;&lt;UID&gt;{03A38C81-339F-49DF-BA04-1735C45CFE0C}&lt;/UID&gt;&lt;Title&gt;Fibrosis-4 index, a predictor for prognosis of hepatocellular carcinoma patients after curative hepatectomy even in hepatitis B virus dominant populations&lt;/Title&gt;&lt;Template&gt;Journal Article&lt;/Template&gt;&lt;Star&gt;0&lt;/Star&gt;&lt;Tag&gt;0&lt;/Tag&gt;&lt;Author&gt;Yun, Sang Oh; Kim, Jong Man; Rhu, Jinsoo; Choi, Gyu-Seong; Joh, Jae-Won&lt;/Author&gt;&lt;Year&gt;2023&lt;/Year&gt;&lt;Details&gt;&lt;_accessed&gt;66030700&lt;/_accessed&gt;&lt;_collection_scope&gt;SCIE&lt;/_collection_scope&gt;&lt;_created&gt;66030700&lt;/_created&gt;&lt;_db_updated&gt;CrossRef&lt;/_db_updated&gt;&lt;_doi&gt;10.4174/astr.2023.104.4.195&lt;/_doi&gt;&lt;_impact_factor&gt;   1.200&lt;/_impact_factor&gt;&lt;_isbn&gt;2288-6575&lt;/_isbn&gt;&lt;_issue&gt;4&lt;/_issue&gt;&lt;_journal&gt;Annals of Surgical Treatment and Research&lt;/_journal&gt;&lt;_modified&gt;66030700&lt;/_modified&gt;&lt;_pages&gt;195&lt;/_pages&gt;&lt;_social_category&gt;外科(4)&lt;/_social_category&gt;&lt;_tertiary_title&gt;Ann Surg Treat Res&lt;/_tertiary_title&gt;&lt;_url&gt;https://astr.or.kr/DOIx.php?id=10.4174/astr.2023.104.4.195_x000d__x000a_https://astr.or.kr/DOIx.php?id=10.4174/astr.2023.104.4.195&lt;/_url&gt;&lt;_volume&gt;104&lt;/_volume&gt;&lt;/Details&gt;&lt;Extra&gt;&lt;DBUID&gt;{86835755-9694-411B-A931-C461F6E7F109}&lt;/DBUID&gt;&lt;/Extra&gt;&lt;/Item&gt;&lt;/References&gt;&lt;/Group&gt;&lt;Group&gt;&lt;References&gt;&lt;Item&gt;&lt;ID&gt;5316&lt;/ID&gt;&lt;UID&gt;{2A0D264E-9B8D-45FC-818B-A3BBCD557CD9}&lt;/UID&gt;&lt;Title&gt;The combination of the preoperative albumin-bilirubin grade and the fibrosis-4 index predicts the prognosis of patients with hepatocellular carcinoma after liver resection&lt;/Title&gt;&lt;Template&gt;Journal Article&lt;/Template&gt;&lt;Star&gt;0&lt;/Star&gt;&lt;Tag&gt;0&lt;/Tag&gt;&lt;Author&gt;Zhang, Jingyi; Luo, Yan; Li, Chuan; Liu, Jialin; Xiang, Hongjin; Wen, Tianfu&lt;/Author&gt;&lt;Year&gt;2019&lt;/Year&gt;&lt;Details&gt;&lt;_accessed&gt;66030700&lt;/_accessed&gt;&lt;_accession_num&gt;31527331&lt;/_accession_num&gt;&lt;_author_adr&gt;Department of Ultrasound, West China Hospital, Sichuan University.; Department of Medical Informatics, West China Hospital, Sichuan University.; Department of Ultrasound, West China Hospital, Sichuan University.; Department of Hepatic Surgery, West China Hospital, Sichuan University.; Department of Ultrasound, West China Hospital, Sichuan University.; Department of Ultrasound, West China Hospital, Sichuan University.; Department of Hepatic Surgery, West China Hospital, Sichuan University.&lt;/_author_adr&gt;&lt;_collection_scope&gt;SCIE&lt;/_collection_scope&gt;&lt;_created&gt;66030700&lt;/_created&gt;&lt;_date&gt;62615520&lt;/_date&gt;&lt;_date_display&gt;2019&lt;/_date_display&gt;&lt;_db_updated&gt;PubMed&lt;/_db_updated&gt;&lt;_doi&gt;10.5582/bst.2019.01212&lt;/_doi&gt;&lt;_impact_factor&gt;   5.700&lt;/_impact_factor&gt;&lt;_isbn&gt;1881-7823 (Electronic); 1881-7815 (Linking)&lt;/_isbn&gt;&lt;_issue&gt;4&lt;/_issue&gt;&lt;_journal&gt;Biosci Trends&lt;/_journal&gt;&lt;_keywords&gt;Hepatocellular carcinoma; albumin-bilirubin grade; fibrosis-4 index&lt;/_keywords&gt;&lt;_language&gt;eng&lt;/_language&gt;&lt;_modified&gt;66030700&lt;/_modified&gt;&lt;_pages&gt;351-357&lt;/_pages&gt;&lt;_social_category&gt;生物学(4)&lt;/_social_category&gt;&lt;_subject_headings&gt;Adult; Bilirubin/*blood; Carcinoma, Hepatocellular/blood/mortality/*surgery; Disease-Free Survival; Female; Fibrosis; Follow-Up Studies; Hepatectomy; Humans; Incidence; Liver/pathology/surgery; Liver Cirrhosis/*diagnosis/mortality/surgery; Liver Neoplasms/blood/*surgery; Male; Middle Aged; Neoplasm Recurrence, Local/*diagnosis/epidemiology/prevention &amp;amp; control; Predictive Value of Tests; Preoperative Period; Prognosis; Retrospective Studies; Risk Factors; Serum Albumin/*analysis; Severity of Illness Index; Survival Rate&lt;/_subject_headings&gt;&lt;_tertiary_title&gt;Bioscience trends&lt;/_tertiary_title&gt;&lt;_type_work&gt;Journal Article&lt;/_type_work&gt;&lt;_url&gt;http://www.ncbi.nlm.nih.gov/entrez/query.fcgi?cmd=Retrieve&amp;amp;db=pubmed&amp;amp;dopt=Abstract&amp;amp;list_uids=31527331&amp;amp;query_hl=1&lt;/_url&gt;&lt;_volume&gt;13&lt;/_volume&gt;&lt;/Details&gt;&lt;Extra&gt;&lt;DBUID&gt;{86835755-9694-411B-A931-C461F6E7F109}&lt;/DBUID&gt;&lt;/Extra&gt;&lt;/Item&gt;&lt;/References&gt;&lt;/Group&gt;&lt;/Citation&gt;_x000a_"/>
    <w:docVar w:name="NE.Ref{E406F433-6F52-4734-BF77-EEF7C7DB8A04}" w:val=" ADDIN NE.Ref.{E406F433-6F52-4734-BF77-EEF7C7DB8A04}&lt;Citation&gt;&lt;Group&gt;&lt;References&gt;&lt;Item&gt;&lt;ID&gt;5315&lt;/ID&gt;&lt;UID&gt;{03A38C81-339F-49DF-BA04-1735C45CFE0C}&lt;/UID&gt;&lt;Title&gt;Fibrosis-4 index, a predictor for prognosis of hepatocellular carcinoma patients after curative hepatectomy even in hepatitis B virus dominant populations&lt;/Title&gt;&lt;Template&gt;Journal Article&lt;/Template&gt;&lt;Star&gt;0&lt;/Star&gt;&lt;Tag&gt;0&lt;/Tag&gt;&lt;Author&gt;Yun, Sang Oh; Kim, Jong Man; Rhu, Jinsoo; Choi, Gyu-Seong; Joh, Jae-Won&lt;/Author&gt;&lt;Year&gt;2023&lt;/Year&gt;&lt;Details&gt;&lt;_accessed&gt;66030700&lt;/_accessed&gt;&lt;_collection_scope&gt;SCIE&lt;/_collection_scope&gt;&lt;_created&gt;66030700&lt;/_created&gt;&lt;_db_updated&gt;CrossRef&lt;/_db_updated&gt;&lt;_doi&gt;10.4174/astr.2023.104.4.195&lt;/_doi&gt;&lt;_impact_factor&gt;   1.200&lt;/_impact_factor&gt;&lt;_isbn&gt;2288-6575&lt;/_isbn&gt;&lt;_issue&gt;4&lt;/_issue&gt;&lt;_journal&gt;Annals of Surgical Treatment and Research&lt;/_journal&gt;&lt;_modified&gt;66030700&lt;/_modified&gt;&lt;_pages&gt;195&lt;/_pages&gt;&lt;_social_category&gt;外科(4)&lt;/_social_category&gt;&lt;_tertiary_title&gt;Ann Surg Treat Res&lt;/_tertiary_title&gt;&lt;_url&gt;https://astr.or.kr/DOIx.php?id=10.4174/astr.2023.104.4.195_x000d__x000a_https://astr.or.kr/DOIx.php?id=10.4174/astr.2023.104.4.195&lt;/_url&gt;&lt;_volume&gt;104&lt;/_volume&gt;&lt;/Details&gt;&lt;Extra&gt;&lt;DBUID&gt;{86835755-9694-411B-A931-C461F6E7F109}&lt;/DBUID&gt;&lt;/Extra&gt;&lt;/Item&gt;&lt;/References&gt;&lt;/Group&gt;&lt;Group&gt;&lt;References&gt;&lt;Item&gt;&lt;ID&gt;5314&lt;/ID&gt;&lt;UID&gt;{CDF5ED19-AFF7-4AE1-A6E5-E799F9F47A17}&lt;/UID&gt;&lt;Title&gt;Association Between Noninvasive Fibrosis Markers and Postoperative Mortality After Hepatectomy for Hepatocellular Carcinoma&lt;/Title&gt;&lt;Template&gt;Journal Article&lt;/Template&gt;&lt;Star&gt;0&lt;/Star&gt;&lt;Tag&gt;0&lt;/Tag&gt;&lt;Author&gt;Maegawa, Felipe B; Shehorn, Lauren; Aziz, Hassan; Kettelle, John; Jie, Tun; Riall, Taylor S&lt;/Author&gt;&lt;Year&gt;2019&lt;/Year&gt;&lt;Details&gt;&lt;_accessed&gt;66030700&lt;/_accessed&gt;&lt;_collection_scope&gt;SCIE&lt;/_collection_scope&gt;&lt;_created&gt;66030700&lt;/_created&gt;&lt;_date&gt;62612640&lt;/_date&gt;&lt;_db_updated&gt;CrossRef&lt;/_db_updated&gt;&lt;_doi&gt;10.1001/jamanetworkopen.2018.7142&lt;/_doi&gt;&lt;_impact_factor&gt;  10.500&lt;/_impact_factor&gt;&lt;_isbn&gt;2574-3805&lt;/_isbn&gt;&lt;_issue&gt;1&lt;/_issue&gt;&lt;_journal&gt;JAMA Network Open&lt;/_journal&gt;&lt;_modified&gt;66030700&lt;/_modified&gt;&lt;_pages&gt;e187142&lt;/_pages&gt;&lt;_social_category&gt;医学：内科(1)&lt;/_social_category&gt;&lt;_tertiary_title&gt;JAMA Netw Open&lt;/_tertiary_title&gt;&lt;_url&gt;http://jamanetworkopen.jamanetwork.com/article.aspx?doi=10.1001/jamanetworkopen.2018.7142_x000d__x000a_https://jamanetwork.com/journals/jamanetworkopen/fullarticle/2720918&lt;/_url&gt;&lt;_volume&gt;2&lt;/_volume&gt;&lt;/Details&gt;&lt;Extra&gt;&lt;DBUID&gt;{86835755-9694-411B-A931-C461F6E7F109}&lt;/DBUID&gt;&lt;/Extra&gt;&lt;/Item&gt;&lt;/References&gt;&lt;/Group&gt;&lt;Group&gt;&lt;References&gt;&lt;Item&gt;&lt;ID&gt;5324&lt;/ID&gt;&lt;UID&gt;{7353432F-C354-4FC4-994A-1CEB4CA6237E}&lt;/UID&gt;&lt;Title&gt;Combined use of the CLivD score and FIB-4 for prediction of liver-related  outcomes in the population&lt;/Title&gt;&lt;Template&gt;Journal Article&lt;/Template&gt;&lt;Star&gt;0&lt;/Star&gt;&lt;Tag&gt;0&lt;/Tag&gt;&lt;Author&gt;Åberg, Fredrik; Asteljoki, Juho; Männistö, Ville; Luukkonen, Panu K&lt;/Author&gt;&lt;Year&gt;2024&lt;/Year&gt;&lt;Details&gt;&lt;_author_adr&gt;Transplantation and Liver Surgery, Helsinki University Hospital and University of  Helsinki, Helsinki, Finland.; Minerva Foundation Institute for Medical Research, Helsinki, Finland.; Department of Internal Medicine, University of Helsinki, Helsinki, Finland.; Abdominal Center, Helsinki University Hospital, Helsinki, Finland.; Department of Medicine, University of Eastern Finland, Kuopio, Finland.; Department of Medicine, Kuopio University Hospital, Kuopio, Finland.; Minerva Foundation Institute for Medical Research, Helsinki, Finland.; Department of Internal Medicine, University of Helsinki, Helsinki, Finland.; Abdominal Center, Helsinki University Hospital, Helsinki, Finland.&lt;/_author_adr&gt;&lt;_date_display&gt;2024&lt;/_date_display&gt;&lt;_date&gt;2024-01-01&lt;/_date&gt;&lt;_isbn&gt;1527-3350 (Electronic); 0270-9139 (Print); 0270-9139 (Linking)&lt;/_isbn&gt;&lt;_issue&gt;1&lt;/_issue&gt;&lt;_journal&gt;Hepatology&lt;/_journal&gt;&lt;_number&gt;4040&lt;/_number&gt;&lt;_pages&gt;163-172&lt;/_pages&gt;&lt;_url&gt;http://www.ncbi.nlm.nih.gov/entrez/query.fcgi?cmd=Retrieve&amp;amp;db=pubmed&amp;amp;dopt=Abstract&amp;amp;list_uids=38112489&amp;amp;query_hl=1_x000d__x000a_DO - 10.1097/HEP.0000000000000707&lt;/_url&gt;&lt;_volume&gt;80&lt;/_volume&gt;&lt;_created&gt;66046014&lt;/_created&gt;&lt;_modified&gt;66046014&lt;/_modified&gt;&lt;_impact_factor&gt;  13.000&lt;/_impact_factor&gt;&lt;_social_category&gt;胃肠肝病学(1)&lt;/_social_category&gt;&lt;_collection_scope&gt;SCIE&lt;/_collection_scope&gt;&lt;/Details&gt;&lt;Extra&gt;&lt;DBUID&gt;{86835755-9694-411B-A931-C461F6E7F109}&lt;/DBUID&gt;&lt;/Extra&gt;&lt;/Item&gt;&lt;/References&gt;&lt;/Group&gt;&lt;/Citation&gt;_x000a_"/>
    <w:docVar w:name="NE.Ref{EC5447A8-53D1-4C9C-96F9-08C0C172168E}" w:val=" ADDIN NE.Ref.{EC5447A8-53D1-4C9C-96F9-08C0C172168E}&lt;Citation&gt;&lt;Group&gt;&lt;References&gt;&lt;Item&gt;&lt;ID&gt;5355&lt;/ID&gt;&lt;UID&gt;{DFE6F260-6A6C-44D1-B03E-8FDBFE14BE72}&lt;/UID&gt;&lt;Title&gt;Percutaneous thermal ablation for recurrent hepatocellular carcinoma after  hepatectomy&lt;/Title&gt;&lt;Template&gt;Journal Article&lt;/Template&gt;&lt;Star&gt;0&lt;/Star&gt;&lt;Tag&gt;0&lt;/Tag&gt;&lt;Author&gt;Lu, M-D; Yin, X-Y; Xie, X-Y; Xu, H-X; Xu, Z-F; Liu, G-J; Kuang, M; Zheng, Y-L&lt;/Author&gt;&lt;Year&gt;2005&lt;/Year&gt;&lt;Details&gt;&lt;_author_adr&gt;Department of Hepatobiliary Surgery, The First Affiliated Hospital, Sun Yat-Sen  University, Guangzhou 510080, China. lumd@21cn.com&lt;/_author_adr&gt;&lt;_date_display&gt;2005&lt;/_date_display&gt;&lt;_date&gt;2005-01-01&lt;/_date&gt;&lt;_isbn&gt;0007-1323 (Print); 0007-1323 (Linking)&lt;/_isbn&gt;&lt;_issue&gt;11&lt;/_issue&gt;&lt;_journal&gt;Br J Surg&lt;/_journal&gt;&lt;_number&gt;4028&lt;/_number&gt;&lt;_pages&gt;1393-8&lt;/_pages&gt;&lt;_url&gt;http://www.ncbi.nlm.nih.gov/entrez/query.fcgi?cmd=Retrieve&amp;amp;db=pubmed&amp;amp;dopt=Abstract&amp;amp;list_uids=16044409&amp;amp;query_hl=1_x000d__x000a_DO - 10.1002/bjs.5102&lt;/_url&gt;&lt;_volume&gt;92&lt;/_volume&gt;&lt;_created&gt;66046014&lt;/_created&gt;&lt;_modified&gt;66046014&lt;/_modified&gt;&lt;_impact_factor&gt;   8.700&lt;/_impact_factor&gt;&lt;_social_category&gt;外科(1)&lt;/_social_category&gt;&lt;_collection_scope&gt;SCIE&lt;/_collection_scope&gt;&lt;/Details&gt;&lt;Extra&gt;&lt;DBUID&gt;{86835755-9694-411B-A931-C461F6E7F109}&lt;/DBUID&gt;&lt;/Extra&gt;&lt;/Item&gt;&lt;/References&gt;&lt;/Group&gt;&lt;/Citation&gt;_x000a_"/>
    <w:docVar w:name="NE.Ref{EE4E9006-D1D2-46C6-BD0F-8EA22AC49F29}" w:val=" ADDIN NE.Ref.{EE4E9006-D1D2-46C6-BD0F-8EA22AC49F29}&lt;Citation&gt;&lt;Group&gt;&lt;References&gt;&lt;Item&gt;&lt;ID&gt;5331&lt;/ID&gt;&lt;UID&gt;{D18B4D9C-5DBD-4ED9-9A5A-DC75D5FAC269}&lt;/UID&gt;&lt;Title&gt;Point-of-care testing for early-stage liver cancer diagnosis and personalized  medicine: Biomarkers, current technologies and perspectives&lt;/Title&gt;&lt;Template&gt;Journal Article&lt;/Template&gt;&lt;Star&gt;0&lt;/Star&gt;&lt;Tag&gt;5&lt;/Tag&gt;&lt;Author&gt;Liu, Mengxiang; Wen, Yanrong&lt;/Author&gt;&lt;Year&gt;2024&lt;/Year&gt;&lt;Details&gt;&lt;_author_adr&gt;State Key Laboratory of Natural Medicines, China Pharmaceutical University,  Nanjing, 211198, China.; Department of Nuclear Medicine, Nanjing Drum Tower Hospital, The Affiliated  Hospital of Nanjing University Medical School, Nanjing, 210008, China.&lt;/_author_adr&gt;&lt;_collection_scope&gt;SCIE&lt;/_collection_scope&gt;&lt;_created&gt;66046014&lt;/_created&gt;&lt;_date&gt;2024-01-01&lt;/_date&gt;&lt;_date_display&gt;2024&lt;/_date_display&gt;&lt;_impact_factor&gt;   3.400&lt;/_impact_factor&gt;&lt;_isbn&gt;2405-8440 (Print); 2405-8440 (Electronic); 2405-8440 (Linking)&lt;/_isbn&gt;&lt;_issue&gt;19&lt;/_issue&gt;&lt;_journal&gt;Heliyon&lt;/_journal&gt;&lt;_keywords&gt;Biomarker; Early-stage cancer detection; Hepatocellular carcinoma diagnostics; Personalized medicine; Point-of-care testing&lt;/_keywords&gt;&lt;_modified&gt;66049775&lt;/_modified&gt;&lt;_number&gt;4083&lt;/_number&gt;&lt;_pages&gt;e38444&lt;/_pages&gt;&lt;_social_category&gt;综合性期刊(3)&lt;/_social_category&gt;&lt;_url&gt;http://www.ncbi.nlm.nih.gov/entrez/query.fcgi?cmd=Retrieve&amp;amp;db=pubmed&amp;amp;dopt=Abstract&amp;amp;list_uids=39397977&amp;amp;query_hl=1_x000d__x000a_DO - 10.1016/j.heliyon.2024.e38444&lt;/_url&gt;&lt;_volume&gt;10&lt;/_volume&gt;&lt;/Details&gt;&lt;Extra&gt;&lt;DBUID&gt;{86835755-9694-411B-A931-C461F6E7F109}&lt;/DBUID&gt;&lt;/Extra&gt;&lt;/Item&gt;&lt;/References&gt;&lt;/Group&gt;&lt;Group&gt;&lt;References&gt;&lt;Item&gt;&lt;ID&gt;5338&lt;/ID&gt;&lt;UID&gt;{5750158C-324B-4DB3-AA8D-3ACC86008A49}&lt;/UID&gt;&lt;Title&gt;Cell-free DNA methylation markers for differential diagnosis of hepatocellular  carcinoma&lt;/Title&gt;&lt;Template&gt;Journal Article&lt;/Template&gt;&lt;Star&gt;0&lt;/Star&gt;&lt;Tag&gt;0&lt;/Tag&gt;&lt;Author&gt;Luo, Biyuan; Ma, Fang; Liu, Hao; Hu, Jixiong; Rao, Le; Liu, Chun; Jiang, Yongfang; Kuangzeng, Shuyu; Lin, Xuan; Wang, Chenyang; Lei, Yiyu; Si, Zhongzhou; Chen, Guangshun; Zhou, Ning; Liang, Chengbai; Jiang, Fangqing; Liu, Fenge; Dai, Weidong; Liu, Wei; Gao, Yawen; Li, Zhihong; Li, Xi; Zhou, Guangyu; Li, Bingsi; Zhang, Zhihong; Nian, Weiqi; Luo, Lihua; Liu, Xianling&lt;/Author&gt;&lt;Year&gt;2022&lt;/Year&gt;&lt;Details&gt;&lt;_author_adr&gt;Department of Oncology, The Second XiangYa Hospital of Central South University,  139 Renmin Middle Road, Changsha, 410011, Hunan Province, China.; Department of Oncology, The Second XiangYa Hospital of Central South University,  139 Renmin Middle Road, Changsha, 410011, Hunan Province, China.; Burning Rock Biotech, Guangzhou, 510300, Guangdong, China.; Department of General Surgery, The Second XiangYa Hospital of Central South  University, 139 Renmin Middle Road, Changsha, 410011, Hunan Province, China.; Department of Oncology, The Second XiangYa Hospital of Central South University,  139 Renmin Middle Road, Changsha, 410011, Hunan Province, China.; Department of Hepatopancreatobiliary Surgery, The Second Xiangya Hospital,  Central South University, 139 Renmin Middle Road, Changsha, 410011, Hunan  Province, China.; Department of Infectious Disease, The Second Xiangya Hospital, Central South  University, 139 Renmin Middle Road, Changsha, 410011, Hunan Province, China.; Department of Oncology, 331 Hospital of Zhuzhou, Zhuzhou, 412002, Hunan Province,  China.; Burning Rock Biotech, Guangzhou, 510300, Guangdong, China.; Burning Rock Biotech, Guangzhou, 510300, Guangdong, China.; Department of Oncology, The Second XiangYa Hospital of Central South University,  139 Renmin Middle Road, Changsha, 410011, Hunan Province, China.; Center of Organ Transplantation, The Second Xiangya Hospital of Central South  University, 139 Renmin Middle Road, Changsha, 410011, Hunan Province, China.; Center of Organ Transplantation, The Second Xiangya Hospital of Central South  University, 139 Renmin Middle Road, Changsha, 410011, Hunan Province, China.; Department of Hepatobiliary Surgery, Hunan Provincial Hospital, Hunan Normal  University, No. 61 Jiafang West Road, Changsha, Hunan Province, China.; Department of Gastroenterology, The Second Xiangya Hospital of Central South  University, 139 Renmin Middle Road, Changsha, 410011, Hunan Province, China.; Department of Infectious Disease, The First Hospital of Changsha, No. 311,  Yingpan Road, Changsha, 410005, Hunan Province, China.; Department of Infectious Disease, The First Hospital of Changsha, No. 311,  Yingpan Road, Changsha, 410005, Hunan Province, China.; Department of General Surgery, The Second XiangYa Hospital of Central South  University, 139 Renmin Middle Road, Changsha, 410011, Hunan Province, China.; Department of Hepatopancreatobiliary Surgery, The Second Xiangya Hospital,  Central South University, 139 Renmin Middle Road, Changsha, 410011, Hunan  Province, China.; Department of Oncology, The Second XiangYa Hospital of Central South University,  139 Renmin Middle Road, Changsha, 410011, Hunan Province, China.; Department of Orthopedics, The Second Xiangya Hospital, Central South University,  Changsha, 410011, China.; Hunan Key Laboratory of Tumor Models and Individualized Medicine, The Second  Xiangya Hospital, Changsha, 410011, China.; Burning Rock Biotech, Guangzhou, 510300, Guangdong, China.; Burning Rock Biotech, Guangzhou, 510300, Guangdong, China.; Burning Rock Biotech, Guangzhou, 510300, Guangdong, China.; Burning Rock Biotech, Guangzhou, 510300, Guangdong, China.; Chongqing University Cancer Hospital, No.181, Hangyu Road, Shapingba District,  Chongqing, China.; Department of Oncology, Central Hospital of Enshi Autonomous Prefecture, Enshi  Clinical College of Wuhan University, Enshi, 445000, Hubei Province, People&amp;apos;s  Republic of China.; Department of Oncology, The Second XiangYa Hospital of Central South University,  139 Renmin Middle Road, Changsha, 410011, Hunan Province, China.  liuxianling@csu.edu.cn.; Hunan Key Laboratory of Tumor Models and Individualized Medicine, The Second  Xiangya Hospital, Changsha, 410011, China. liuxianling@csu.edu.cn.&lt;/_author_adr&gt;&lt;_collection_scope&gt;SCIE&lt;/_collection_scope&gt;&lt;_created&gt;66046014&lt;/_created&gt;&lt;_date&gt;2022-01-01&lt;/_date&gt;&lt;_date_display&gt;2022&lt;/_date_display&gt;&lt;_impact_factor&gt;   7.100&lt;/_impact_factor&gt;&lt;_isbn&gt;1741-7015 (Electronic); 1741-7015 (Linking)&lt;/_isbn&gt;&lt;_issue&gt;1&lt;/_issue&gt;&lt;_journal&gt;BMC Med&lt;/_journal&gt;&lt;_keywords&gt;DNA methylation; Early detection of cancer; Hepatocellular carcinoma; Liver cirrhosis; cfDNA&lt;/_keywords&gt;&lt;_modified&gt;66046014&lt;/_modified&gt;&lt;_number&gt;4084&lt;/_number&gt;&lt;_pages&gt;8&lt;/_pages&gt;&lt;_social_category&gt;医学：内科(1)&lt;/_social_category&gt;&lt;_url&gt;http://www.ncbi.nlm.nih.gov/entrez/query.fcgi?cmd=Retrieve&amp;amp;db=pubmed&amp;amp;dopt=Abstract&amp;amp;list_uids=35027051&amp;amp;query_hl=1_x000d__x000a_DO - 10.1186/s12916-021-02201-3&lt;/_url&gt;&lt;_volume&gt;20&lt;/_volume&gt;&lt;/Details&gt;&lt;Extra&gt;&lt;DBUID&gt;{86835755-9694-411B-A931-C461F6E7F109}&lt;/DBUID&gt;&lt;/Extra&gt;&lt;/Item&gt;&lt;/References&gt;&lt;/Group&gt;&lt;/Citation&gt;_x000a_"/>
    <w:docVar w:name="NE.Ref{F392DB0C-8751-445A-AA12-1557144BBEBC}" w:val=" ADDIN NE.Ref.{F392DB0C-8751-445A-AA12-1557144BBEBC}&lt;Citation&gt;&lt;Group&gt;&lt;References&gt;&lt;Item&gt;&lt;ID&gt;5337&lt;/ID&gt;&lt;UID&gt;{3941154F-1FD7-47C3-A9CC-D2AAC3A1AE34}&lt;/UID&gt;&lt;Title&gt;BCLC strategy for prognosis prediction and treatment recommendation: The 2022  update&lt;/Title&gt;&lt;Template&gt;Journal Article&lt;/Template&gt;&lt;Star&gt;0&lt;/Star&gt;&lt;Tag&gt;0&lt;/Tag&gt;&lt;Author&gt;Reig, Maria; Forner, Alejandro; Rimola, Jordi; Ferrer-Fàbrega, Joana; Burrel, Marta; Garcia-Criado, Ángeles; Kelley, Robin K; Galle, Peter R; Mazzaferro, Vincenzo; Salem, Riad; Sangro, Bruno; Singal, Amit G; Vogel, Arndt; Fuster, Josep; Ayuso, Carmen; Bruix, Jordi&lt;/Author&gt;&lt;Year&gt;2022&lt;/Year&gt;&lt;Details&gt;&lt;_author_adr&gt;BCLC Group, Liver Unit, ICMDM, IDIBAPS, Hospital Clinic of Barcelona, University  of Barcelona, Barcelona, Spain; Centro de Investigación Biomédica en Red de  Enfermedades Hepáticas y Digestivas (CIBEREHD), Spain. Electronic address:  mreig1@clinic.cat.; BCLC Group, Liver Unit, ICMDM, IDIBAPS, Hospital Clinic of Barcelona, University  of Barcelona, Barcelona, Spain; Centro de Investigación Biomédica en Red de  Enfermedades Hepáticas y Digestivas (CIBEREHD), Spain.; BCLC Group, Radiology Department, CDI, Hospital Clinic of Barcelona, University  of Barcelona, Barcelona, Spain.; BCLC Group, Surgery Department, ICMDM, IDIBAPS, Hospital Clinic of Barcelona,  University of Barcelona, Barcelona, Spain.; BCLC Group, Vascular Department, CDI, Hospital Clinic of Barcelona, Barcelona  University, University of Barcelona, Barcelona, Spain.; BCLC Group, Radiology Department, CDI, Hospital Clinic of Barcelona, University  of Barcelona, Barcelona, Spain.; Helen Diller Family Comprehensive Cancer Center, University of California, San  Francisco, California, USA.; Department of Internal Medicine, Mainz University Medical Center, Mainz, Germany.; Department of Oncology, University of Milan and HPB Surgery and Liver  Transplantation, Fondazione IRCCS Istituto Nazionale Tumori, Milan, Italy.; Department of Radiology, Section of Interventional Radiology, Northwestern  University, Chicago, IL, USA.; Centro de Investigación Biomédica en Red de Enfermedades Hepáticas y Digestivas  (CIBEREHD), Spain; Liver Unit, Clinica Universidad de Navarra, Pamplona, Spain.; Department of Internal Medicine, University of Texas Southwestern Medical Center,  Dallas, Texas, USA.; Hannover Medical School, Department of Gastroenterology, Hepatology and  Endocrinology, Hannover, Germany.; Centro de Investigación Biomédica en Red de Enfermedades Hepáticas y Digestivas  (CIBEREHD), Spain; BCLC Group, Surgery Department, ICMDM, IDIBAPS, Hospital  Clinic of Barcelona, University of Barcelona, Barcelona, Spain.; Centro de Investigación Biomédica en Red de Enfermedades Hepáticas y Digestivas  (CIBEREHD), Spain; BCLC Group, Radiology Department, CDI, Hospital Clinic of  Barcelona, University of Barcelona, Barcelona, Spain.; BCLC Group, Liver Unit, ICMDM, IDIBAPS, Hospital Clinic of Barcelona, University  of Barcelona, Barcelona, Spain; Centro de Investigación Biomédica en Red de  Enfermedades Hepáticas y Digestivas (CIBEREHD), Spain. Electronic address:  jbruix@clinic.cat.&lt;/_author_adr&gt;&lt;_date_display&gt;2022&lt;/_date_display&gt;&lt;_date&gt;2022-01-01&lt;/_date&gt;&lt;_isbn&gt;1600-0641 (Electronic); 0168-8278 (Print); 0168-8278 (Linking)&lt;/_isbn&gt;&lt;_issue&gt;3&lt;/_issue&gt;&lt;_journal&gt;J Hepatol&lt;/_journal&gt;&lt;_keywords&gt;AFP; ALBI score; BCLC; HCC; TARE; ablation; liver transplantation TACE; surgery; survival; systemic treatment&lt;/_keywords&gt;&lt;_number&gt;4075&lt;/_number&gt;&lt;_pages&gt;681-693&lt;/_pages&gt;&lt;_url&gt;http://www.ncbi.nlm.nih.gov/entrez/query.fcgi?cmd=Retrieve&amp;amp;db=pubmed&amp;amp;dopt=Abstract&amp;amp;list_uids=34801630&amp;amp;query_hl=1_x000d__x000a_DO - 10.1016/j.jhep.2021.11.018&lt;/_url&gt;&lt;_volume&gt;76&lt;/_volume&gt;&lt;_created&gt;66046014&lt;/_created&gt;&lt;_modified&gt;66046014&lt;/_modified&gt;&lt;_impact_factor&gt;  26.800&lt;/_impact_factor&gt;&lt;_social_category&gt;胃肠肝病学(1)&lt;/_social_category&gt;&lt;_collection_scope&gt;SCIE&lt;/_collection_scope&gt;&lt;/Details&gt;&lt;Extra&gt;&lt;DBUID&gt;{86835755-9694-411B-A931-C461F6E7F109}&lt;/DBUID&gt;&lt;/Extra&gt;&lt;/Item&gt;&lt;/References&gt;&lt;/Group&gt;&lt;/Citation&gt;_x000a_"/>
    <w:docVar w:name="NE.Ref{F5BB7EDE-21B7-4670-A23C-CA7F2A33ADF7}" w:val=" ADDIN NE.Ref.{F5BB7EDE-21B7-4670-A23C-CA7F2A33ADF7}&lt;Citation&gt;&lt;Group&gt;&lt;References&gt;&lt;Item&gt;&lt;ID&gt;4047&lt;/ID&gt;&lt;UID&gt;{A425B02E-9329-4AD9-8D74-CE2EA6C9A330}&lt;/UID&gt;&lt;Title&gt;Development of a simple noninvasive index to predict significant fibrosis in patients with HIV/HCV coinfection&lt;/Title&gt;&lt;Template&gt;Journal Article&lt;/Template&gt;&lt;Star&gt;0&lt;/Star&gt;&lt;Tag&gt;0&lt;/Tag&gt;&lt;Author&gt;Sterling, Richard K; Lissen, Eduardo; Clumeck, Nathan; Sola, Ricard; Correa, Mendes Cassia; Montaner, Julio; S Sulkowski, Mark; Torriani, Francesca J; Dieterich, Doug T; Thomas, David L; Messinger, Diethelm; Nelson, Mark&lt;/Author&gt;&lt;Year&gt;2006&lt;/Year&gt;&lt;Details&gt;&lt;_created&gt;65956839&lt;/_created&gt;&lt;_modified&gt;65956839&lt;/_modified&gt;&lt;_url&gt;http://www.ncbi.nlm.nih.gov/entrez/query.fcgi?cmd=Retrieve&amp;amp;db=pubmed&amp;amp;dopt=Abstract&amp;amp;list_uids=16729309&amp;amp;query_hl=1&lt;/_url&gt;&lt;_journal&gt;Hepatology&lt;/_journal&gt;&lt;_volume&gt;43&lt;/_volume&gt;&lt;_issue&gt;6&lt;/_issue&gt;&lt;_pages&gt;1317-25&lt;/_pages&gt;&lt;_tertiary_title&gt;Hepatology (Baltimore, Md.)&lt;/_tertiary_title&gt;&lt;_doi&gt;10.1002/hep.21178&lt;/_doi&gt;&lt;_date_display&gt;2006 Jun&lt;/_date_display&gt;&lt;_date&gt;55968480&lt;/_date&gt;&lt;_type_work&gt;Comparative Study; Journal Article; Research Support, N.I.H., Extramural&lt;/_type_work&gt;&lt;_isbn&gt;0270-9139 (Print); 0270-9139 (Linking)&lt;/_isbn&gt;&lt;_accession_num&gt;16729309&lt;/_accession_num&gt;&lt;_subject_headings&gt;Age Factors; Biopsy, Needle; Blood Chemical Analysis; Cohort Studies; Diagnostic Tests, Routine/*methods; Disease Progression; Female; HIV Infections/*diagnosis/epidemiology; Hepatitis C, Chronic/*diagnosis/epidemiology; Humans; Immunohistochemistry; Liver Cirrhosis/*diagnosis/epidemiology/virology; Liver Function Tests; Logistic Models; Male; Predictive Value of Tests; Probability; Prognosis; ROC Curve; Reproducibility of Results; Retrospective Studies; Risk Assessment; Sensitivity and Specificity; Severity of Illness Index; Sex Factors&lt;/_subject_headings&gt;&lt;_author_adr&gt;Section of Hepatology, Virginia Commonwealth University Health System, Richmond,  VA 23298-0341, USA. rksterli@hsc.vcu.edu&lt;/_author_adr&gt;&lt;_language&gt;eng&lt;/_language&gt;&lt;_accessed&gt;65956839&lt;/_accessed&gt;&lt;_db_updated&gt;PubMed&lt;/_db_updated&gt;&lt;_impact_factor&gt;  13.000&lt;/_impact_factor&gt;&lt;_social_category&gt;胃肠肝病学(1)&lt;/_social_category&gt;&lt;_collection_scope&gt;SCIE&lt;/_collection_scope&gt;&lt;/Details&gt;&lt;Extra&gt;&lt;DBUID&gt;{58B27DCE-DEB8-4BEF-8139-AC677AF90E97}&lt;/DBUID&gt;&lt;/Extra&gt;&lt;/Item&gt;&lt;/References&gt;&lt;/Group&gt;&lt;/Citation&gt;_x000a_"/>
    <w:docVar w:name="NE.Ref{F6EEBE1F-23C5-4411-85BB-EDC12F2C3EBC}" w:val=" ADDIN NE.Ref.{F6EEBE1F-23C5-4411-85BB-EDC12F2C3EBC}&lt;Citation&gt;&lt;Group&gt;&lt;References&gt;&lt;Item&gt;&lt;ID&gt;4036&lt;/ID&gt;&lt;UID&gt;{CA9BF80E-67C9-4493-A948-BB340F2538DD}&lt;/UID&gt;&lt;Title&gt;The Landscape Of Alpha Fetoprotein In Hepatocellular Carcinoma: Where Are We?&lt;/Title&gt;&lt;Template&gt;Journal Article&lt;/Template&gt;&lt;Star&gt;0&lt;/Star&gt;&lt;Tag&gt;0&lt;/Tag&gt;&lt;Author&gt;Hu, Xin; Chen, Ronggao; Wei, Qiang; Xu, Xiao&lt;/Author&gt;&lt;Year&gt;2022&lt;/Year&gt;&lt;Details&gt;&lt;_accession_num&gt;35002508&lt;/_accession_num&gt;&lt;_author_adr&gt;Department of Hepatobiliary and Pancreatic Surgery, The Center for Integrated  Oncology and Precision Medicine, Affiliated Hangzhou First People&amp;apos;s Hospital,  Zhejiang University School of Medicine, Hangzhou 310006, China.; Zhejiang University Cancer Center, Hangzhou, 310058, China.; Department of Hepatobiliary and Pancreatic Surgery, The First Affiliated  Hospital, Zhejiang University School of Medicine, 79 Qingchun Road, Hangzhou,  310003, China.; Department of Hepatobiliary and Pancreatic Surgery, The First Affiliated  Hospital, Zhejiang University School of Medicine, 79 Qingchun Road, Hangzhou,  310003, China.; Department of Hepatobiliary and Pancreatic Surgery, The Center for Integrated  Oncology and Precision Medicine, Affiliated Hangzhou First People&amp;apos;s Hospital,  Zhejiang University School of Medicine, Hangzhou 310006, China.; Department of Hepatobiliary and Pancreatic Surgery, The Center for Integrated  Oncology and Precision Medicine, Affiliated Hangzhou First People&amp;apos;s Hospital,  Zhejiang University School of Medicine, Hangzhou 310006, China.; Zhejiang University Cancer Center, Hangzhou, 310058, China.; Department of Hepatobiliary and Pancreatic Surgery, The First Affiliated  Hospital, Zhejiang University School of Medicine, 79 Qingchun Road, Hangzhou,  310003, China.; Institute of Organ Transplantation, Zhejiang University, Hangzhou, 310003, China.&lt;/_author_adr&gt;&lt;_date_display&gt;2022&lt;/_date_display&gt;&lt;_date&gt;2022-01-20&lt;/_date&gt;&lt;_doi&gt;10.7150/ijbs.64537&lt;/_doi&gt;&lt;_isbn&gt;1449-2288 (Electronic); 1449-2288 (Linking)&lt;/_isbn&gt;&lt;_issue&gt;2&lt;/_issue&gt;&lt;_journal&gt;Int J Biol Sci&lt;/_journal&gt;&lt;_keywords&gt;Alpha-fetoprotein; Chimeric antigen receptor (CAR) T-cell therapy; Hepatocellular carcinoma; Liver transplantation; T-cell receptor-engineered T-cell therapy&lt;/_keywords&gt;&lt;_language&gt;eng&lt;/_language&gt;&lt;_ori_publication&gt;© The author(s).&lt;/_ori_publication&gt;&lt;_pages&gt;536-551&lt;/_pages&gt;&lt;_subject_headings&gt;Biomarkers, Tumor/blood; Carcinoma, Hepatocellular/*blood/diagnosis/therapy; Humans; Immunotherapy/methods; Liver Neoplasms/*blood/diagnosis/therapy; Liver Transplantation; alpha-Fetoproteins/*metabolism&lt;/_subject_headings&gt;&lt;_tertiary_title&gt;International journal of biological sciences&lt;/_tertiary_title&gt;&lt;_type_work&gt;Journal Article; Research Support, Non-U.S. Gov&amp;apos;t; Review&lt;/_type_work&gt;&lt;_url&gt;http://www.ncbi.nlm.nih.gov/entrez/query.fcgi?cmd=Retrieve&amp;amp;db=pubmed&amp;amp;dopt=Abstract&amp;amp;list_uids=35002508&amp;amp;query_hl=1&lt;/_url&gt;&lt;_volume&gt;18&lt;/_volume&gt;&lt;_created&gt;65956836&lt;/_created&gt;&lt;_modified&gt;65956836&lt;/_modified&gt;&lt;_impact_factor&gt;   8.200&lt;/_impact_factor&gt;&lt;_social_category&gt;生化与分子生物学(2)&lt;/_social_category&gt;&lt;_collection_scope&gt;SCIE&lt;/_collection_scope&gt;&lt;/Details&gt;&lt;Extra&gt;&lt;DBUID&gt;{58B27DCE-DEB8-4BEF-8139-AC677AF90E97}&lt;/DBUID&gt;&lt;/Extra&gt;&lt;/Item&gt;&lt;/References&gt;&lt;/Group&gt;&lt;Group&gt;&lt;References&gt;&lt;Item&gt;&lt;ID&gt;4064&lt;/ID&gt;&lt;UID&gt;{DCC672DC-202C-41C9-8BC0-1DEF9286268E}&lt;/UID&gt;&lt;Title&gt;Predictive factors and prognostic models for Hepatic arterial infusion chemotherapy in Hepatocellular carcinoma: a comprehensive review&lt;/Title&gt;&lt;Template&gt;Journal Article&lt;/Template&gt;&lt;Star&gt;0&lt;/Star&gt;&lt;Tag&gt;0&lt;/Tag&gt;&lt;Author&gt;Lv, Xing; Zhang, Peng-Bo; Zhang, Er-lei; Yang, S&lt;/Author&gt;&lt;Year&gt;2025&lt;/Year&gt;&lt;Details&gt;&lt;_doi&gt;10.1186/s12957-025-03765-7&lt;/_doi&gt;&lt;_created&gt;65956842&lt;/_created&gt;&lt;_modified&gt;65956843&lt;/_modified&gt;&lt;_url&gt;https://wjso.biomedcentral.com/articles/10.1186/s12957-025-03765-7_x000d__x000a_https://link.springer.com/content/pdf/10.1186/s12957-025-03765-7.pdf&lt;/_url&gt;&lt;_journal&gt;World Journal of Surgical Oncology&lt;/_journal&gt;&lt;_volume&gt;23&lt;/_volume&gt;&lt;_issue&gt;1&lt;/_issue&gt;&lt;_pages&gt;166&lt;/_pages&gt;&lt;_tertiary_title&gt;World J Surg Onc&lt;/_tertiary_title&gt;&lt;_date&gt;65910240&lt;/_date&gt;&lt;_isbn&gt;1477-7819&lt;/_isbn&gt;&lt;_accessed&gt;65956843&lt;/_accessed&gt;&lt;_db_updated&gt;CrossRef&lt;/_db_updated&gt;&lt;_impact_factor&gt;   2.500&lt;/_impact_factor&gt;&lt;_social_category&gt;肿瘤学(3) &amp;amp; 外科(3)&lt;/_social_category&gt;&lt;_collection_scope&gt;SCIE&lt;/_collection_scope&gt;&lt;/Details&gt;&lt;Extra&gt;&lt;DBUID&gt;{58B27DCE-DEB8-4BEF-8139-AC677AF90E97}&lt;/DBUID&gt;&lt;/Extra&gt;&lt;/Item&gt;&lt;/References&gt;&lt;/Group&gt;&lt;/Citation&gt;_x000a_"/>
    <w:docVar w:name="NE.Ref{F8C11AAC-FC62-4B74-9D32-E5DE6AA80C4C}" w:val=" ADDIN NE.Ref.{F8C11AAC-FC62-4B74-9D32-E5DE6AA80C4C}&lt;Citation&gt;&lt;Group&gt;&lt;References&gt;&lt;Item&gt;&lt;ID&gt;4035&lt;/ID&gt;&lt;UID&gt;{7A52E48E-8ABF-4D5B-B8DC-1C87D08259EA}&lt;/UID&gt;&lt;Title&gt;Liver Fibrosis in Non-alcoholic Fatty Liver Disease: From Liver Biopsy to  Non-invasive Biomarkers in Diagnosis and Treatment&lt;/Title&gt;&lt;Template&gt;Journal Article&lt;/Template&gt;&lt;Star&gt;0&lt;/Star&gt;&lt;Tag&gt;0&lt;/Tag&gt;&lt;Author&gt;Heyens, Leen J M; Busschots, Dana; Koek, Ger H; Robaeys, Geert; Francque, Sven&lt;/Author&gt;&lt;Year&gt;2021&lt;/Year&gt;&lt;Details&gt;&lt;_accession_num&gt;33937277&lt;/_accession_num&gt;&lt;_author_adr&gt;Faculty of Health and Life Sciences, Hasselt University, Hasselt, Belgium.; School of Nutrition and Translational Research in Metabolism, NUTRIM, Maastricht  University, Maastricht, Netherlands.; Department of Gastro-Enterology and Hepatology, Ziekenhuis Oost-Limburg, Genk,  Belgium.; Faculty of Health and Life Sciences, Hasselt University, Hasselt, Belgium.; School of Nutrition and Translational Research in Metabolism, NUTRIM, Maastricht  University, Maastricht, Netherlands.; School of Nutrition and Translational Research in Metabolism, NUTRIM, Maastricht  University, Maastricht, Netherlands.; Division of Gastroenterology and Hepatology, Department of Internal Medicine,  Maastricht University Medical Centre, Maastricht, Netherlands.; Faculty of Health and Life Sciences, Hasselt University, Hasselt, Belgium.; Department of Gastro-Enterology and Hepatology, Ziekenhuis Oost-Limburg, Genk,  Belgium.; Department of Gastroenterology and Hepatology, University Hospital Katholieke  Universiteit (KU) Leuven, Leuven, Belgium.; Department of Gastroenterology and Hepatology, Antwerp University Hospital,  Antwerp, Belgium.; Laboratory of Experimental Medicine and Paediatrics, Faculty of Medicine and  Health Sciences, University of Antwerp, Antwerp, Belgium.&lt;/_author_adr&gt;&lt;_date_display&gt;2021&lt;/_date_display&gt;&lt;_date&gt;2021-01-20&lt;/_date&gt;&lt;_doi&gt;10.3389/fmed.2021.615978&lt;/_doi&gt;&lt;_isbn&gt;2296-858X (Print); 2296-858X (Electronic); 2296-858X (Linking)&lt;/_isbn&gt;&lt;_journal&gt;Front Med (Lausanne)&lt;/_journal&gt;&lt;_keywords&gt;NAFLD; liver biopsy; liver fibrosis; liver stiffness; non-invasive assessment&lt;/_keywords&gt;&lt;_language&gt;eng&lt;/_language&gt;&lt;_ori_publication&gt;Copyright © 2021 Heyens, Busschots, Koek, Robaeys and Francque.&lt;/_ori_publication&gt;&lt;_pages&gt;615978&lt;/_pages&gt;&lt;_tertiary_title&gt;Frontiers in medicine&lt;/_tertiary_title&gt;&lt;_type_work&gt;Journal Article; Review&lt;/_type_work&gt;&lt;_url&gt;http://www.ncbi.nlm.nih.gov/entrez/query.fcgi?cmd=Retrieve&amp;amp;db=pubmed&amp;amp;dopt=Abstract&amp;amp;list_uids=33937277&amp;amp;query_hl=1&lt;/_url&gt;&lt;_volume&gt;8&lt;/_volume&gt;&lt;_created&gt;65956836&lt;/_created&gt;&lt;_modified&gt;65956836&lt;/_modified&gt;&lt;_impact_factor&gt;   3.100&lt;/_impact_factor&gt;&lt;_social_category&gt;医学：内科(3)&lt;/_social_category&gt;&lt;_collection_scope&gt;SCIE&lt;/_collection_scope&gt;&lt;/Details&gt;&lt;Extra&gt;&lt;DBUID&gt;{58B27DCE-DEB8-4BEF-8139-AC677AF90E97}&lt;/DBUID&gt;&lt;/Extra&gt;&lt;/Item&gt;&lt;/References&gt;&lt;/Group&gt;&lt;/Citation&gt;_x000a_"/>
    <w:docVar w:name="NE.Ref{FB202463-CC1F-4B27-ACC2-F95ABBB5AA92}" w:val=" ADDIN NE.Ref.{FB202463-CC1F-4B27-ACC2-F95ABBB5AA92}&lt;Citation&gt;&lt;Group&gt;&lt;References&gt;&lt;Item&gt;&lt;ID&gt;5356&lt;/ID&gt;&lt;UID&gt;{86C957C1-65DB-4464-8572-9492E5E9DA6A}&lt;/UID&gt;&lt;Title&gt;Prognostic staging system for hepatocellular carcinoma (CLIP score): its value  and limitations, and a proposal for a new staging system, the Japan Integrated  Staging Score (JIS score)&lt;/Title&gt;&lt;Template&gt;Journal Article&lt;/Template&gt;&lt;Star&gt;0&lt;/Star&gt;&lt;Tag&gt;0&lt;/Tag&gt;&lt;Author&gt;Kudo, Masatoshi; Chung, Hobyung; Osaki, Yukio&lt;/Author&gt;&lt;Year&gt;2003&lt;/Year&gt;&lt;Details&gt;&lt;_author_adr&gt;Department of Gastroenterology and Hepatology, Kinki University School of  Medicine, 377-2 Ohno-Higashi, Osaka-Sayama 589-8511, Japan.&lt;/_author_adr&gt;&lt;_date_display&gt;2003&lt;/_date_display&gt;&lt;_date&gt;2003-01-01&lt;/_date&gt;&lt;_isbn&gt;0944-1174 (Print); 0944-1174 (Linking)&lt;/_isbn&gt;&lt;_issue&gt;3&lt;/_issue&gt;&lt;_journal&gt;J Gastroenterol&lt;/_journal&gt;&lt;_number&gt;4074&lt;/_number&gt;&lt;_pages&gt;207-15&lt;/_pages&gt;&lt;_url&gt;http://www.ncbi.nlm.nih.gov/entrez/query.fcgi?cmd=Retrieve&amp;amp;db=pubmed&amp;amp;dopt=Abstract&amp;amp;list_uids=12673442&amp;amp;query_hl=1_x000d__x000a_DO - 10.1007/s005350300038&lt;/_url&gt;&lt;_volume&gt;38&lt;/_volume&gt;&lt;_created&gt;66046014&lt;/_created&gt;&lt;_modified&gt;66046014&lt;/_modified&gt;&lt;_impact_factor&gt;   6.900&lt;/_impact_factor&gt;&lt;_social_category&gt;胃肠肝病学(2)&lt;/_social_category&gt;&lt;_collection_scope&gt;SCIE&lt;/_collection_scope&gt;&lt;/Details&gt;&lt;Extra&gt;&lt;DBUID&gt;{86835755-9694-411B-A931-C461F6E7F109}&lt;/DBUID&gt;&lt;/Extra&gt;&lt;/Item&gt;&lt;/References&gt;&lt;/Group&gt;&lt;Group&gt;&lt;References&gt;&lt;Item&gt;&lt;ID&gt;5344&lt;/ID&gt;&lt;UID&gt;{2A1A0D91-08CA-4E91-81CA-26C590F317FC}&lt;/UID&gt;&lt;Title&gt;Biomarkers in Hepatocellular Carcinoma: Diagnosis, Prognosis and Treatment  Response Assessment&lt;/Title&gt;&lt;Template&gt;Journal Article&lt;/Template&gt;&lt;Star&gt;0&lt;/Star&gt;&lt;Tag&gt;0&lt;/Tag&gt;&lt;Author&gt;Piñero, Federico; Dirchwolf, Melisa; Pessôa, Mário G&lt;/Author&gt;&lt;Year&gt;2020&lt;/Year&gt;&lt;Details&gt;&lt;_author_adr&gt;Hepatology and Liver Transplant Unit, Hospital Universitario Austral, School of  Medicine, Austral University, Buenos Aires B1629AHJ, Argentina.; Latin American Liver Research Educational and Awareness Network (LALREAN), Buenos  Aires B1629AHJ, Argentina.; Liver Unit, Hospital Privado de Rosario, Rosario 2000, Santa Fe, Argentina.; Division of Gastroenterology and Hepatology, University of São Paulo School of  Medicine, São Paulo 05403-000, Brazil.&lt;/_author_adr&gt;&lt;_date_display&gt;2020&lt;/_date_display&gt;&lt;_date&gt;2020-01-01&lt;/_date&gt;&lt;_isbn&gt;2073-4409 (Electronic); 2073-4409 (Linking)&lt;/_isbn&gt;&lt;_issue&gt;6&lt;/_issue&gt;&lt;_journal&gt;Cells&lt;/_journal&gt;&lt;_keywords&gt;biological; liver cancer; markers&lt;/_keywords&gt;&lt;_number&gt;4076&lt;/_number&gt;&lt;_url&gt;http://www.ncbi.nlm.nih.gov/entrez/query.fcgi?cmd=Retrieve&amp;amp;db=pubmed&amp;amp;dopt=Abstract&amp;amp;list_uids=32492896&amp;amp;query_hl=1_x000d__x000a_DO - 10.3390/cells9061370&lt;/_url&gt;&lt;_volume&gt;9&lt;/_volume&gt;&lt;_created&gt;66046014&lt;/_created&gt;&lt;_modified&gt;66046014&lt;/_modified&gt;&lt;_impact_factor&gt;   5.100&lt;/_impact_factor&gt;&lt;_social_category&gt;细胞生物学(3)&lt;/_social_category&gt;&lt;_collection_scope&gt;SCIE&lt;/_collection_scope&gt;&lt;/Details&gt;&lt;Extra&gt;&lt;DBUID&gt;{86835755-9694-411B-A931-C461F6E7F109}&lt;/DBUID&gt;&lt;/Extra&gt;&lt;/Item&gt;&lt;/References&gt;&lt;/Group&gt;&lt;/Citation&gt;_x000a_"/>
    <w:docVar w:name="NE.Ref{FB47BEDE-BB43-40B5-BF09-B47F35E19CC0}" w:val=" ADDIN NE.Ref.{FB47BEDE-BB43-40B5-BF09-B47F35E19CC0}&lt;Citation&gt;&lt;Group&gt;&lt;References&gt;&lt;Item&gt;&lt;ID&gt;4044&lt;/ID&gt;&lt;UID&gt;{9077A51E-9305-4560-8143-A27F3FC00B2B}&lt;/UID&gt;&lt;Title&gt;Impact of major hepatectomy on recurrence after resection of hepatocellular  carcinoma at CNLC Ib stage: a propensity score matching study&lt;/Title&gt;&lt;Template&gt;Journal Article&lt;/Template&gt;&lt;Star&gt;0&lt;/Star&gt;&lt;Tag&gt;0&lt;/Tag&gt;&lt;Author&gt;Jiang, Kunyuan; Li, Jingfei; Liu, Zihao; Chen, Miao; Cai, Wei; Liu, Lianxin; Yin, Dalong&lt;/Author&gt;&lt;Year&gt;2025&lt;/Year&gt;&lt;Details&gt;&lt;_accession_num&gt;38913430&lt;/_accession_num&gt;&lt;_author_adr&gt;Department of General Surgery, Anhui Provincial Hospital, Anhui Medical  University.; Department of General Surgery, Anhui Provincial Hospital, Anhui Medical  University.; Department of General Surgery, Anhui Provincial Hospital, Anhui Medical  University.; Department of Hepatobiliary surgery, The First Affiliated Hospital of University  of Science and Technology of China.; Department of Hepatobiliary surgery, The First Affiliated Hospital of University  of Science and Technology of China.; Department of Hepatobiliary surgery, The First Affiliated Hospital of University  of Science and Technology of China.; Department of Hepatobiliary Surgery and Centre for Leading Medicine and Advanced  Technologies of IHM, The First Affiliated HospitalDivision of Life Sciences and  Medicine, University of Science and Technology of China.; Anhui Province Key Laboratory of Hepatopancreatobiliary Surgery.; Anhui Provincial Clinical Research Center for Hepatobiliary Diseases, Hefei,  Anhui, People&amp;apos;s Republic of China.; Department of General Surgery, Anhui Provincial Hospital, Anhui Medical  University.; Department of Hepatobiliary Surgery and Centre for Leading Medicine and Advanced  Technologies of IHM, The First Affiliated HospitalDivision of Life Sciences and  Medicine, University of Science and Technology of China.&lt;/_author_adr&gt;&lt;_date_display&gt;2025 Jan 1&lt;/_date_display&gt;&lt;_date&gt;2025-01-01&lt;/_date&gt;&lt;_doi&gt;10.1097/JS9.0000000000001879&lt;/_doi&gt;&lt;_isbn&gt;1743-9159 (Electronic); 1743-9191 (Print); 1743-9159 (Linking)&lt;/_isbn&gt;&lt;_issue&gt;1&lt;/_issue&gt;&lt;_journal&gt;Int J Surg&lt;/_journal&gt;&lt;_language&gt;eng&lt;/_language&gt;&lt;_ori_publication&gt;Copyright © 2024 The Author(s). Published by Wolters Kluwer Health, Inc.&lt;/_ori_publication&gt;&lt;_pages&gt;857-864&lt;/_pages&gt;&lt;_subject_headings&gt;Humans; *Carcinoma, Hepatocellular/surgery/pathology/mortality; *Liver Neoplasms/surgery/pathology/mortality; *Hepatectomy/methods/adverse effects; Male; Female; Propensity Score; Retrospective Studies; Middle Aged; *Neoplasm Recurrence, Local/epidemiology; Neoplasm Staging; Aged; Postoperative Complications/epidemiology; China/epidemiology; Adult&lt;/_subject_headings&gt;&lt;_tertiary_title&gt;International journal of surgery (London, England)&lt;/_tertiary_title&gt;&lt;_type_work&gt;Journal Article&lt;/_type_work&gt;&lt;_url&gt;http://www.ncbi.nlm.nih.gov/entrez/query.fcgi?cmd=Retrieve&amp;amp;db=pubmed&amp;amp;dopt=Abstract&amp;amp;list_uids=38913430&amp;amp;query_hl=1&lt;/_url&gt;&lt;_volume&gt;111&lt;/_volume&gt;&lt;_created&gt;65956838&lt;/_created&gt;&lt;_modified&gt;65956838&lt;/_modified&gt;&lt;_impact_factor&gt;  12.500&lt;/_impact_factor&gt;&lt;_social_category&gt;外科(2)&lt;/_social_category&gt;&lt;_collection_scope&gt;SCIE&lt;/_collection_scope&gt;&lt;/Details&gt;&lt;Extra&gt;&lt;DBUID&gt;{58B27DCE-DEB8-4BEF-8139-AC677AF90E97}&lt;/DBUID&gt;&lt;/Extra&gt;&lt;/Item&gt;&lt;/References&gt;&lt;/Group&gt;&lt;/Citation&gt;_x000a_"/>
    <w:docVar w:name="NE.Ref{FF2EDE91-91DE-4492-8A10-B22D798F92F2}" w:val=" ADDIN NE.Ref.{FF2EDE91-91DE-4492-8A10-B22D798F92F2}&lt;Citation&gt;&lt;Group&gt;&lt;References&gt;&lt;Item&gt;&lt;ID&gt;5360&lt;/ID&gt;&lt;UID&gt;{41D5F862-E2DA-4362-9EC4-272594DC6793}&lt;/UID&gt;&lt;Title&gt;Prognostic Significance of Hemoglobin, Albumin, Lymphocyte and Platelet (HALP)  Score in Hepatocellular Carcinoma&lt;/Title&gt;&lt;Template&gt;Journal Article&lt;/Template&gt;&lt;Star&gt;0&lt;/Star&gt;&lt;Tag&gt;0&lt;/Tag&gt;&lt;Author&gt;Zhou, Jing; Yang, Daofeng&lt;/Author&gt;&lt;Year&gt;2023&lt;/Year&gt;&lt;Details&gt;&lt;_accession_num&gt;37288141&lt;/_accession_num&gt;&lt;_author_adr&gt;Department of Infectious Diseases, Tongji Hospital, Tongji Medical College,  Huazhong University of Science and Technology, Wuhan, People&amp;apos;s Republic of China.; Department of Infectious Diseases, Tongji Hospital, Tongji Medical College,  Huazhong University of Science and Technology, Wuhan, People&amp;apos;s Republic of China.&lt;/_author_adr&gt;&lt;_date_display&gt;2023&lt;/_date_display&gt;&lt;_date&gt;2023-01-20&lt;/_date&gt;&lt;_doi&gt;10.2147/JHC.S411521&lt;/_doi&gt;&lt;_isbn&gt;2253-5969 (Print); 2253-5969 (Electronic); 2253-5969 (Linking)&lt;/_isbn&gt;&lt;_journal&gt;J Hepatocell Carcinoma&lt;/_journal&gt;&lt;_keywords&gt;HALP score; hepatocellular carcinoma; prognostic marker; surgical resection; survival&lt;/_keywords&gt;&lt;_language&gt;eng&lt;/_language&gt;&lt;_ori_publication&gt;© 2023 Zhou and Yang.&lt;/_ori_publication&gt;&lt;_pages&gt;821-831&lt;/_pages&gt;&lt;_tertiary_title&gt;Journal of hepatocellular carcinoma&lt;/_tertiary_title&gt;&lt;_type_work&gt;Journal Article&lt;/_type_work&gt;&lt;_url&gt;http://www.ncbi.nlm.nih.gov/entrez/query.fcgi?cmd=Retrieve&amp;amp;db=pubmed&amp;amp;dopt=Abstract&amp;amp;list_uids=37288141&amp;amp;query_hl=1&lt;/_url&gt;&lt;_volume&gt;10&lt;/_volume&gt;&lt;_created&gt;66049682&lt;/_created&gt;&lt;_modified&gt;66049682&lt;/_modified&gt;&lt;_impact_factor&gt;   4.200&lt;/_impact_factor&gt;&lt;_social_category&gt;肿瘤学(3)&lt;/_social_category&gt;&lt;_collection_scope&gt;SCIE&lt;/_collection_scope&gt;&lt;/Details&gt;&lt;Extra&gt;&lt;DBUID&gt;{86835755-9694-411B-A931-C461F6E7F109}&lt;/DBUID&gt;&lt;/Extra&gt;&lt;/Item&gt;&lt;/References&gt;&lt;/Group&gt;&lt;Group&gt;&lt;References&gt;&lt;Item&gt;&lt;ID&gt;5315&lt;/ID&gt;&lt;UID&gt;{03A38C81-339F-49DF-BA04-1735C45CFE0C}&lt;/UID&gt;&lt;Title&gt;Fibrosis-4 index, a predictor for prognosis of hepatocellular carcinoma patients after curative hepatectomy even in hepatitis B virus dominant populations&lt;/Title&gt;&lt;Template&gt;Journal Article&lt;/Template&gt;&lt;Star&gt;0&lt;/Star&gt;&lt;Tag&gt;0&lt;/Tag&gt;&lt;Author&gt;Yun, Sang Oh; Kim, Jong Man; Rhu, Jinsoo; Choi, Gyu-Seong; Joh, Jae-Won&lt;/Author&gt;&lt;Year&gt;2023&lt;/Year&gt;&lt;Details&gt;&lt;_accessed&gt;66030700&lt;/_accessed&gt;&lt;_collection_scope&gt;SCIE&lt;/_collection_scope&gt;&lt;_created&gt;66030700&lt;/_created&gt;&lt;_db_updated&gt;CrossRef&lt;/_db_updated&gt;&lt;_doi&gt;10.4174/astr.2023.104.4.195&lt;/_doi&gt;&lt;_impact_factor&gt;   1.200&lt;/_impact_factor&gt;&lt;_isbn&gt;2288-6575&lt;/_isbn&gt;&lt;_issue&gt;4&lt;/_issue&gt;&lt;_journal&gt;Annals of Surgical Treatment and Research&lt;/_journal&gt;&lt;_modified&gt;66030700&lt;/_modified&gt;&lt;_pages&gt;195&lt;/_pages&gt;&lt;_social_category&gt;外科(4)&lt;/_social_category&gt;&lt;_tertiary_title&gt;Ann Surg Treat Res&lt;/_tertiary_title&gt;&lt;_url&gt;https://astr.or.kr/DOIx.php?id=10.4174/astr.2023.104.4.195_x000d__x000a_https://astr.or.kr/DOIx.php?id=10.4174/astr.2023.104.4.195&lt;/_url&gt;&lt;_volume&gt;104&lt;/_volume&gt;&lt;/Details&gt;&lt;Extra&gt;&lt;DBUID&gt;{86835755-9694-411B-A931-C461F6E7F109}&lt;/DBUID&gt;&lt;/Extra&gt;&lt;/Item&gt;&lt;/References&gt;&lt;/Group&gt;&lt;/Citation&gt;_x000a_"/>
    <w:docVar w:name="ne_docsoft" w:val="MSWord"/>
    <w:docVar w:name="ne_docversion" w:val="NoteExpress 2.0"/>
    <w:docVar w:name="ne_stylename" w:val="BMC Cancer"/>
  </w:docVars>
  <w:rsids>
    <w:rsidRoot w:val="00172A27"/>
    <w:rsid w:val="00001A32"/>
    <w:rsid w:val="00046CA0"/>
    <w:rsid w:val="000C454E"/>
    <w:rsid w:val="0011760F"/>
    <w:rsid w:val="00123E47"/>
    <w:rsid w:val="0018274C"/>
    <w:rsid w:val="001A2968"/>
    <w:rsid w:val="001C66E0"/>
    <w:rsid w:val="001F7F7E"/>
    <w:rsid w:val="0031380D"/>
    <w:rsid w:val="00327CB1"/>
    <w:rsid w:val="00333A2A"/>
    <w:rsid w:val="003532FE"/>
    <w:rsid w:val="003752C8"/>
    <w:rsid w:val="003E611B"/>
    <w:rsid w:val="003F23CE"/>
    <w:rsid w:val="00444105"/>
    <w:rsid w:val="004B48CF"/>
    <w:rsid w:val="004E2611"/>
    <w:rsid w:val="00522102"/>
    <w:rsid w:val="005B4D55"/>
    <w:rsid w:val="005F037B"/>
    <w:rsid w:val="00643BE3"/>
    <w:rsid w:val="006911F9"/>
    <w:rsid w:val="006E4A62"/>
    <w:rsid w:val="007C2CDB"/>
    <w:rsid w:val="008878D1"/>
    <w:rsid w:val="009269A2"/>
    <w:rsid w:val="00950240"/>
    <w:rsid w:val="00975D66"/>
    <w:rsid w:val="0098388D"/>
    <w:rsid w:val="00991ADF"/>
    <w:rsid w:val="009A0ED2"/>
    <w:rsid w:val="009E70F5"/>
    <w:rsid w:val="00A10993"/>
    <w:rsid w:val="00A3295D"/>
    <w:rsid w:val="00A42231"/>
    <w:rsid w:val="00A65FA9"/>
    <w:rsid w:val="00A81D22"/>
    <w:rsid w:val="00A83AD0"/>
    <w:rsid w:val="00AD10E6"/>
    <w:rsid w:val="00AD558A"/>
    <w:rsid w:val="00B32D7E"/>
    <w:rsid w:val="00BC3A1F"/>
    <w:rsid w:val="00C14B91"/>
    <w:rsid w:val="00C50B26"/>
    <w:rsid w:val="00CA613C"/>
    <w:rsid w:val="00CB1EB4"/>
    <w:rsid w:val="00D01278"/>
    <w:rsid w:val="00D64AE1"/>
    <w:rsid w:val="00E04AC3"/>
    <w:rsid w:val="00E20FDB"/>
    <w:rsid w:val="00ED1E2A"/>
    <w:rsid w:val="00F431B9"/>
    <w:rsid w:val="00F705B3"/>
    <w:rsid w:val="00F74A57"/>
    <w:rsid w:val="00F76805"/>
    <w:rsid w:val="00FB5937"/>
    <w:rsid w:val="00FE5DE6"/>
    <w:rsid w:val="01050F22"/>
    <w:rsid w:val="010A0C5A"/>
    <w:rsid w:val="01154EDD"/>
    <w:rsid w:val="011C44BE"/>
    <w:rsid w:val="011E3D92"/>
    <w:rsid w:val="01260E98"/>
    <w:rsid w:val="012F5F9F"/>
    <w:rsid w:val="01325A8F"/>
    <w:rsid w:val="013374EE"/>
    <w:rsid w:val="0147778C"/>
    <w:rsid w:val="014C2C3C"/>
    <w:rsid w:val="014E1610"/>
    <w:rsid w:val="014F4893"/>
    <w:rsid w:val="01505F15"/>
    <w:rsid w:val="01514167"/>
    <w:rsid w:val="01516D31"/>
    <w:rsid w:val="01541EA9"/>
    <w:rsid w:val="01545A05"/>
    <w:rsid w:val="01576085"/>
    <w:rsid w:val="016347D7"/>
    <w:rsid w:val="01657C13"/>
    <w:rsid w:val="016814B1"/>
    <w:rsid w:val="01691BDB"/>
    <w:rsid w:val="016F430C"/>
    <w:rsid w:val="01763BCE"/>
    <w:rsid w:val="017C5480"/>
    <w:rsid w:val="01804A4C"/>
    <w:rsid w:val="018207C5"/>
    <w:rsid w:val="01826A17"/>
    <w:rsid w:val="01830099"/>
    <w:rsid w:val="018A1427"/>
    <w:rsid w:val="018C519F"/>
    <w:rsid w:val="018F6A3E"/>
    <w:rsid w:val="01967DCC"/>
    <w:rsid w:val="019B3634"/>
    <w:rsid w:val="01A73D87"/>
    <w:rsid w:val="01A7647D"/>
    <w:rsid w:val="01A85D51"/>
    <w:rsid w:val="01B464A4"/>
    <w:rsid w:val="01B6046E"/>
    <w:rsid w:val="01BC3DA3"/>
    <w:rsid w:val="01BD7A4F"/>
    <w:rsid w:val="01BF37C7"/>
    <w:rsid w:val="01C20BC1"/>
    <w:rsid w:val="01C40DDD"/>
    <w:rsid w:val="01C761D7"/>
    <w:rsid w:val="01C81F50"/>
    <w:rsid w:val="01C901A1"/>
    <w:rsid w:val="01C95A50"/>
    <w:rsid w:val="01CA216C"/>
    <w:rsid w:val="01CA5CC8"/>
    <w:rsid w:val="01CD2B81"/>
    <w:rsid w:val="01CD7566"/>
    <w:rsid w:val="01CE57B8"/>
    <w:rsid w:val="01D46B46"/>
    <w:rsid w:val="01D628BE"/>
    <w:rsid w:val="01D86637"/>
    <w:rsid w:val="01E0373D"/>
    <w:rsid w:val="01E07299"/>
    <w:rsid w:val="01F01BD2"/>
    <w:rsid w:val="01F114A6"/>
    <w:rsid w:val="01F9035B"/>
    <w:rsid w:val="01FF3BC3"/>
    <w:rsid w:val="0204567E"/>
    <w:rsid w:val="020531A4"/>
    <w:rsid w:val="02054F52"/>
    <w:rsid w:val="02145195"/>
    <w:rsid w:val="02201D8C"/>
    <w:rsid w:val="0224187C"/>
    <w:rsid w:val="02274EC8"/>
    <w:rsid w:val="02301FCF"/>
    <w:rsid w:val="02331ABF"/>
    <w:rsid w:val="02337D11"/>
    <w:rsid w:val="023575E5"/>
    <w:rsid w:val="023A2E4D"/>
    <w:rsid w:val="023E0FE9"/>
    <w:rsid w:val="023F66B6"/>
    <w:rsid w:val="024617F2"/>
    <w:rsid w:val="024B505A"/>
    <w:rsid w:val="025C7268"/>
    <w:rsid w:val="025F0B06"/>
    <w:rsid w:val="026929FF"/>
    <w:rsid w:val="02702D13"/>
    <w:rsid w:val="02720839"/>
    <w:rsid w:val="02775E4F"/>
    <w:rsid w:val="02777BFD"/>
    <w:rsid w:val="02785724"/>
    <w:rsid w:val="027A5940"/>
    <w:rsid w:val="0281396C"/>
    <w:rsid w:val="028642E4"/>
    <w:rsid w:val="028D7421"/>
    <w:rsid w:val="02906F11"/>
    <w:rsid w:val="029C58B6"/>
    <w:rsid w:val="02A1111E"/>
    <w:rsid w:val="02A36C44"/>
    <w:rsid w:val="02B23EDB"/>
    <w:rsid w:val="02BA3F8E"/>
    <w:rsid w:val="02BA5D3C"/>
    <w:rsid w:val="02BD0CBE"/>
    <w:rsid w:val="02C1356F"/>
    <w:rsid w:val="02C60B85"/>
    <w:rsid w:val="02CF7A3A"/>
    <w:rsid w:val="02D05560"/>
    <w:rsid w:val="02D36DFE"/>
    <w:rsid w:val="02D92666"/>
    <w:rsid w:val="02DC2156"/>
    <w:rsid w:val="02DC5CB3"/>
    <w:rsid w:val="02E132C9"/>
    <w:rsid w:val="02E1392C"/>
    <w:rsid w:val="02E828A9"/>
    <w:rsid w:val="02E84657"/>
    <w:rsid w:val="02E903CF"/>
    <w:rsid w:val="02EB4148"/>
    <w:rsid w:val="02ED4364"/>
    <w:rsid w:val="02F079B0"/>
    <w:rsid w:val="02F254D6"/>
    <w:rsid w:val="02F456F2"/>
    <w:rsid w:val="02F474A0"/>
    <w:rsid w:val="02F54FC6"/>
    <w:rsid w:val="02F94AB6"/>
    <w:rsid w:val="02FC0103"/>
    <w:rsid w:val="02FC6355"/>
    <w:rsid w:val="02FE031F"/>
    <w:rsid w:val="03084CFA"/>
    <w:rsid w:val="03086AA8"/>
    <w:rsid w:val="030C3324"/>
    <w:rsid w:val="030F6088"/>
    <w:rsid w:val="03123DCA"/>
    <w:rsid w:val="031C07A5"/>
    <w:rsid w:val="03215DBB"/>
    <w:rsid w:val="03253AFD"/>
    <w:rsid w:val="032633D2"/>
    <w:rsid w:val="03280EF8"/>
    <w:rsid w:val="032A1114"/>
    <w:rsid w:val="032B09E8"/>
    <w:rsid w:val="032F2286"/>
    <w:rsid w:val="03366612"/>
    <w:rsid w:val="03393105"/>
    <w:rsid w:val="033A0C2B"/>
    <w:rsid w:val="03411FB9"/>
    <w:rsid w:val="03435D32"/>
    <w:rsid w:val="03465822"/>
    <w:rsid w:val="034D6BB0"/>
    <w:rsid w:val="034F0B7A"/>
    <w:rsid w:val="0350044F"/>
    <w:rsid w:val="03546191"/>
    <w:rsid w:val="03563CB7"/>
    <w:rsid w:val="03600692"/>
    <w:rsid w:val="036208AE"/>
    <w:rsid w:val="03634626"/>
    <w:rsid w:val="03646924"/>
    <w:rsid w:val="0365214C"/>
    <w:rsid w:val="03655CA8"/>
    <w:rsid w:val="03675EC4"/>
    <w:rsid w:val="03681C3C"/>
    <w:rsid w:val="036A7762"/>
    <w:rsid w:val="036B7036"/>
    <w:rsid w:val="036C262D"/>
    <w:rsid w:val="036F0FD9"/>
    <w:rsid w:val="037053E2"/>
    <w:rsid w:val="03710AF1"/>
    <w:rsid w:val="0371289F"/>
    <w:rsid w:val="037D56E7"/>
    <w:rsid w:val="037E4FBC"/>
    <w:rsid w:val="03802AE2"/>
    <w:rsid w:val="03885E3A"/>
    <w:rsid w:val="038B1487"/>
    <w:rsid w:val="038F71C9"/>
    <w:rsid w:val="03972DDE"/>
    <w:rsid w:val="039B791C"/>
    <w:rsid w:val="039C3694"/>
    <w:rsid w:val="039D7B38"/>
    <w:rsid w:val="039E11BA"/>
    <w:rsid w:val="039E740C"/>
    <w:rsid w:val="03A013D6"/>
    <w:rsid w:val="03A03184"/>
    <w:rsid w:val="03A10CAA"/>
    <w:rsid w:val="03A72764"/>
    <w:rsid w:val="03AC1B29"/>
    <w:rsid w:val="03AC38D7"/>
    <w:rsid w:val="03AF1619"/>
    <w:rsid w:val="03AF786B"/>
    <w:rsid w:val="03B1713F"/>
    <w:rsid w:val="03B60BF9"/>
    <w:rsid w:val="03B86720"/>
    <w:rsid w:val="03BC7892"/>
    <w:rsid w:val="03BE360A"/>
    <w:rsid w:val="03C30C20"/>
    <w:rsid w:val="03C350C4"/>
    <w:rsid w:val="03C41DFB"/>
    <w:rsid w:val="03C54999"/>
    <w:rsid w:val="03C76963"/>
    <w:rsid w:val="03C9092D"/>
    <w:rsid w:val="03CC21CB"/>
    <w:rsid w:val="03D177E1"/>
    <w:rsid w:val="03DD29A1"/>
    <w:rsid w:val="03E47515"/>
    <w:rsid w:val="03E56DE9"/>
    <w:rsid w:val="03E77005"/>
    <w:rsid w:val="03EE0393"/>
    <w:rsid w:val="03EE1902"/>
    <w:rsid w:val="03EE2141"/>
    <w:rsid w:val="03F32506"/>
    <w:rsid w:val="040000C7"/>
    <w:rsid w:val="04001E75"/>
    <w:rsid w:val="04074FB1"/>
    <w:rsid w:val="04082AD7"/>
    <w:rsid w:val="0409052E"/>
    <w:rsid w:val="040E4592"/>
    <w:rsid w:val="04155920"/>
    <w:rsid w:val="041A1188"/>
    <w:rsid w:val="04207E21"/>
    <w:rsid w:val="0422003D"/>
    <w:rsid w:val="042C2C6A"/>
    <w:rsid w:val="0430275A"/>
    <w:rsid w:val="0431202E"/>
    <w:rsid w:val="04335DA6"/>
    <w:rsid w:val="043615A3"/>
    <w:rsid w:val="043833BC"/>
    <w:rsid w:val="04387860"/>
    <w:rsid w:val="044004C3"/>
    <w:rsid w:val="0442423B"/>
    <w:rsid w:val="04426F40"/>
    <w:rsid w:val="0442722F"/>
    <w:rsid w:val="044C6E68"/>
    <w:rsid w:val="04504BAA"/>
    <w:rsid w:val="04567CE7"/>
    <w:rsid w:val="04581CB1"/>
    <w:rsid w:val="0458580D"/>
    <w:rsid w:val="045B70AB"/>
    <w:rsid w:val="045F303F"/>
    <w:rsid w:val="046250D8"/>
    <w:rsid w:val="046917C8"/>
    <w:rsid w:val="04695C6C"/>
    <w:rsid w:val="046B3792"/>
    <w:rsid w:val="046E3282"/>
    <w:rsid w:val="046E7E75"/>
    <w:rsid w:val="047B3A64"/>
    <w:rsid w:val="047D34C5"/>
    <w:rsid w:val="04812FB5"/>
    <w:rsid w:val="04983E5B"/>
    <w:rsid w:val="049A7BD3"/>
    <w:rsid w:val="04A22F2C"/>
    <w:rsid w:val="04A2573B"/>
    <w:rsid w:val="04A40A52"/>
    <w:rsid w:val="04A86794"/>
    <w:rsid w:val="04B0389B"/>
    <w:rsid w:val="04B05649"/>
    <w:rsid w:val="04B2316F"/>
    <w:rsid w:val="04B35139"/>
    <w:rsid w:val="04B50EB1"/>
    <w:rsid w:val="04B769D7"/>
    <w:rsid w:val="04B862AB"/>
    <w:rsid w:val="04BE74A3"/>
    <w:rsid w:val="04C42EA2"/>
    <w:rsid w:val="04CB5FDF"/>
    <w:rsid w:val="04CC1D57"/>
    <w:rsid w:val="04CE1F73"/>
    <w:rsid w:val="04CE3D21"/>
    <w:rsid w:val="04D01847"/>
    <w:rsid w:val="04D31337"/>
    <w:rsid w:val="04D53301"/>
    <w:rsid w:val="04D70E27"/>
    <w:rsid w:val="04D94B9F"/>
    <w:rsid w:val="04DE21B6"/>
    <w:rsid w:val="04E13A54"/>
    <w:rsid w:val="04EB48D3"/>
    <w:rsid w:val="04F512AE"/>
    <w:rsid w:val="04F73278"/>
    <w:rsid w:val="04F80D9E"/>
    <w:rsid w:val="05015EA4"/>
    <w:rsid w:val="0506170D"/>
    <w:rsid w:val="050634BB"/>
    <w:rsid w:val="050E236F"/>
    <w:rsid w:val="05184F9C"/>
    <w:rsid w:val="051A51B8"/>
    <w:rsid w:val="051A6F66"/>
    <w:rsid w:val="052027CE"/>
    <w:rsid w:val="052120A3"/>
    <w:rsid w:val="0523406D"/>
    <w:rsid w:val="05241B93"/>
    <w:rsid w:val="05283431"/>
    <w:rsid w:val="053A4F12"/>
    <w:rsid w:val="053F69CD"/>
    <w:rsid w:val="05452235"/>
    <w:rsid w:val="05465FAD"/>
    <w:rsid w:val="054A784B"/>
    <w:rsid w:val="054D10EA"/>
    <w:rsid w:val="054E09BE"/>
    <w:rsid w:val="05500BDA"/>
    <w:rsid w:val="0551139F"/>
    <w:rsid w:val="055C132D"/>
    <w:rsid w:val="055C757F"/>
    <w:rsid w:val="05600E1D"/>
    <w:rsid w:val="056D52E8"/>
    <w:rsid w:val="056F2E0E"/>
    <w:rsid w:val="0571302A"/>
    <w:rsid w:val="057448C8"/>
    <w:rsid w:val="057523EE"/>
    <w:rsid w:val="05760640"/>
    <w:rsid w:val="05793C8D"/>
    <w:rsid w:val="057A17B3"/>
    <w:rsid w:val="057B2ECA"/>
    <w:rsid w:val="057C19CF"/>
    <w:rsid w:val="058014BF"/>
    <w:rsid w:val="0580326D"/>
    <w:rsid w:val="05810D93"/>
    <w:rsid w:val="05816FE5"/>
    <w:rsid w:val="05850883"/>
    <w:rsid w:val="058B39C0"/>
    <w:rsid w:val="059960DD"/>
    <w:rsid w:val="059E36F3"/>
    <w:rsid w:val="05A01219"/>
    <w:rsid w:val="05A607FA"/>
    <w:rsid w:val="05AB7BBE"/>
    <w:rsid w:val="05AF3B52"/>
    <w:rsid w:val="05B253F0"/>
    <w:rsid w:val="05B41169"/>
    <w:rsid w:val="05B64EE1"/>
    <w:rsid w:val="05B725DB"/>
    <w:rsid w:val="05BE1FE7"/>
    <w:rsid w:val="05C07B0D"/>
    <w:rsid w:val="05C173E2"/>
    <w:rsid w:val="05C375FE"/>
    <w:rsid w:val="05C608BC"/>
    <w:rsid w:val="05CA098C"/>
    <w:rsid w:val="05CF7D50"/>
    <w:rsid w:val="05D15877"/>
    <w:rsid w:val="05D830A9"/>
    <w:rsid w:val="05DB66F5"/>
    <w:rsid w:val="05DD2267"/>
    <w:rsid w:val="05DE1D42"/>
    <w:rsid w:val="05E01F5E"/>
    <w:rsid w:val="05E03D0C"/>
    <w:rsid w:val="05E82BC0"/>
    <w:rsid w:val="05EA4B8A"/>
    <w:rsid w:val="05EC26B0"/>
    <w:rsid w:val="05EE467B"/>
    <w:rsid w:val="05F11A75"/>
    <w:rsid w:val="05F652DD"/>
    <w:rsid w:val="05FB28F4"/>
    <w:rsid w:val="05FD2B10"/>
    <w:rsid w:val="060317A8"/>
    <w:rsid w:val="0607573C"/>
    <w:rsid w:val="060869A0"/>
    <w:rsid w:val="060F639F"/>
    <w:rsid w:val="06113EC5"/>
    <w:rsid w:val="06141C07"/>
    <w:rsid w:val="061A5470"/>
    <w:rsid w:val="061D0ABC"/>
    <w:rsid w:val="062017F6"/>
    <w:rsid w:val="062067FE"/>
    <w:rsid w:val="06222576"/>
    <w:rsid w:val="062736E9"/>
    <w:rsid w:val="062F259D"/>
    <w:rsid w:val="063127B9"/>
    <w:rsid w:val="06345E06"/>
    <w:rsid w:val="063876A4"/>
    <w:rsid w:val="063B3638"/>
    <w:rsid w:val="063D4CBA"/>
    <w:rsid w:val="06420522"/>
    <w:rsid w:val="064249C6"/>
    <w:rsid w:val="0648365F"/>
    <w:rsid w:val="06497B03"/>
    <w:rsid w:val="064C13A1"/>
    <w:rsid w:val="06563FCE"/>
    <w:rsid w:val="065C4EFE"/>
    <w:rsid w:val="06620BC5"/>
    <w:rsid w:val="06631006"/>
    <w:rsid w:val="06652463"/>
    <w:rsid w:val="066A7A79"/>
    <w:rsid w:val="06732DD2"/>
    <w:rsid w:val="06755921"/>
    <w:rsid w:val="067A4160"/>
    <w:rsid w:val="067B1C86"/>
    <w:rsid w:val="06824DC3"/>
    <w:rsid w:val="06874187"/>
    <w:rsid w:val="0687687D"/>
    <w:rsid w:val="068943A3"/>
    <w:rsid w:val="06897EFF"/>
    <w:rsid w:val="068C3E93"/>
    <w:rsid w:val="068E314F"/>
    <w:rsid w:val="068E5516"/>
    <w:rsid w:val="06905732"/>
    <w:rsid w:val="06930A77"/>
    <w:rsid w:val="06976AC0"/>
    <w:rsid w:val="0699041E"/>
    <w:rsid w:val="069B5E85"/>
    <w:rsid w:val="069D39AB"/>
    <w:rsid w:val="069D7E4F"/>
    <w:rsid w:val="06A12170"/>
    <w:rsid w:val="06A411DD"/>
    <w:rsid w:val="06A42F8B"/>
    <w:rsid w:val="06A72A7B"/>
    <w:rsid w:val="06AC0092"/>
    <w:rsid w:val="06AE5BB8"/>
    <w:rsid w:val="06B55198"/>
    <w:rsid w:val="06BA27AF"/>
    <w:rsid w:val="06BF7DC5"/>
    <w:rsid w:val="06C208CE"/>
    <w:rsid w:val="06C21663"/>
    <w:rsid w:val="06CA68F3"/>
    <w:rsid w:val="06E6438F"/>
    <w:rsid w:val="06E8731C"/>
    <w:rsid w:val="06EC048E"/>
    <w:rsid w:val="06EE4206"/>
    <w:rsid w:val="06F15AA5"/>
    <w:rsid w:val="06F449E8"/>
    <w:rsid w:val="06F537E7"/>
    <w:rsid w:val="06F832D7"/>
    <w:rsid w:val="0702516C"/>
    <w:rsid w:val="0708176C"/>
    <w:rsid w:val="070B4DB8"/>
    <w:rsid w:val="070E2AFA"/>
    <w:rsid w:val="07100621"/>
    <w:rsid w:val="071A4FFB"/>
    <w:rsid w:val="07267138"/>
    <w:rsid w:val="07273448"/>
    <w:rsid w:val="072F4F4B"/>
    <w:rsid w:val="073065CD"/>
    <w:rsid w:val="07322345"/>
    <w:rsid w:val="07342561"/>
    <w:rsid w:val="0737795B"/>
    <w:rsid w:val="07391925"/>
    <w:rsid w:val="074B1659"/>
    <w:rsid w:val="074B3407"/>
    <w:rsid w:val="07504EC1"/>
    <w:rsid w:val="0753517A"/>
    <w:rsid w:val="07550729"/>
    <w:rsid w:val="075C1AB8"/>
    <w:rsid w:val="075C5614"/>
    <w:rsid w:val="075E138C"/>
    <w:rsid w:val="0768220B"/>
    <w:rsid w:val="07723089"/>
    <w:rsid w:val="07762B7A"/>
    <w:rsid w:val="077E558A"/>
    <w:rsid w:val="078828AD"/>
    <w:rsid w:val="07911761"/>
    <w:rsid w:val="07972AF0"/>
    <w:rsid w:val="079C0106"/>
    <w:rsid w:val="079E06FB"/>
    <w:rsid w:val="079F3753"/>
    <w:rsid w:val="07A1571D"/>
    <w:rsid w:val="07A31495"/>
    <w:rsid w:val="07A5520D"/>
    <w:rsid w:val="07A70F85"/>
    <w:rsid w:val="07A9580E"/>
    <w:rsid w:val="07B05960"/>
    <w:rsid w:val="07B216D8"/>
    <w:rsid w:val="07BB058C"/>
    <w:rsid w:val="07BE5FBE"/>
    <w:rsid w:val="07C136C9"/>
    <w:rsid w:val="07CB4548"/>
    <w:rsid w:val="07D63618"/>
    <w:rsid w:val="07D7113E"/>
    <w:rsid w:val="07DB0132"/>
    <w:rsid w:val="07DB29DD"/>
    <w:rsid w:val="07DB478B"/>
    <w:rsid w:val="07DE24CD"/>
    <w:rsid w:val="07E35D35"/>
    <w:rsid w:val="07E61381"/>
    <w:rsid w:val="07E6312F"/>
    <w:rsid w:val="07EA0E72"/>
    <w:rsid w:val="07EA70C4"/>
    <w:rsid w:val="07F35494"/>
    <w:rsid w:val="07F4584C"/>
    <w:rsid w:val="07F817E1"/>
    <w:rsid w:val="07F92E63"/>
    <w:rsid w:val="07FB6BDB"/>
    <w:rsid w:val="07FE2B6F"/>
    <w:rsid w:val="080A32C2"/>
    <w:rsid w:val="08122176"/>
    <w:rsid w:val="08123F24"/>
    <w:rsid w:val="08144141"/>
    <w:rsid w:val="08153DD4"/>
    <w:rsid w:val="08163A15"/>
    <w:rsid w:val="08167EB9"/>
    <w:rsid w:val="081E4FBF"/>
    <w:rsid w:val="08202AE5"/>
    <w:rsid w:val="08251EAA"/>
    <w:rsid w:val="08252736"/>
    <w:rsid w:val="0825634E"/>
    <w:rsid w:val="082A3964"/>
    <w:rsid w:val="082E5202"/>
    <w:rsid w:val="082F1C70"/>
    <w:rsid w:val="082F2D28"/>
    <w:rsid w:val="0837398B"/>
    <w:rsid w:val="08386081"/>
    <w:rsid w:val="083E11BD"/>
    <w:rsid w:val="084542FA"/>
    <w:rsid w:val="084A1910"/>
    <w:rsid w:val="08537DE8"/>
    <w:rsid w:val="0858402D"/>
    <w:rsid w:val="08591B53"/>
    <w:rsid w:val="085D1644"/>
    <w:rsid w:val="08602EE2"/>
    <w:rsid w:val="0864754B"/>
    <w:rsid w:val="0865499C"/>
    <w:rsid w:val="086E1AA3"/>
    <w:rsid w:val="087150EF"/>
    <w:rsid w:val="08762705"/>
    <w:rsid w:val="087A0447"/>
    <w:rsid w:val="088210AA"/>
    <w:rsid w:val="08844E22"/>
    <w:rsid w:val="08850B9A"/>
    <w:rsid w:val="08852948"/>
    <w:rsid w:val="08955281"/>
    <w:rsid w:val="089963F4"/>
    <w:rsid w:val="08A234FA"/>
    <w:rsid w:val="08A74FB5"/>
    <w:rsid w:val="08A90D2D"/>
    <w:rsid w:val="08A92ADB"/>
    <w:rsid w:val="08AC25CB"/>
    <w:rsid w:val="08AF5C17"/>
    <w:rsid w:val="08BA0844"/>
    <w:rsid w:val="08D00067"/>
    <w:rsid w:val="08D15B8E"/>
    <w:rsid w:val="08D631A4"/>
    <w:rsid w:val="08D83149"/>
    <w:rsid w:val="08D86F1C"/>
    <w:rsid w:val="08DA7138"/>
    <w:rsid w:val="08DD09D6"/>
    <w:rsid w:val="08E04023"/>
    <w:rsid w:val="08E12275"/>
    <w:rsid w:val="08E41D65"/>
    <w:rsid w:val="08E41DE7"/>
    <w:rsid w:val="08E753B1"/>
    <w:rsid w:val="08E7715F"/>
    <w:rsid w:val="08E9737B"/>
    <w:rsid w:val="08EB30F3"/>
    <w:rsid w:val="08EE4992"/>
    <w:rsid w:val="08F55D20"/>
    <w:rsid w:val="08F655F4"/>
    <w:rsid w:val="08F85810"/>
    <w:rsid w:val="08FA3336"/>
    <w:rsid w:val="090B10A0"/>
    <w:rsid w:val="09102B5A"/>
    <w:rsid w:val="091268D2"/>
    <w:rsid w:val="09187C2E"/>
    <w:rsid w:val="091B6D1A"/>
    <w:rsid w:val="091F4B4B"/>
    <w:rsid w:val="09216B15"/>
    <w:rsid w:val="09265ED9"/>
    <w:rsid w:val="092B1742"/>
    <w:rsid w:val="092B34F0"/>
    <w:rsid w:val="092C1016"/>
    <w:rsid w:val="092C7268"/>
    <w:rsid w:val="092E2FE0"/>
    <w:rsid w:val="092E4D8E"/>
    <w:rsid w:val="093305F6"/>
    <w:rsid w:val="093F0D49"/>
    <w:rsid w:val="0946657C"/>
    <w:rsid w:val="094822F4"/>
    <w:rsid w:val="09491BC8"/>
    <w:rsid w:val="095C020E"/>
    <w:rsid w:val="095C5ACD"/>
    <w:rsid w:val="095D5673"/>
    <w:rsid w:val="095E38C5"/>
    <w:rsid w:val="095F3199"/>
    <w:rsid w:val="09622C8A"/>
    <w:rsid w:val="09644C54"/>
    <w:rsid w:val="096864F2"/>
    <w:rsid w:val="09694018"/>
    <w:rsid w:val="096B4234"/>
    <w:rsid w:val="096B5FE2"/>
    <w:rsid w:val="096B7D90"/>
    <w:rsid w:val="0970184A"/>
    <w:rsid w:val="09734E97"/>
    <w:rsid w:val="0978425B"/>
    <w:rsid w:val="097906FF"/>
    <w:rsid w:val="097A7FD3"/>
    <w:rsid w:val="098301B9"/>
    <w:rsid w:val="098826F0"/>
    <w:rsid w:val="09896468"/>
    <w:rsid w:val="098D7D07"/>
    <w:rsid w:val="098E3A7F"/>
    <w:rsid w:val="098F7F23"/>
    <w:rsid w:val="0992356F"/>
    <w:rsid w:val="09945539"/>
    <w:rsid w:val="09972933"/>
    <w:rsid w:val="099A2423"/>
    <w:rsid w:val="099C619C"/>
    <w:rsid w:val="09A908B8"/>
    <w:rsid w:val="09A92667"/>
    <w:rsid w:val="09AB2883"/>
    <w:rsid w:val="09AD65FB"/>
    <w:rsid w:val="09B94F9F"/>
    <w:rsid w:val="09BE25B6"/>
    <w:rsid w:val="09CA0F5B"/>
    <w:rsid w:val="09CA2D09"/>
    <w:rsid w:val="09CB6A81"/>
    <w:rsid w:val="09DB4F16"/>
    <w:rsid w:val="09DC0C8E"/>
    <w:rsid w:val="09E57B43"/>
    <w:rsid w:val="09E65669"/>
    <w:rsid w:val="09E87633"/>
    <w:rsid w:val="09ED2E9B"/>
    <w:rsid w:val="09EF276F"/>
    <w:rsid w:val="09F064E7"/>
    <w:rsid w:val="09F204B1"/>
    <w:rsid w:val="09F45FD8"/>
    <w:rsid w:val="09F8481E"/>
    <w:rsid w:val="0A067AB9"/>
    <w:rsid w:val="0A073F5D"/>
    <w:rsid w:val="0A0A75A9"/>
    <w:rsid w:val="0A0C04D1"/>
    <w:rsid w:val="0A0D0E47"/>
    <w:rsid w:val="0A110938"/>
    <w:rsid w:val="0A14667A"/>
    <w:rsid w:val="0A165F4E"/>
    <w:rsid w:val="0A205206"/>
    <w:rsid w:val="0A206DCD"/>
    <w:rsid w:val="0A24708B"/>
    <w:rsid w:val="0A326B00"/>
    <w:rsid w:val="0A334D52"/>
    <w:rsid w:val="0A3E54A5"/>
    <w:rsid w:val="0A40121D"/>
    <w:rsid w:val="0A430D0D"/>
    <w:rsid w:val="0A49096C"/>
    <w:rsid w:val="0A492A88"/>
    <w:rsid w:val="0A4D56E8"/>
    <w:rsid w:val="0A540824"/>
    <w:rsid w:val="0A544CC8"/>
    <w:rsid w:val="0A56459C"/>
    <w:rsid w:val="0A5B6057"/>
    <w:rsid w:val="0A5D3B7D"/>
    <w:rsid w:val="0A60366D"/>
    <w:rsid w:val="0A650C83"/>
    <w:rsid w:val="0A747118"/>
    <w:rsid w:val="0A762E91"/>
    <w:rsid w:val="0A825391"/>
    <w:rsid w:val="0A8530D4"/>
    <w:rsid w:val="0A8A06EA"/>
    <w:rsid w:val="0A8A693C"/>
    <w:rsid w:val="0A9450C5"/>
    <w:rsid w:val="0A990EA2"/>
    <w:rsid w:val="0A9D21CB"/>
    <w:rsid w:val="0AA23C86"/>
    <w:rsid w:val="0AA417AC"/>
    <w:rsid w:val="0AAC2C0F"/>
    <w:rsid w:val="0AAE6186"/>
    <w:rsid w:val="0AAF1EFF"/>
    <w:rsid w:val="0ABA0FCF"/>
    <w:rsid w:val="0ABD461B"/>
    <w:rsid w:val="0ABF4ADD"/>
    <w:rsid w:val="0AC91212"/>
    <w:rsid w:val="0ACA0AE6"/>
    <w:rsid w:val="0ACC2AB1"/>
    <w:rsid w:val="0ACE4A7B"/>
    <w:rsid w:val="0AD007F3"/>
    <w:rsid w:val="0AD238C1"/>
    <w:rsid w:val="0AD656DD"/>
    <w:rsid w:val="0AD83203"/>
    <w:rsid w:val="0AD96F7B"/>
    <w:rsid w:val="0ADA51CD"/>
    <w:rsid w:val="0ADB0F46"/>
    <w:rsid w:val="0ADB7197"/>
    <w:rsid w:val="0ADD2F10"/>
    <w:rsid w:val="0ADD4CBE"/>
    <w:rsid w:val="0AE147AE"/>
    <w:rsid w:val="0AE20526"/>
    <w:rsid w:val="0AE222D4"/>
    <w:rsid w:val="0AF12517"/>
    <w:rsid w:val="0AF3628F"/>
    <w:rsid w:val="0AF85654"/>
    <w:rsid w:val="0B025788"/>
    <w:rsid w:val="0B093D05"/>
    <w:rsid w:val="0B0E131B"/>
    <w:rsid w:val="0B114967"/>
    <w:rsid w:val="0B116715"/>
    <w:rsid w:val="0B161F7E"/>
    <w:rsid w:val="0B163D2C"/>
    <w:rsid w:val="0B1C57E6"/>
    <w:rsid w:val="0B1F0E32"/>
    <w:rsid w:val="0B265FDE"/>
    <w:rsid w:val="0B304DED"/>
    <w:rsid w:val="0B3C188E"/>
    <w:rsid w:val="0B3C7C36"/>
    <w:rsid w:val="0B3D39AE"/>
    <w:rsid w:val="0B492353"/>
    <w:rsid w:val="0B494101"/>
    <w:rsid w:val="0B4E1717"/>
    <w:rsid w:val="0B4E7969"/>
    <w:rsid w:val="0B50723E"/>
    <w:rsid w:val="0B57681E"/>
    <w:rsid w:val="0B5A630E"/>
    <w:rsid w:val="0B5C5BE2"/>
    <w:rsid w:val="0B5D195B"/>
    <w:rsid w:val="0B61769D"/>
    <w:rsid w:val="0B642CE9"/>
    <w:rsid w:val="0B6B22C9"/>
    <w:rsid w:val="0B6D6042"/>
    <w:rsid w:val="0B6E61C8"/>
    <w:rsid w:val="0B723658"/>
    <w:rsid w:val="0B7D1C3D"/>
    <w:rsid w:val="0B8213C1"/>
    <w:rsid w:val="0B860EB1"/>
    <w:rsid w:val="0B8D2240"/>
    <w:rsid w:val="0B8E5FB8"/>
    <w:rsid w:val="0B96019A"/>
    <w:rsid w:val="0B9D61FB"/>
    <w:rsid w:val="0BA61553"/>
    <w:rsid w:val="0BA650B0"/>
    <w:rsid w:val="0BA8707A"/>
    <w:rsid w:val="0BA95A84"/>
    <w:rsid w:val="0BAF665A"/>
    <w:rsid w:val="0BB21CA6"/>
    <w:rsid w:val="0BB7550F"/>
    <w:rsid w:val="0BB92D4D"/>
    <w:rsid w:val="0BCB2D68"/>
    <w:rsid w:val="0BCE4606"/>
    <w:rsid w:val="0BCF2858"/>
    <w:rsid w:val="0BE107DE"/>
    <w:rsid w:val="0BE1433A"/>
    <w:rsid w:val="0BE45BD8"/>
    <w:rsid w:val="0BE508DA"/>
    <w:rsid w:val="0BED7182"/>
    <w:rsid w:val="0BF202F5"/>
    <w:rsid w:val="0BF40511"/>
    <w:rsid w:val="0BF56037"/>
    <w:rsid w:val="0C01678A"/>
    <w:rsid w:val="0C07784D"/>
    <w:rsid w:val="0C0A3890"/>
    <w:rsid w:val="0C0B585A"/>
    <w:rsid w:val="0C0D15D3"/>
    <w:rsid w:val="0C0F0EA7"/>
    <w:rsid w:val="0C1C35C4"/>
    <w:rsid w:val="0C1E733C"/>
    <w:rsid w:val="0C2273EC"/>
    <w:rsid w:val="0C236700"/>
    <w:rsid w:val="0C2801BA"/>
    <w:rsid w:val="0C2B3807"/>
    <w:rsid w:val="0C2C7CAB"/>
    <w:rsid w:val="0C346B5F"/>
    <w:rsid w:val="0C364685"/>
    <w:rsid w:val="0C3E178C"/>
    <w:rsid w:val="0C430B50"/>
    <w:rsid w:val="0C436DA2"/>
    <w:rsid w:val="0C4C20FB"/>
    <w:rsid w:val="0C5965C6"/>
    <w:rsid w:val="0C5B233E"/>
    <w:rsid w:val="0C6171CE"/>
    <w:rsid w:val="0C6A2581"/>
    <w:rsid w:val="0C6C00A7"/>
    <w:rsid w:val="0C727688"/>
    <w:rsid w:val="0C760F26"/>
    <w:rsid w:val="0C770F81"/>
    <w:rsid w:val="0C7927C4"/>
    <w:rsid w:val="0C7B02EA"/>
    <w:rsid w:val="0C811679"/>
    <w:rsid w:val="0C8278CB"/>
    <w:rsid w:val="0C831895"/>
    <w:rsid w:val="0C9040A9"/>
    <w:rsid w:val="0C913FB2"/>
    <w:rsid w:val="0C994C14"/>
    <w:rsid w:val="0C9C64B3"/>
    <w:rsid w:val="0C9D15AD"/>
    <w:rsid w:val="0CA77331"/>
    <w:rsid w:val="0CA912FB"/>
    <w:rsid w:val="0CB11F5E"/>
    <w:rsid w:val="0CB16402"/>
    <w:rsid w:val="0CB437FC"/>
    <w:rsid w:val="0CB8153E"/>
    <w:rsid w:val="0CB90E13"/>
    <w:rsid w:val="0CC021A1"/>
    <w:rsid w:val="0CCA3020"/>
    <w:rsid w:val="0CDF2F6F"/>
    <w:rsid w:val="0CDF4D1D"/>
    <w:rsid w:val="0CE02843"/>
    <w:rsid w:val="0CE20369"/>
    <w:rsid w:val="0CF06F2A"/>
    <w:rsid w:val="0CF34325"/>
    <w:rsid w:val="0CFA1B57"/>
    <w:rsid w:val="0CFA3905"/>
    <w:rsid w:val="0D002EE5"/>
    <w:rsid w:val="0D006A41"/>
    <w:rsid w:val="0D0429D6"/>
    <w:rsid w:val="0D0522AA"/>
    <w:rsid w:val="0D0526C0"/>
    <w:rsid w:val="0D10137A"/>
    <w:rsid w:val="0D142104"/>
    <w:rsid w:val="0D156991"/>
    <w:rsid w:val="0D166265"/>
    <w:rsid w:val="0D18022F"/>
    <w:rsid w:val="0D1B1ACD"/>
    <w:rsid w:val="0D1D3A97"/>
    <w:rsid w:val="0D235AC7"/>
    <w:rsid w:val="0D2564A8"/>
    <w:rsid w:val="0D366907"/>
    <w:rsid w:val="0D3D123F"/>
    <w:rsid w:val="0D426078"/>
    <w:rsid w:val="0D4525A2"/>
    <w:rsid w:val="0D470B14"/>
    <w:rsid w:val="0D474670"/>
    <w:rsid w:val="0D4C1C87"/>
    <w:rsid w:val="0D4C7ED9"/>
    <w:rsid w:val="0D5C45C0"/>
    <w:rsid w:val="0D6214AA"/>
    <w:rsid w:val="0D662D48"/>
    <w:rsid w:val="0D6671EC"/>
    <w:rsid w:val="0D70006B"/>
    <w:rsid w:val="0D7116ED"/>
    <w:rsid w:val="0D75742F"/>
    <w:rsid w:val="0D7D7066"/>
    <w:rsid w:val="0D804797"/>
    <w:rsid w:val="0D8238FA"/>
    <w:rsid w:val="0D927468"/>
    <w:rsid w:val="0D9E6986"/>
    <w:rsid w:val="0DA33F9D"/>
    <w:rsid w:val="0DA90E87"/>
    <w:rsid w:val="0DAB2E51"/>
    <w:rsid w:val="0DAE649D"/>
    <w:rsid w:val="0DAF0B93"/>
    <w:rsid w:val="0DB066B9"/>
    <w:rsid w:val="0DB77A48"/>
    <w:rsid w:val="0DB8556E"/>
    <w:rsid w:val="0DB93D54"/>
    <w:rsid w:val="0DC65EDD"/>
    <w:rsid w:val="0DD028B8"/>
    <w:rsid w:val="0DD6470C"/>
    <w:rsid w:val="0DD81CBF"/>
    <w:rsid w:val="0DE325EB"/>
    <w:rsid w:val="0DE6032D"/>
    <w:rsid w:val="0DE620DB"/>
    <w:rsid w:val="0DE63E89"/>
    <w:rsid w:val="0DE819AF"/>
    <w:rsid w:val="0DEB14A0"/>
    <w:rsid w:val="0DED16BC"/>
    <w:rsid w:val="0DED346A"/>
    <w:rsid w:val="0DF77E44"/>
    <w:rsid w:val="0DFA5B87"/>
    <w:rsid w:val="0DFE5677"/>
    <w:rsid w:val="0E034A3B"/>
    <w:rsid w:val="0E083E00"/>
    <w:rsid w:val="0E0A401C"/>
    <w:rsid w:val="0E0B1B42"/>
    <w:rsid w:val="0E0E518E"/>
    <w:rsid w:val="0E124C7E"/>
    <w:rsid w:val="0E146C48"/>
    <w:rsid w:val="0E1B7FD7"/>
    <w:rsid w:val="0E1C3D4F"/>
    <w:rsid w:val="0E2350DD"/>
    <w:rsid w:val="0E236E8B"/>
    <w:rsid w:val="0E26072A"/>
    <w:rsid w:val="0E2D3866"/>
    <w:rsid w:val="0E2F75DE"/>
    <w:rsid w:val="0E303356"/>
    <w:rsid w:val="0E305316"/>
    <w:rsid w:val="0E3270CE"/>
    <w:rsid w:val="0E341099"/>
    <w:rsid w:val="0E342E47"/>
    <w:rsid w:val="0E3C7F4D"/>
    <w:rsid w:val="0E4017EB"/>
    <w:rsid w:val="0E46496B"/>
    <w:rsid w:val="0E4806A0"/>
    <w:rsid w:val="0E4868F2"/>
    <w:rsid w:val="0E4B0190"/>
    <w:rsid w:val="0E5A03D3"/>
    <w:rsid w:val="0E5E1C72"/>
    <w:rsid w:val="0E6A2D0C"/>
    <w:rsid w:val="0E7019A5"/>
    <w:rsid w:val="0E715E49"/>
    <w:rsid w:val="0E745939"/>
    <w:rsid w:val="0E76520D"/>
    <w:rsid w:val="0E772D33"/>
    <w:rsid w:val="0E7D2A40"/>
    <w:rsid w:val="0E8042DE"/>
    <w:rsid w:val="0E833DCE"/>
    <w:rsid w:val="0E8611C8"/>
    <w:rsid w:val="0E8A0CB9"/>
    <w:rsid w:val="0E8F2773"/>
    <w:rsid w:val="0E924011"/>
    <w:rsid w:val="0E9279F4"/>
    <w:rsid w:val="0E981627"/>
    <w:rsid w:val="0E9B4C74"/>
    <w:rsid w:val="0E9E4764"/>
    <w:rsid w:val="0EA0228A"/>
    <w:rsid w:val="0EA33B28"/>
    <w:rsid w:val="0EA37FCC"/>
    <w:rsid w:val="0EAA135B"/>
    <w:rsid w:val="0EAA293A"/>
    <w:rsid w:val="0EAF4BC3"/>
    <w:rsid w:val="0EB16245"/>
    <w:rsid w:val="0EB45D35"/>
    <w:rsid w:val="0EB775D4"/>
    <w:rsid w:val="0EB977F0"/>
    <w:rsid w:val="0EC75A69"/>
    <w:rsid w:val="0EC87A33"/>
    <w:rsid w:val="0ECC7523"/>
    <w:rsid w:val="0ED558F6"/>
    <w:rsid w:val="0EDC703A"/>
    <w:rsid w:val="0EDE69A8"/>
    <w:rsid w:val="0EE06B2A"/>
    <w:rsid w:val="0EE54141"/>
    <w:rsid w:val="0EE553EB"/>
    <w:rsid w:val="0EE77EB9"/>
    <w:rsid w:val="0EF64818"/>
    <w:rsid w:val="0EF6497D"/>
    <w:rsid w:val="0EFD148A"/>
    <w:rsid w:val="0F056591"/>
    <w:rsid w:val="0F0740B7"/>
    <w:rsid w:val="0F0942D3"/>
    <w:rsid w:val="0F1467D4"/>
    <w:rsid w:val="0F1A028E"/>
    <w:rsid w:val="0F1A64E0"/>
    <w:rsid w:val="0F1E29AB"/>
    <w:rsid w:val="0F20161D"/>
    <w:rsid w:val="0F225395"/>
    <w:rsid w:val="0F2C1D70"/>
    <w:rsid w:val="0F3139F2"/>
    <w:rsid w:val="0F3155D8"/>
    <w:rsid w:val="0F3222B1"/>
    <w:rsid w:val="0F3330FE"/>
    <w:rsid w:val="0F36499C"/>
    <w:rsid w:val="0F3B0205"/>
    <w:rsid w:val="0F3D21CF"/>
    <w:rsid w:val="0F3F1AA3"/>
    <w:rsid w:val="0F40581B"/>
    <w:rsid w:val="0F423341"/>
    <w:rsid w:val="0F490B74"/>
    <w:rsid w:val="0F4C2412"/>
    <w:rsid w:val="0F543075"/>
    <w:rsid w:val="0F59068B"/>
    <w:rsid w:val="0F5F3EF3"/>
    <w:rsid w:val="0F5F5CA1"/>
    <w:rsid w:val="0F607C6B"/>
    <w:rsid w:val="0F625791"/>
    <w:rsid w:val="0F6E4136"/>
    <w:rsid w:val="0F7554C5"/>
    <w:rsid w:val="0F7F00F1"/>
    <w:rsid w:val="0F824086"/>
    <w:rsid w:val="0F841BAC"/>
    <w:rsid w:val="0F847DFE"/>
    <w:rsid w:val="0F87344A"/>
    <w:rsid w:val="0F873B4A"/>
    <w:rsid w:val="0F8C280E"/>
    <w:rsid w:val="0F953DB9"/>
    <w:rsid w:val="0F955B67"/>
    <w:rsid w:val="0F962659"/>
    <w:rsid w:val="0F987405"/>
    <w:rsid w:val="0F9C6EF5"/>
    <w:rsid w:val="0FA1450C"/>
    <w:rsid w:val="0FA45DAA"/>
    <w:rsid w:val="0FA61B22"/>
    <w:rsid w:val="0FAB538A"/>
    <w:rsid w:val="0FAC4C5F"/>
    <w:rsid w:val="0FAE6C29"/>
    <w:rsid w:val="0FB57FB7"/>
    <w:rsid w:val="0FC14BAE"/>
    <w:rsid w:val="0FCB1589"/>
    <w:rsid w:val="0FCE1079"/>
    <w:rsid w:val="0FD026CE"/>
    <w:rsid w:val="0FD348E1"/>
    <w:rsid w:val="0FD50659"/>
    <w:rsid w:val="0FDD12BC"/>
    <w:rsid w:val="0FDE750E"/>
    <w:rsid w:val="0FE20680"/>
    <w:rsid w:val="0FE4264A"/>
    <w:rsid w:val="0FE443F8"/>
    <w:rsid w:val="0FE95EB3"/>
    <w:rsid w:val="0FF02D9D"/>
    <w:rsid w:val="0FF26B15"/>
    <w:rsid w:val="0FFC3992"/>
    <w:rsid w:val="0FFC5BE6"/>
    <w:rsid w:val="0FFF3EC4"/>
    <w:rsid w:val="10001A61"/>
    <w:rsid w:val="10086339"/>
    <w:rsid w:val="100C40A0"/>
    <w:rsid w:val="100F5919"/>
    <w:rsid w:val="10152804"/>
    <w:rsid w:val="101A2510"/>
    <w:rsid w:val="101C0036"/>
    <w:rsid w:val="101D64CD"/>
    <w:rsid w:val="10234F21"/>
    <w:rsid w:val="10246EEB"/>
    <w:rsid w:val="102869DB"/>
    <w:rsid w:val="102A2753"/>
    <w:rsid w:val="102F7D69"/>
    <w:rsid w:val="10345380"/>
    <w:rsid w:val="103A226A"/>
    <w:rsid w:val="103C5FE2"/>
    <w:rsid w:val="10401F77"/>
    <w:rsid w:val="1045133B"/>
    <w:rsid w:val="10464231"/>
    <w:rsid w:val="10482BD9"/>
    <w:rsid w:val="104B091B"/>
    <w:rsid w:val="104D4694"/>
    <w:rsid w:val="104F3F68"/>
    <w:rsid w:val="10505F32"/>
    <w:rsid w:val="10545A59"/>
    <w:rsid w:val="105477D0"/>
    <w:rsid w:val="10594DE6"/>
    <w:rsid w:val="10596B94"/>
    <w:rsid w:val="105B261F"/>
    <w:rsid w:val="105C0433"/>
    <w:rsid w:val="10630621"/>
    <w:rsid w:val="10637A13"/>
    <w:rsid w:val="106612B1"/>
    <w:rsid w:val="106F0166"/>
    <w:rsid w:val="107D4EA7"/>
    <w:rsid w:val="10817E99"/>
    <w:rsid w:val="10860A2F"/>
    <w:rsid w:val="108D4A90"/>
    <w:rsid w:val="1090553E"/>
    <w:rsid w:val="10907F18"/>
    <w:rsid w:val="109A0F5B"/>
    <w:rsid w:val="109D1177"/>
    <w:rsid w:val="10A342B4"/>
    <w:rsid w:val="10A36062"/>
    <w:rsid w:val="10A8622C"/>
    <w:rsid w:val="10AC13BA"/>
    <w:rsid w:val="10AF4A06"/>
    <w:rsid w:val="10B44742"/>
    <w:rsid w:val="10B63FE7"/>
    <w:rsid w:val="10B97633"/>
    <w:rsid w:val="10BC7123"/>
    <w:rsid w:val="10BD35C7"/>
    <w:rsid w:val="10C009C2"/>
    <w:rsid w:val="10C04426"/>
    <w:rsid w:val="10C761F4"/>
    <w:rsid w:val="10C81F6C"/>
    <w:rsid w:val="10C83D1A"/>
    <w:rsid w:val="10CD1330"/>
    <w:rsid w:val="10CD30DE"/>
    <w:rsid w:val="10D10E21"/>
    <w:rsid w:val="10D4446D"/>
    <w:rsid w:val="10D95F27"/>
    <w:rsid w:val="10DE353E"/>
    <w:rsid w:val="10E5667A"/>
    <w:rsid w:val="10E741A0"/>
    <w:rsid w:val="10EA1EE2"/>
    <w:rsid w:val="10EA5A3E"/>
    <w:rsid w:val="10EC7A09"/>
    <w:rsid w:val="10ED3781"/>
    <w:rsid w:val="10ED552F"/>
    <w:rsid w:val="10F92125"/>
    <w:rsid w:val="1107004B"/>
    <w:rsid w:val="11082369"/>
    <w:rsid w:val="110A7E8F"/>
    <w:rsid w:val="110B3F03"/>
    <w:rsid w:val="110C1E59"/>
    <w:rsid w:val="110C3C07"/>
    <w:rsid w:val="110D7406"/>
    <w:rsid w:val="110D797F"/>
    <w:rsid w:val="110E5BD1"/>
    <w:rsid w:val="111D5E14"/>
    <w:rsid w:val="11222E9A"/>
    <w:rsid w:val="11254CC9"/>
    <w:rsid w:val="112C24FB"/>
    <w:rsid w:val="112C6057"/>
    <w:rsid w:val="11335637"/>
    <w:rsid w:val="113A4C18"/>
    <w:rsid w:val="113B44EC"/>
    <w:rsid w:val="114333A1"/>
    <w:rsid w:val="114F1D45"/>
    <w:rsid w:val="11551A52"/>
    <w:rsid w:val="11553800"/>
    <w:rsid w:val="115630D4"/>
    <w:rsid w:val="11586E4C"/>
    <w:rsid w:val="115B06EA"/>
    <w:rsid w:val="115D0906"/>
    <w:rsid w:val="116E2B13"/>
    <w:rsid w:val="1173012A"/>
    <w:rsid w:val="117619C8"/>
    <w:rsid w:val="117A1FB8"/>
    <w:rsid w:val="117A3266"/>
    <w:rsid w:val="117D68B3"/>
    <w:rsid w:val="117F6ACF"/>
    <w:rsid w:val="1183141E"/>
    <w:rsid w:val="118440E5"/>
    <w:rsid w:val="118714DF"/>
    <w:rsid w:val="118B5473"/>
    <w:rsid w:val="118B7221"/>
    <w:rsid w:val="118F65E6"/>
    <w:rsid w:val="11965BC6"/>
    <w:rsid w:val="119A7465"/>
    <w:rsid w:val="119B31DD"/>
    <w:rsid w:val="119F2CCD"/>
    <w:rsid w:val="11A402E3"/>
    <w:rsid w:val="11A622AD"/>
    <w:rsid w:val="11B04EDA"/>
    <w:rsid w:val="11B36778"/>
    <w:rsid w:val="11B7030E"/>
    <w:rsid w:val="11BB73DB"/>
    <w:rsid w:val="11BD3153"/>
    <w:rsid w:val="11C62ECF"/>
    <w:rsid w:val="11C664AC"/>
    <w:rsid w:val="11D32976"/>
    <w:rsid w:val="11D34725"/>
    <w:rsid w:val="11D363A6"/>
    <w:rsid w:val="11D87F8D"/>
    <w:rsid w:val="11E626AA"/>
    <w:rsid w:val="11E84674"/>
    <w:rsid w:val="11EB5F12"/>
    <w:rsid w:val="11EE155E"/>
    <w:rsid w:val="11F50B3F"/>
    <w:rsid w:val="11F8418B"/>
    <w:rsid w:val="11FC011F"/>
    <w:rsid w:val="11FF551A"/>
    <w:rsid w:val="1202500A"/>
    <w:rsid w:val="120466C5"/>
    <w:rsid w:val="12062D4C"/>
    <w:rsid w:val="120668A8"/>
    <w:rsid w:val="120A6EEB"/>
    <w:rsid w:val="120E36A8"/>
    <w:rsid w:val="1218482D"/>
    <w:rsid w:val="121A05A5"/>
    <w:rsid w:val="121A2353"/>
    <w:rsid w:val="121A73FA"/>
    <w:rsid w:val="121E62E8"/>
    <w:rsid w:val="12224F37"/>
    <w:rsid w:val="12227CBE"/>
    <w:rsid w:val="12282CC2"/>
    <w:rsid w:val="122B4561"/>
    <w:rsid w:val="122D2087"/>
    <w:rsid w:val="12307DC9"/>
    <w:rsid w:val="12371157"/>
    <w:rsid w:val="124318AA"/>
    <w:rsid w:val="12445622"/>
    <w:rsid w:val="124B69B1"/>
    <w:rsid w:val="124F777A"/>
    <w:rsid w:val="12523F17"/>
    <w:rsid w:val="12524C6B"/>
    <w:rsid w:val="12527D3F"/>
    <w:rsid w:val="12541D09"/>
    <w:rsid w:val="125819A7"/>
    <w:rsid w:val="12582E7C"/>
    <w:rsid w:val="125A6BF4"/>
    <w:rsid w:val="125B6DD1"/>
    <w:rsid w:val="125C296C"/>
    <w:rsid w:val="12617F82"/>
    <w:rsid w:val="12631F4C"/>
    <w:rsid w:val="12647A72"/>
    <w:rsid w:val="126637EB"/>
    <w:rsid w:val="126D2DCB"/>
    <w:rsid w:val="12706417"/>
    <w:rsid w:val="127203E1"/>
    <w:rsid w:val="127C7ED8"/>
    <w:rsid w:val="127F48AC"/>
    <w:rsid w:val="128123D2"/>
    <w:rsid w:val="128C79CD"/>
    <w:rsid w:val="12922832"/>
    <w:rsid w:val="1299596E"/>
    <w:rsid w:val="1299771C"/>
    <w:rsid w:val="129E11D6"/>
    <w:rsid w:val="12A85BB1"/>
    <w:rsid w:val="12AA1929"/>
    <w:rsid w:val="12AA7B7B"/>
    <w:rsid w:val="12AD31C8"/>
    <w:rsid w:val="12B50A4E"/>
    <w:rsid w:val="12BB58E4"/>
    <w:rsid w:val="12BE53D5"/>
    <w:rsid w:val="12C50511"/>
    <w:rsid w:val="12CD5618"/>
    <w:rsid w:val="12CD73C6"/>
    <w:rsid w:val="12D90460"/>
    <w:rsid w:val="12D93FBD"/>
    <w:rsid w:val="12DD1CFF"/>
    <w:rsid w:val="12E0359D"/>
    <w:rsid w:val="12E0534B"/>
    <w:rsid w:val="12E50BB3"/>
    <w:rsid w:val="12E56E05"/>
    <w:rsid w:val="12E60488"/>
    <w:rsid w:val="12E67D08"/>
    <w:rsid w:val="12E84200"/>
    <w:rsid w:val="12ED1816"/>
    <w:rsid w:val="12F42BA4"/>
    <w:rsid w:val="12F72695"/>
    <w:rsid w:val="12F928B1"/>
    <w:rsid w:val="12FC5EFD"/>
    <w:rsid w:val="12FE7EC7"/>
    <w:rsid w:val="13001549"/>
    <w:rsid w:val="130152C1"/>
    <w:rsid w:val="13070B2A"/>
    <w:rsid w:val="13090D00"/>
    <w:rsid w:val="13174AE5"/>
    <w:rsid w:val="13182D37"/>
    <w:rsid w:val="13196AAF"/>
    <w:rsid w:val="13207E3D"/>
    <w:rsid w:val="13385187"/>
    <w:rsid w:val="13390EFF"/>
    <w:rsid w:val="133E6515"/>
    <w:rsid w:val="1340228E"/>
    <w:rsid w:val="13421B62"/>
    <w:rsid w:val="13426006"/>
    <w:rsid w:val="13427DB4"/>
    <w:rsid w:val="13433851"/>
    <w:rsid w:val="13433B2C"/>
    <w:rsid w:val="13441D7E"/>
    <w:rsid w:val="13464E1F"/>
    <w:rsid w:val="13477178"/>
    <w:rsid w:val="13497394"/>
    <w:rsid w:val="134A4EBA"/>
    <w:rsid w:val="134F427F"/>
    <w:rsid w:val="13516249"/>
    <w:rsid w:val="13533D6F"/>
    <w:rsid w:val="13541895"/>
    <w:rsid w:val="135950FD"/>
    <w:rsid w:val="135A334F"/>
    <w:rsid w:val="135A45E3"/>
    <w:rsid w:val="135B00F6"/>
    <w:rsid w:val="135B2C24"/>
    <w:rsid w:val="135E2714"/>
    <w:rsid w:val="1360239A"/>
    <w:rsid w:val="1360648C"/>
    <w:rsid w:val="136715C8"/>
    <w:rsid w:val="13685340"/>
    <w:rsid w:val="136C6BDF"/>
    <w:rsid w:val="136F66CF"/>
    <w:rsid w:val="13737F6D"/>
    <w:rsid w:val="13783BD1"/>
    <w:rsid w:val="137912FC"/>
    <w:rsid w:val="137D703E"/>
    <w:rsid w:val="138008DC"/>
    <w:rsid w:val="13826402"/>
    <w:rsid w:val="13833F28"/>
    <w:rsid w:val="138A3821"/>
    <w:rsid w:val="138F28CD"/>
    <w:rsid w:val="13906D71"/>
    <w:rsid w:val="13916645"/>
    <w:rsid w:val="13954387"/>
    <w:rsid w:val="139B74C4"/>
    <w:rsid w:val="13A04ADA"/>
    <w:rsid w:val="13A81C97"/>
    <w:rsid w:val="13A9004F"/>
    <w:rsid w:val="13AF4D1D"/>
    <w:rsid w:val="13B32A60"/>
    <w:rsid w:val="13BA5B9C"/>
    <w:rsid w:val="13BF31B2"/>
    <w:rsid w:val="13C20EF5"/>
    <w:rsid w:val="13C86E56"/>
    <w:rsid w:val="13CB5FFB"/>
    <w:rsid w:val="13D053C0"/>
    <w:rsid w:val="13D23CF0"/>
    <w:rsid w:val="13E470BD"/>
    <w:rsid w:val="13F07810"/>
    <w:rsid w:val="13FA243C"/>
    <w:rsid w:val="13FF7A53"/>
    <w:rsid w:val="14060DE1"/>
    <w:rsid w:val="14164D9C"/>
    <w:rsid w:val="14171240"/>
    <w:rsid w:val="141A663B"/>
    <w:rsid w:val="141F1EA3"/>
    <w:rsid w:val="1424395D"/>
    <w:rsid w:val="14290F74"/>
    <w:rsid w:val="1433594E"/>
    <w:rsid w:val="143C7D73"/>
    <w:rsid w:val="144162BD"/>
    <w:rsid w:val="144638D4"/>
    <w:rsid w:val="14467430"/>
    <w:rsid w:val="144933C4"/>
    <w:rsid w:val="144D6A10"/>
    <w:rsid w:val="14524026"/>
    <w:rsid w:val="14553C17"/>
    <w:rsid w:val="145757D1"/>
    <w:rsid w:val="1457788F"/>
    <w:rsid w:val="14593607"/>
    <w:rsid w:val="145A2EDB"/>
    <w:rsid w:val="146D0E60"/>
    <w:rsid w:val="146F2E2A"/>
    <w:rsid w:val="14733F9D"/>
    <w:rsid w:val="14883EEC"/>
    <w:rsid w:val="148B12E6"/>
    <w:rsid w:val="148F7029"/>
    <w:rsid w:val="14900FF3"/>
    <w:rsid w:val="14926B19"/>
    <w:rsid w:val="1497412F"/>
    <w:rsid w:val="149A3758"/>
    <w:rsid w:val="149C4528"/>
    <w:rsid w:val="149C7998"/>
    <w:rsid w:val="149E726C"/>
    <w:rsid w:val="14A14FAE"/>
    <w:rsid w:val="14A625C4"/>
    <w:rsid w:val="14A979BF"/>
    <w:rsid w:val="14AF3ABC"/>
    <w:rsid w:val="14AF76CB"/>
    <w:rsid w:val="14B22D17"/>
    <w:rsid w:val="14B60A59"/>
    <w:rsid w:val="14B720DC"/>
    <w:rsid w:val="14B8240A"/>
    <w:rsid w:val="14B940A6"/>
    <w:rsid w:val="14C173FE"/>
    <w:rsid w:val="14CA62B3"/>
    <w:rsid w:val="14CF1B1B"/>
    <w:rsid w:val="14D00800"/>
    <w:rsid w:val="14D26F15"/>
    <w:rsid w:val="14D902A4"/>
    <w:rsid w:val="14DB04C0"/>
    <w:rsid w:val="14DF1632"/>
    <w:rsid w:val="14E804E7"/>
    <w:rsid w:val="14EA24B1"/>
    <w:rsid w:val="14EA425F"/>
    <w:rsid w:val="14EB6229"/>
    <w:rsid w:val="14EC3A01"/>
    <w:rsid w:val="14F21366"/>
    <w:rsid w:val="14F41582"/>
    <w:rsid w:val="14F450DE"/>
    <w:rsid w:val="14FB646C"/>
    <w:rsid w:val="14FE5F5C"/>
    <w:rsid w:val="150177FB"/>
    <w:rsid w:val="15086DDB"/>
    <w:rsid w:val="150A4901"/>
    <w:rsid w:val="150D43F1"/>
    <w:rsid w:val="150F0169"/>
    <w:rsid w:val="15121A08"/>
    <w:rsid w:val="15190FE8"/>
    <w:rsid w:val="151C63E2"/>
    <w:rsid w:val="15233C15"/>
    <w:rsid w:val="152754B3"/>
    <w:rsid w:val="152A0AFF"/>
    <w:rsid w:val="152A4FA3"/>
    <w:rsid w:val="152B4878"/>
    <w:rsid w:val="152D05F0"/>
    <w:rsid w:val="15316332"/>
    <w:rsid w:val="15325C06"/>
    <w:rsid w:val="1537146E"/>
    <w:rsid w:val="1548367B"/>
    <w:rsid w:val="15485AF9"/>
    <w:rsid w:val="154C4F1A"/>
    <w:rsid w:val="15545B7C"/>
    <w:rsid w:val="15581B10"/>
    <w:rsid w:val="15584512"/>
    <w:rsid w:val="15593193"/>
    <w:rsid w:val="15597637"/>
    <w:rsid w:val="155A57DC"/>
    <w:rsid w:val="155B33AF"/>
    <w:rsid w:val="155B6F0B"/>
    <w:rsid w:val="15632263"/>
    <w:rsid w:val="1565422D"/>
    <w:rsid w:val="15671D54"/>
    <w:rsid w:val="15695ACC"/>
    <w:rsid w:val="15730AB5"/>
    <w:rsid w:val="1573694A"/>
    <w:rsid w:val="15763D45"/>
    <w:rsid w:val="15793835"/>
    <w:rsid w:val="157E0E4B"/>
    <w:rsid w:val="157F7058"/>
    <w:rsid w:val="158C5316"/>
    <w:rsid w:val="158E5532"/>
    <w:rsid w:val="158F12AA"/>
    <w:rsid w:val="1593695D"/>
    <w:rsid w:val="1598015F"/>
    <w:rsid w:val="15981F0D"/>
    <w:rsid w:val="159D39C7"/>
    <w:rsid w:val="159E7205"/>
    <w:rsid w:val="159F14ED"/>
    <w:rsid w:val="15A10C6F"/>
    <w:rsid w:val="15A20FDE"/>
    <w:rsid w:val="15A44D56"/>
    <w:rsid w:val="15A83398"/>
    <w:rsid w:val="15AA7E92"/>
    <w:rsid w:val="15B64A89"/>
    <w:rsid w:val="15B66837"/>
    <w:rsid w:val="15B83632"/>
    <w:rsid w:val="15B8435D"/>
    <w:rsid w:val="15B914BE"/>
    <w:rsid w:val="15BD7BC5"/>
    <w:rsid w:val="15C56A7A"/>
    <w:rsid w:val="15CD16BF"/>
    <w:rsid w:val="15CF16A7"/>
    <w:rsid w:val="15D13671"/>
    <w:rsid w:val="15D31197"/>
    <w:rsid w:val="15D46CBD"/>
    <w:rsid w:val="15D867AD"/>
    <w:rsid w:val="15DE18EA"/>
    <w:rsid w:val="15E2762C"/>
    <w:rsid w:val="15E433A4"/>
    <w:rsid w:val="15E46F00"/>
    <w:rsid w:val="15E92769"/>
    <w:rsid w:val="15EC04AB"/>
    <w:rsid w:val="15EF58A5"/>
    <w:rsid w:val="15F1161D"/>
    <w:rsid w:val="15F335E7"/>
    <w:rsid w:val="15F35395"/>
    <w:rsid w:val="15F630D7"/>
    <w:rsid w:val="15F80BFE"/>
    <w:rsid w:val="15F829AC"/>
    <w:rsid w:val="16007AB2"/>
    <w:rsid w:val="160475A2"/>
    <w:rsid w:val="160E0421"/>
    <w:rsid w:val="16161084"/>
    <w:rsid w:val="161A0B74"/>
    <w:rsid w:val="16223ECC"/>
    <w:rsid w:val="16254DD9"/>
    <w:rsid w:val="162714E3"/>
    <w:rsid w:val="16297009"/>
    <w:rsid w:val="162A266C"/>
    <w:rsid w:val="162B5423"/>
    <w:rsid w:val="16301EEC"/>
    <w:rsid w:val="16351E52"/>
    <w:rsid w:val="16361726"/>
    <w:rsid w:val="163D4862"/>
    <w:rsid w:val="163F682C"/>
    <w:rsid w:val="16481B85"/>
    <w:rsid w:val="16491459"/>
    <w:rsid w:val="164D0F49"/>
    <w:rsid w:val="164D719B"/>
    <w:rsid w:val="164E081E"/>
    <w:rsid w:val="16500A3A"/>
    <w:rsid w:val="16504596"/>
    <w:rsid w:val="16565924"/>
    <w:rsid w:val="165F0C7D"/>
    <w:rsid w:val="165F2A2B"/>
    <w:rsid w:val="16612C47"/>
    <w:rsid w:val="1662251B"/>
    <w:rsid w:val="166A350D"/>
    <w:rsid w:val="167209B0"/>
    <w:rsid w:val="167A5AB7"/>
    <w:rsid w:val="167D1103"/>
    <w:rsid w:val="167F4E7B"/>
    <w:rsid w:val="168626AD"/>
    <w:rsid w:val="168B1A6A"/>
    <w:rsid w:val="168D7598"/>
    <w:rsid w:val="169052DA"/>
    <w:rsid w:val="16970417"/>
    <w:rsid w:val="16977049"/>
    <w:rsid w:val="169C77DB"/>
    <w:rsid w:val="169F551D"/>
    <w:rsid w:val="16A14DF1"/>
    <w:rsid w:val="16A50D85"/>
    <w:rsid w:val="16A7201F"/>
    <w:rsid w:val="16AD19E8"/>
    <w:rsid w:val="16B32D77"/>
    <w:rsid w:val="16B8213B"/>
    <w:rsid w:val="16BB6DB9"/>
    <w:rsid w:val="16C44F84"/>
    <w:rsid w:val="16C94348"/>
    <w:rsid w:val="16CB1E6E"/>
    <w:rsid w:val="16D276A1"/>
    <w:rsid w:val="16DA0303"/>
    <w:rsid w:val="16E55626"/>
    <w:rsid w:val="16E96798"/>
    <w:rsid w:val="16EB2510"/>
    <w:rsid w:val="16F21AF1"/>
    <w:rsid w:val="16F5338F"/>
    <w:rsid w:val="16F92E7F"/>
    <w:rsid w:val="16FC64CC"/>
    <w:rsid w:val="16FF7D6A"/>
    <w:rsid w:val="1703785A"/>
    <w:rsid w:val="17123F41"/>
    <w:rsid w:val="17127A9D"/>
    <w:rsid w:val="17143815"/>
    <w:rsid w:val="17173305"/>
    <w:rsid w:val="1729478D"/>
    <w:rsid w:val="17312619"/>
    <w:rsid w:val="17321EED"/>
    <w:rsid w:val="17367C2F"/>
    <w:rsid w:val="17375756"/>
    <w:rsid w:val="173C4B1A"/>
    <w:rsid w:val="174560C4"/>
    <w:rsid w:val="17457E73"/>
    <w:rsid w:val="174C1201"/>
    <w:rsid w:val="174D3ABB"/>
    <w:rsid w:val="174D4F79"/>
    <w:rsid w:val="174F0CF1"/>
    <w:rsid w:val="174F6F43"/>
    <w:rsid w:val="17562080"/>
    <w:rsid w:val="17587820"/>
    <w:rsid w:val="175B7522"/>
    <w:rsid w:val="17604CAC"/>
    <w:rsid w:val="17606A5A"/>
    <w:rsid w:val="17633456"/>
    <w:rsid w:val="176904D0"/>
    <w:rsid w:val="176A4D41"/>
    <w:rsid w:val="176C18A3"/>
    <w:rsid w:val="17716EB9"/>
    <w:rsid w:val="17780248"/>
    <w:rsid w:val="177B7D38"/>
    <w:rsid w:val="177C760C"/>
    <w:rsid w:val="177D585E"/>
    <w:rsid w:val="17872239"/>
    <w:rsid w:val="178725A8"/>
    <w:rsid w:val="17884203"/>
    <w:rsid w:val="178D1819"/>
    <w:rsid w:val="179E3A27"/>
    <w:rsid w:val="17AA23CB"/>
    <w:rsid w:val="17AA4179"/>
    <w:rsid w:val="17AC6144"/>
    <w:rsid w:val="17AF353E"/>
    <w:rsid w:val="17B46DA6"/>
    <w:rsid w:val="17B60D70"/>
    <w:rsid w:val="17B72B2D"/>
    <w:rsid w:val="17B9260F"/>
    <w:rsid w:val="17BB0135"/>
    <w:rsid w:val="17C0399D"/>
    <w:rsid w:val="17C76AD9"/>
    <w:rsid w:val="17C84600"/>
    <w:rsid w:val="17CA481C"/>
    <w:rsid w:val="17CC0594"/>
    <w:rsid w:val="17CC2342"/>
    <w:rsid w:val="17CC40F0"/>
    <w:rsid w:val="17DB4333"/>
    <w:rsid w:val="17DF1C59"/>
    <w:rsid w:val="17E23913"/>
    <w:rsid w:val="17E7717C"/>
    <w:rsid w:val="17E92EF4"/>
    <w:rsid w:val="17FB6783"/>
    <w:rsid w:val="17FD24FB"/>
    <w:rsid w:val="17FF2717"/>
    <w:rsid w:val="1800023D"/>
    <w:rsid w:val="18001FEB"/>
    <w:rsid w:val="18023FB5"/>
    <w:rsid w:val="1804388A"/>
    <w:rsid w:val="180715CC"/>
    <w:rsid w:val="18090EA0"/>
    <w:rsid w:val="18147845"/>
    <w:rsid w:val="181B0BD3"/>
    <w:rsid w:val="18226406"/>
    <w:rsid w:val="18291542"/>
    <w:rsid w:val="182B52BA"/>
    <w:rsid w:val="182E4DAB"/>
    <w:rsid w:val="18396314"/>
    <w:rsid w:val="183D3240"/>
    <w:rsid w:val="183F2B14"/>
    <w:rsid w:val="184076FF"/>
    <w:rsid w:val="1844637C"/>
    <w:rsid w:val="18495740"/>
    <w:rsid w:val="185145F5"/>
    <w:rsid w:val="18534811"/>
    <w:rsid w:val="18561C0B"/>
    <w:rsid w:val="185C1918"/>
    <w:rsid w:val="185D11EC"/>
    <w:rsid w:val="185F31B6"/>
    <w:rsid w:val="18616F2E"/>
    <w:rsid w:val="18622CA6"/>
    <w:rsid w:val="186B3909"/>
    <w:rsid w:val="186C02C4"/>
    <w:rsid w:val="186E33F9"/>
    <w:rsid w:val="18702CCD"/>
    <w:rsid w:val="187327BD"/>
    <w:rsid w:val="18787DD4"/>
    <w:rsid w:val="187F1162"/>
    <w:rsid w:val="187F73B4"/>
    <w:rsid w:val="1881137E"/>
    <w:rsid w:val="18822A00"/>
    <w:rsid w:val="188350F6"/>
    <w:rsid w:val="18950986"/>
    <w:rsid w:val="18956BD8"/>
    <w:rsid w:val="18972950"/>
    <w:rsid w:val="18A73283"/>
    <w:rsid w:val="18A92683"/>
    <w:rsid w:val="18AB1F57"/>
    <w:rsid w:val="18AE0076"/>
    <w:rsid w:val="18B52DD6"/>
    <w:rsid w:val="18B90B18"/>
    <w:rsid w:val="18BA663E"/>
    <w:rsid w:val="18BC4164"/>
    <w:rsid w:val="18BF1EA7"/>
    <w:rsid w:val="18C1177B"/>
    <w:rsid w:val="18C179CD"/>
    <w:rsid w:val="18C82B09"/>
    <w:rsid w:val="18CD6371"/>
    <w:rsid w:val="18D53478"/>
    <w:rsid w:val="18E5190D"/>
    <w:rsid w:val="18E84F59"/>
    <w:rsid w:val="18E86D07"/>
    <w:rsid w:val="18F07E29"/>
    <w:rsid w:val="18F41B50"/>
    <w:rsid w:val="18F820E3"/>
    <w:rsid w:val="18FA2EDF"/>
    <w:rsid w:val="18FF22A3"/>
    <w:rsid w:val="18FF648E"/>
    <w:rsid w:val="19061883"/>
    <w:rsid w:val="19081158"/>
    <w:rsid w:val="19153FC1"/>
    <w:rsid w:val="19232435"/>
    <w:rsid w:val="19265A82"/>
    <w:rsid w:val="192835A8"/>
    <w:rsid w:val="193208CA"/>
    <w:rsid w:val="193261D5"/>
    <w:rsid w:val="19355CC5"/>
    <w:rsid w:val="19357C9E"/>
    <w:rsid w:val="19393A07"/>
    <w:rsid w:val="193A152D"/>
    <w:rsid w:val="193A32DB"/>
    <w:rsid w:val="1941466A"/>
    <w:rsid w:val="194303E2"/>
    <w:rsid w:val="19436634"/>
    <w:rsid w:val="194859F8"/>
    <w:rsid w:val="19540841"/>
    <w:rsid w:val="19597C05"/>
    <w:rsid w:val="195E521C"/>
    <w:rsid w:val="196D545F"/>
    <w:rsid w:val="19762565"/>
    <w:rsid w:val="197902A7"/>
    <w:rsid w:val="198033E4"/>
    <w:rsid w:val="19831126"/>
    <w:rsid w:val="19843555"/>
    <w:rsid w:val="198A4263"/>
    <w:rsid w:val="198F7168"/>
    <w:rsid w:val="19904D0E"/>
    <w:rsid w:val="19921369"/>
    <w:rsid w:val="19940C3D"/>
    <w:rsid w:val="199B1FCC"/>
    <w:rsid w:val="19A075E2"/>
    <w:rsid w:val="19AA220F"/>
    <w:rsid w:val="19B4308D"/>
    <w:rsid w:val="19B60BB4"/>
    <w:rsid w:val="19B66E06"/>
    <w:rsid w:val="19BB266E"/>
    <w:rsid w:val="19BE215E"/>
    <w:rsid w:val="19C37774"/>
    <w:rsid w:val="19C86B39"/>
    <w:rsid w:val="19CA28B1"/>
    <w:rsid w:val="19CF7EC7"/>
    <w:rsid w:val="19D63004"/>
    <w:rsid w:val="19D83220"/>
    <w:rsid w:val="19DB061A"/>
    <w:rsid w:val="19E00326"/>
    <w:rsid w:val="19E576EB"/>
    <w:rsid w:val="19E72882"/>
    <w:rsid w:val="19EF3BE4"/>
    <w:rsid w:val="19F45B80"/>
    <w:rsid w:val="19F50124"/>
    <w:rsid w:val="19FD4A34"/>
    <w:rsid w:val="1A0062D3"/>
    <w:rsid w:val="1A044015"/>
    <w:rsid w:val="1A051B3B"/>
    <w:rsid w:val="1A0A70AB"/>
    <w:rsid w:val="1A0C111B"/>
    <w:rsid w:val="1A0D279E"/>
    <w:rsid w:val="1A0E31CA"/>
    <w:rsid w:val="1A116732"/>
    <w:rsid w:val="1A136006"/>
    <w:rsid w:val="1A255D39"/>
    <w:rsid w:val="1A27385F"/>
    <w:rsid w:val="1A2F0966"/>
    <w:rsid w:val="1A367F46"/>
    <w:rsid w:val="1A392129"/>
    <w:rsid w:val="1A3A17E5"/>
    <w:rsid w:val="1A4A57A0"/>
    <w:rsid w:val="1A4C32C6"/>
    <w:rsid w:val="1A512FD2"/>
    <w:rsid w:val="1A530AF8"/>
    <w:rsid w:val="1A534654"/>
    <w:rsid w:val="1A554870"/>
    <w:rsid w:val="1A55661F"/>
    <w:rsid w:val="1A5959E3"/>
    <w:rsid w:val="1A5A3C35"/>
    <w:rsid w:val="1A5F749D"/>
    <w:rsid w:val="1A5F7D07"/>
    <w:rsid w:val="1A642D06"/>
    <w:rsid w:val="1A6525DA"/>
    <w:rsid w:val="1A710F7F"/>
    <w:rsid w:val="1A734CF7"/>
    <w:rsid w:val="1A756CC1"/>
    <w:rsid w:val="1A7A6085"/>
    <w:rsid w:val="1A8213DE"/>
    <w:rsid w:val="1A846F04"/>
    <w:rsid w:val="1A8962C8"/>
    <w:rsid w:val="1A911621"/>
    <w:rsid w:val="1A954C6D"/>
    <w:rsid w:val="1A976C37"/>
    <w:rsid w:val="1A98475D"/>
    <w:rsid w:val="1AA72BF2"/>
    <w:rsid w:val="1AA80E44"/>
    <w:rsid w:val="1AB07CF9"/>
    <w:rsid w:val="1AB175CD"/>
    <w:rsid w:val="1ABD41C4"/>
    <w:rsid w:val="1AC11F06"/>
    <w:rsid w:val="1AC437A4"/>
    <w:rsid w:val="1AC47300"/>
    <w:rsid w:val="1AC63078"/>
    <w:rsid w:val="1AC90DBB"/>
    <w:rsid w:val="1AC9700C"/>
    <w:rsid w:val="1ACB1A35"/>
    <w:rsid w:val="1ACB4B33"/>
    <w:rsid w:val="1AD27C6F"/>
    <w:rsid w:val="1AD5775F"/>
    <w:rsid w:val="1AD734D7"/>
    <w:rsid w:val="1AD75285"/>
    <w:rsid w:val="1AD77FD8"/>
    <w:rsid w:val="1ADB6959"/>
    <w:rsid w:val="1ADE4866"/>
    <w:rsid w:val="1AE14356"/>
    <w:rsid w:val="1AE31E7C"/>
    <w:rsid w:val="1AE41750"/>
    <w:rsid w:val="1AE856E5"/>
    <w:rsid w:val="1AE96D67"/>
    <w:rsid w:val="1AED2CFB"/>
    <w:rsid w:val="1AF000F5"/>
    <w:rsid w:val="1AF5395E"/>
    <w:rsid w:val="1AF5570C"/>
    <w:rsid w:val="1AF8344E"/>
    <w:rsid w:val="1AFA5418"/>
    <w:rsid w:val="1AFC1190"/>
    <w:rsid w:val="1B0231FF"/>
    <w:rsid w:val="1B03607B"/>
    <w:rsid w:val="1B043BA1"/>
    <w:rsid w:val="1B0818E3"/>
    <w:rsid w:val="1B0B13D3"/>
    <w:rsid w:val="1B0D17E8"/>
    <w:rsid w:val="1B122762"/>
    <w:rsid w:val="1B124510"/>
    <w:rsid w:val="1B155DAE"/>
    <w:rsid w:val="1B177D78"/>
    <w:rsid w:val="1B1A7868"/>
    <w:rsid w:val="1B1C538E"/>
    <w:rsid w:val="1B1F4E7E"/>
    <w:rsid w:val="1B23671D"/>
    <w:rsid w:val="1B245FF1"/>
    <w:rsid w:val="1B28788F"/>
    <w:rsid w:val="1B2A7AAB"/>
    <w:rsid w:val="1B2E6E70"/>
    <w:rsid w:val="1B32070E"/>
    <w:rsid w:val="1B49115D"/>
    <w:rsid w:val="1B4A3CA9"/>
    <w:rsid w:val="1B4B7A22"/>
    <w:rsid w:val="1B4D19EC"/>
    <w:rsid w:val="1B593EEC"/>
    <w:rsid w:val="1B632FBD"/>
    <w:rsid w:val="1B636B19"/>
    <w:rsid w:val="1B642891"/>
    <w:rsid w:val="1B66485B"/>
    <w:rsid w:val="1B697EA8"/>
    <w:rsid w:val="1B6A434C"/>
    <w:rsid w:val="1B6D6B14"/>
    <w:rsid w:val="1B742AD4"/>
    <w:rsid w:val="1B75684C"/>
    <w:rsid w:val="1B7707A6"/>
    <w:rsid w:val="1B7900EB"/>
    <w:rsid w:val="1B80591D"/>
    <w:rsid w:val="1B8942FC"/>
    <w:rsid w:val="1B8D1DE8"/>
    <w:rsid w:val="1B8D3B96"/>
    <w:rsid w:val="1B9413C8"/>
    <w:rsid w:val="1B943177"/>
    <w:rsid w:val="1B944F25"/>
    <w:rsid w:val="1BA15893"/>
    <w:rsid w:val="1BA23AE5"/>
    <w:rsid w:val="1BA43C4F"/>
    <w:rsid w:val="1BA50EE0"/>
    <w:rsid w:val="1BA535D6"/>
    <w:rsid w:val="1BA57132"/>
    <w:rsid w:val="1BA809D0"/>
    <w:rsid w:val="1BA84E74"/>
    <w:rsid w:val="1BB11F7A"/>
    <w:rsid w:val="1BB43819"/>
    <w:rsid w:val="1BB455C7"/>
    <w:rsid w:val="1BBB0703"/>
    <w:rsid w:val="1BBB4BA7"/>
    <w:rsid w:val="1BBC447B"/>
    <w:rsid w:val="1BBE69F1"/>
    <w:rsid w:val="1BC17CE4"/>
    <w:rsid w:val="1BD417C5"/>
    <w:rsid w:val="1BD87507"/>
    <w:rsid w:val="1BDB0DA5"/>
    <w:rsid w:val="1BE063BC"/>
    <w:rsid w:val="1BE22134"/>
    <w:rsid w:val="1BE35EAC"/>
    <w:rsid w:val="1BE37C5A"/>
    <w:rsid w:val="1BE539D2"/>
    <w:rsid w:val="1BEC5FB9"/>
    <w:rsid w:val="1BEF4851"/>
    <w:rsid w:val="1BFD51C0"/>
    <w:rsid w:val="1C0320AA"/>
    <w:rsid w:val="1C077DEC"/>
    <w:rsid w:val="1C093B64"/>
    <w:rsid w:val="1C0E2F29"/>
    <w:rsid w:val="1C16002F"/>
    <w:rsid w:val="1C177904"/>
    <w:rsid w:val="1C1B78F6"/>
    <w:rsid w:val="1C224C26"/>
    <w:rsid w:val="1C2362A8"/>
    <w:rsid w:val="1C275D99"/>
    <w:rsid w:val="1C297D63"/>
    <w:rsid w:val="1C2C1601"/>
    <w:rsid w:val="1C2F10F1"/>
    <w:rsid w:val="1C3109C5"/>
    <w:rsid w:val="1C346708"/>
    <w:rsid w:val="1C35495A"/>
    <w:rsid w:val="1C3D736A"/>
    <w:rsid w:val="1C4306F9"/>
    <w:rsid w:val="1C4A1A87"/>
    <w:rsid w:val="1C4C3A51"/>
    <w:rsid w:val="1C50276A"/>
    <w:rsid w:val="1C534DE0"/>
    <w:rsid w:val="1C56667E"/>
    <w:rsid w:val="1C597F1C"/>
    <w:rsid w:val="1C672639"/>
    <w:rsid w:val="1C6963B1"/>
    <w:rsid w:val="1C6C40F3"/>
    <w:rsid w:val="1C735482"/>
    <w:rsid w:val="1C744D56"/>
    <w:rsid w:val="1C746B04"/>
    <w:rsid w:val="1C7D00AF"/>
    <w:rsid w:val="1C7D3C0B"/>
    <w:rsid w:val="1C80194D"/>
    <w:rsid w:val="1C817B9F"/>
    <w:rsid w:val="1C8256C5"/>
    <w:rsid w:val="1C856F63"/>
    <w:rsid w:val="1C890801"/>
    <w:rsid w:val="1C8925AF"/>
    <w:rsid w:val="1C896A53"/>
    <w:rsid w:val="1C9571A6"/>
    <w:rsid w:val="1C964CCC"/>
    <w:rsid w:val="1C9727F7"/>
    <w:rsid w:val="1C9A2A0F"/>
    <w:rsid w:val="1C9A61BB"/>
    <w:rsid w:val="1C9B0535"/>
    <w:rsid w:val="1C9D24FF"/>
    <w:rsid w:val="1CA67605"/>
    <w:rsid w:val="1CAE64BA"/>
    <w:rsid w:val="1CB55994"/>
    <w:rsid w:val="1CB82E85"/>
    <w:rsid w:val="1CC161ED"/>
    <w:rsid w:val="1CC63804"/>
    <w:rsid w:val="1CC7132A"/>
    <w:rsid w:val="1CCB706C"/>
    <w:rsid w:val="1CCC06EE"/>
    <w:rsid w:val="1CDD6D9F"/>
    <w:rsid w:val="1CE67A02"/>
    <w:rsid w:val="1CEC0D90"/>
    <w:rsid w:val="1CF0262F"/>
    <w:rsid w:val="1CF163A7"/>
    <w:rsid w:val="1CF30371"/>
    <w:rsid w:val="1CF91695"/>
    <w:rsid w:val="1CFD2F9D"/>
    <w:rsid w:val="1CFD4D4B"/>
    <w:rsid w:val="1CFE11EF"/>
    <w:rsid w:val="1D06266A"/>
    <w:rsid w:val="1D0D31E0"/>
    <w:rsid w:val="1D0E51AB"/>
    <w:rsid w:val="1D100F23"/>
    <w:rsid w:val="1D102CD1"/>
    <w:rsid w:val="1D1327C1"/>
    <w:rsid w:val="1D13631D"/>
    <w:rsid w:val="1D175E0D"/>
    <w:rsid w:val="1D181B85"/>
    <w:rsid w:val="1D1C1676"/>
    <w:rsid w:val="1D1F4CC2"/>
    <w:rsid w:val="1D24677C"/>
    <w:rsid w:val="1D261C54"/>
    <w:rsid w:val="1D2F75FB"/>
    <w:rsid w:val="1D303373"/>
    <w:rsid w:val="1D372BD9"/>
    <w:rsid w:val="1D3764AF"/>
    <w:rsid w:val="1D3F35B6"/>
    <w:rsid w:val="1D44297A"/>
    <w:rsid w:val="1D484219"/>
    <w:rsid w:val="1D4B1F5B"/>
    <w:rsid w:val="1D4B3D09"/>
    <w:rsid w:val="1D4D5CD3"/>
    <w:rsid w:val="1D4E79D0"/>
    <w:rsid w:val="1D525097"/>
    <w:rsid w:val="1D556936"/>
    <w:rsid w:val="1D57445C"/>
    <w:rsid w:val="1D594678"/>
    <w:rsid w:val="1D596426"/>
    <w:rsid w:val="1D5C7CC4"/>
    <w:rsid w:val="1D5D57EA"/>
    <w:rsid w:val="1D6372A4"/>
    <w:rsid w:val="1D686669"/>
    <w:rsid w:val="1D70551D"/>
    <w:rsid w:val="1D7274E7"/>
    <w:rsid w:val="1D7414B2"/>
    <w:rsid w:val="1D756FD8"/>
    <w:rsid w:val="1D7768AC"/>
    <w:rsid w:val="1D7B2840"/>
    <w:rsid w:val="1D880AB9"/>
    <w:rsid w:val="1D8965DF"/>
    <w:rsid w:val="1D8D2573"/>
    <w:rsid w:val="1D90796E"/>
    <w:rsid w:val="1D990F18"/>
    <w:rsid w:val="1D9B6A3E"/>
    <w:rsid w:val="1D9F5E03"/>
    <w:rsid w:val="1DA17DCD"/>
    <w:rsid w:val="1DA82F09"/>
    <w:rsid w:val="1DA90A2F"/>
    <w:rsid w:val="1DAA4ED3"/>
    <w:rsid w:val="1DAC581B"/>
    <w:rsid w:val="1DAF5941"/>
    <w:rsid w:val="1DB16262"/>
    <w:rsid w:val="1DB23D88"/>
    <w:rsid w:val="1DBC6B9D"/>
    <w:rsid w:val="1DBE5162"/>
    <w:rsid w:val="1DC046F7"/>
    <w:rsid w:val="1DCD471E"/>
    <w:rsid w:val="1DD41F50"/>
    <w:rsid w:val="1DD45AAC"/>
    <w:rsid w:val="1DE06B47"/>
    <w:rsid w:val="1DE101C9"/>
    <w:rsid w:val="1DE2466D"/>
    <w:rsid w:val="1DE5415D"/>
    <w:rsid w:val="1DED413E"/>
    <w:rsid w:val="1DED6B6E"/>
    <w:rsid w:val="1DEF6D8A"/>
    <w:rsid w:val="1DF0665E"/>
    <w:rsid w:val="1DF779ED"/>
    <w:rsid w:val="1DF919B7"/>
    <w:rsid w:val="1DFB572F"/>
    <w:rsid w:val="1DFE521F"/>
    <w:rsid w:val="1E004AF3"/>
    <w:rsid w:val="1E0068A1"/>
    <w:rsid w:val="1E05035C"/>
    <w:rsid w:val="1E0565AE"/>
    <w:rsid w:val="1E0711A2"/>
    <w:rsid w:val="1E0A5972"/>
    <w:rsid w:val="1E0E2721"/>
    <w:rsid w:val="1E114F52"/>
    <w:rsid w:val="1E122A78"/>
    <w:rsid w:val="1E124827"/>
    <w:rsid w:val="1E1265D5"/>
    <w:rsid w:val="1E171E3D"/>
    <w:rsid w:val="1E2307E2"/>
    <w:rsid w:val="1E2527AC"/>
    <w:rsid w:val="1E2A5821"/>
    <w:rsid w:val="1E2A6014"/>
    <w:rsid w:val="1E2D14FE"/>
    <w:rsid w:val="1E2D1660"/>
    <w:rsid w:val="1E2E78B2"/>
    <w:rsid w:val="1E326C77"/>
    <w:rsid w:val="1E340C41"/>
    <w:rsid w:val="1E37428D"/>
    <w:rsid w:val="1E3D18A3"/>
    <w:rsid w:val="1E42335E"/>
    <w:rsid w:val="1E4A2212"/>
    <w:rsid w:val="1E4C5F8A"/>
    <w:rsid w:val="1E4C7D38"/>
    <w:rsid w:val="1E4E1D03"/>
    <w:rsid w:val="1E4F15D7"/>
    <w:rsid w:val="1E4F496B"/>
    <w:rsid w:val="1E543091"/>
    <w:rsid w:val="1E546BED"/>
    <w:rsid w:val="1E5B441F"/>
    <w:rsid w:val="1E5E7A6C"/>
    <w:rsid w:val="1E6037E4"/>
    <w:rsid w:val="1E62130A"/>
    <w:rsid w:val="1E652BA8"/>
    <w:rsid w:val="1E6A6411"/>
    <w:rsid w:val="1E6F1C79"/>
    <w:rsid w:val="1E6F3A27"/>
    <w:rsid w:val="1E7159F1"/>
    <w:rsid w:val="1E763007"/>
    <w:rsid w:val="1E7D7EF2"/>
    <w:rsid w:val="1E7E3C6A"/>
    <w:rsid w:val="1E7E5C49"/>
    <w:rsid w:val="1E8474D2"/>
    <w:rsid w:val="1E8F5E77"/>
    <w:rsid w:val="1E960FB4"/>
    <w:rsid w:val="1E967206"/>
    <w:rsid w:val="1E9811D0"/>
    <w:rsid w:val="1E9D67E6"/>
    <w:rsid w:val="1E9F255E"/>
    <w:rsid w:val="1EA47B74"/>
    <w:rsid w:val="1EAE27A1"/>
    <w:rsid w:val="1EBA2EF4"/>
    <w:rsid w:val="1EBF3D51"/>
    <w:rsid w:val="1EBF675C"/>
    <w:rsid w:val="1EC0236C"/>
    <w:rsid w:val="1EC975DB"/>
    <w:rsid w:val="1ECC70CB"/>
    <w:rsid w:val="1ECF44C6"/>
    <w:rsid w:val="1ED146E2"/>
    <w:rsid w:val="1ED41ADC"/>
    <w:rsid w:val="1ED55F80"/>
    <w:rsid w:val="1EDA5344"/>
    <w:rsid w:val="1EDB62F3"/>
    <w:rsid w:val="1EDD3086"/>
    <w:rsid w:val="1EDD6BE3"/>
    <w:rsid w:val="1EDF6DFF"/>
    <w:rsid w:val="1EE00215"/>
    <w:rsid w:val="1EE12B77"/>
    <w:rsid w:val="1EE22B35"/>
    <w:rsid w:val="1EE47F71"/>
    <w:rsid w:val="1EE75CB3"/>
    <w:rsid w:val="1EEE0DF0"/>
    <w:rsid w:val="1EF1268E"/>
    <w:rsid w:val="1EF36406"/>
    <w:rsid w:val="1EF5217E"/>
    <w:rsid w:val="1EF53F2C"/>
    <w:rsid w:val="1EF74148"/>
    <w:rsid w:val="1EF81C6E"/>
    <w:rsid w:val="1EFA59E6"/>
    <w:rsid w:val="1EFC175F"/>
    <w:rsid w:val="1EFD54D7"/>
    <w:rsid w:val="1EFE1CD6"/>
    <w:rsid w:val="1EFF4DAB"/>
    <w:rsid w:val="1F022AED"/>
    <w:rsid w:val="1F040613"/>
    <w:rsid w:val="1F0423C1"/>
    <w:rsid w:val="1F046865"/>
    <w:rsid w:val="1F066139"/>
    <w:rsid w:val="1F136AA8"/>
    <w:rsid w:val="1F152820"/>
    <w:rsid w:val="1F170346"/>
    <w:rsid w:val="1F1903A6"/>
    <w:rsid w:val="1F1C3BAF"/>
    <w:rsid w:val="1F1C595D"/>
    <w:rsid w:val="1F204D21"/>
    <w:rsid w:val="1F26058A"/>
    <w:rsid w:val="1F2962CC"/>
    <w:rsid w:val="1F2B3DF2"/>
    <w:rsid w:val="1F2E5690"/>
    <w:rsid w:val="1F301408"/>
    <w:rsid w:val="1F3D3B25"/>
    <w:rsid w:val="1F413615"/>
    <w:rsid w:val="1F4D3D68"/>
    <w:rsid w:val="1F5844BB"/>
    <w:rsid w:val="1F5A46D7"/>
    <w:rsid w:val="1F5A5839"/>
    <w:rsid w:val="1F5F3A9B"/>
    <w:rsid w:val="1F63358C"/>
    <w:rsid w:val="1F642E60"/>
    <w:rsid w:val="1F657590"/>
    <w:rsid w:val="1F6A2B6C"/>
    <w:rsid w:val="1F713AC0"/>
    <w:rsid w:val="1F7237CF"/>
    <w:rsid w:val="1F751511"/>
    <w:rsid w:val="1F777037"/>
    <w:rsid w:val="1F813A12"/>
    <w:rsid w:val="1F861028"/>
    <w:rsid w:val="1F881244"/>
    <w:rsid w:val="1F882FF2"/>
    <w:rsid w:val="1F890B7E"/>
    <w:rsid w:val="1F8B663F"/>
    <w:rsid w:val="1F9E45C4"/>
    <w:rsid w:val="1F9F20EA"/>
    <w:rsid w:val="1FA37E2C"/>
    <w:rsid w:val="1FA40E26"/>
    <w:rsid w:val="1FA47700"/>
    <w:rsid w:val="1FAB4F33"/>
    <w:rsid w:val="1FAB6CE1"/>
    <w:rsid w:val="1FAC6571"/>
    <w:rsid w:val="1FB21E1D"/>
    <w:rsid w:val="1FB42039"/>
    <w:rsid w:val="1FB77434"/>
    <w:rsid w:val="1FB931AC"/>
    <w:rsid w:val="1FBC0EEE"/>
    <w:rsid w:val="1FBE6A14"/>
    <w:rsid w:val="1FBF278C"/>
    <w:rsid w:val="1FC21ED8"/>
    <w:rsid w:val="1FC447F8"/>
    <w:rsid w:val="1FC95A99"/>
    <w:rsid w:val="1FCD4EA9"/>
    <w:rsid w:val="1FCF0C21"/>
    <w:rsid w:val="1FDA015E"/>
    <w:rsid w:val="1FDC333E"/>
    <w:rsid w:val="1FDE0E64"/>
    <w:rsid w:val="1FDE2C12"/>
    <w:rsid w:val="1FE02E2E"/>
    <w:rsid w:val="1FE04BDC"/>
    <w:rsid w:val="1FE22844"/>
    <w:rsid w:val="1FE30229"/>
    <w:rsid w:val="1FEA7809"/>
    <w:rsid w:val="1FEC17D3"/>
    <w:rsid w:val="1FED554B"/>
    <w:rsid w:val="1FED72F9"/>
    <w:rsid w:val="1FF40688"/>
    <w:rsid w:val="1FFC753C"/>
    <w:rsid w:val="1FFC7D20"/>
    <w:rsid w:val="1FFE1506"/>
    <w:rsid w:val="2001740F"/>
    <w:rsid w:val="200308CB"/>
    <w:rsid w:val="20084133"/>
    <w:rsid w:val="200A1C59"/>
    <w:rsid w:val="20142AD8"/>
    <w:rsid w:val="20216FA3"/>
    <w:rsid w:val="202251F5"/>
    <w:rsid w:val="2025634A"/>
    <w:rsid w:val="202866BE"/>
    <w:rsid w:val="202D1DEC"/>
    <w:rsid w:val="202D76F6"/>
    <w:rsid w:val="20337402"/>
    <w:rsid w:val="20384A18"/>
    <w:rsid w:val="20390790"/>
    <w:rsid w:val="203C5B8B"/>
    <w:rsid w:val="20450EE3"/>
    <w:rsid w:val="204809D3"/>
    <w:rsid w:val="204C4020"/>
    <w:rsid w:val="204F58BE"/>
    <w:rsid w:val="205B4263"/>
    <w:rsid w:val="205E01F7"/>
    <w:rsid w:val="20605D1D"/>
    <w:rsid w:val="20607ACB"/>
    <w:rsid w:val="20621A95"/>
    <w:rsid w:val="20623843"/>
    <w:rsid w:val="20631369"/>
    <w:rsid w:val="20653333"/>
    <w:rsid w:val="20684DD7"/>
    <w:rsid w:val="206A094A"/>
    <w:rsid w:val="206C46C2"/>
    <w:rsid w:val="206D21E8"/>
    <w:rsid w:val="207B66B3"/>
    <w:rsid w:val="207D68CF"/>
    <w:rsid w:val="207E43F5"/>
    <w:rsid w:val="20801F1B"/>
    <w:rsid w:val="20823EE5"/>
    <w:rsid w:val="208843C1"/>
    <w:rsid w:val="20895851"/>
    <w:rsid w:val="208E288A"/>
    <w:rsid w:val="209239FD"/>
    <w:rsid w:val="209E23A2"/>
    <w:rsid w:val="20A0436C"/>
    <w:rsid w:val="20A7394C"/>
    <w:rsid w:val="20A774A8"/>
    <w:rsid w:val="20A91472"/>
    <w:rsid w:val="20A943A5"/>
    <w:rsid w:val="20AC0F62"/>
    <w:rsid w:val="20B816B5"/>
    <w:rsid w:val="20B83463"/>
    <w:rsid w:val="20C462AC"/>
    <w:rsid w:val="20C55B80"/>
    <w:rsid w:val="20CA13E8"/>
    <w:rsid w:val="20CC6F0F"/>
    <w:rsid w:val="20CE56C6"/>
    <w:rsid w:val="20DD111C"/>
    <w:rsid w:val="20E24984"/>
    <w:rsid w:val="20E406FC"/>
    <w:rsid w:val="20E424AA"/>
    <w:rsid w:val="20E701EC"/>
    <w:rsid w:val="20E95D13"/>
    <w:rsid w:val="20F16975"/>
    <w:rsid w:val="20F546B7"/>
    <w:rsid w:val="20FD531A"/>
    <w:rsid w:val="210448FA"/>
    <w:rsid w:val="21093CBF"/>
    <w:rsid w:val="210963B5"/>
    <w:rsid w:val="211014F1"/>
    <w:rsid w:val="21130FE1"/>
    <w:rsid w:val="211508B6"/>
    <w:rsid w:val="211663DC"/>
    <w:rsid w:val="211865F8"/>
    <w:rsid w:val="21334C40"/>
    <w:rsid w:val="213811FB"/>
    <w:rsid w:val="213A031C"/>
    <w:rsid w:val="213B5E42"/>
    <w:rsid w:val="213F5933"/>
    <w:rsid w:val="214178FD"/>
    <w:rsid w:val="214C62A1"/>
    <w:rsid w:val="214D44F3"/>
    <w:rsid w:val="215238B8"/>
    <w:rsid w:val="215A09BE"/>
    <w:rsid w:val="215A451A"/>
    <w:rsid w:val="215D400B"/>
    <w:rsid w:val="215F7D83"/>
    <w:rsid w:val="216058A9"/>
    <w:rsid w:val="21611D4D"/>
    <w:rsid w:val="216435EB"/>
    <w:rsid w:val="21674E89"/>
    <w:rsid w:val="21692022"/>
    <w:rsid w:val="216929AF"/>
    <w:rsid w:val="217355DC"/>
    <w:rsid w:val="21747CD2"/>
    <w:rsid w:val="21780E44"/>
    <w:rsid w:val="217A2E0F"/>
    <w:rsid w:val="217A696B"/>
    <w:rsid w:val="21815F4B"/>
    <w:rsid w:val="218551D4"/>
    <w:rsid w:val="218B501C"/>
    <w:rsid w:val="218B5042"/>
    <w:rsid w:val="218D2B42"/>
    <w:rsid w:val="218E68BA"/>
    <w:rsid w:val="21921F06"/>
    <w:rsid w:val="219C4B33"/>
    <w:rsid w:val="219E4D4F"/>
    <w:rsid w:val="219F63D1"/>
    <w:rsid w:val="21A734D8"/>
    <w:rsid w:val="21A76846"/>
    <w:rsid w:val="21AB7A5B"/>
    <w:rsid w:val="21AC5E36"/>
    <w:rsid w:val="21AD0A07"/>
    <w:rsid w:val="21AD6D40"/>
    <w:rsid w:val="21AE2AB8"/>
    <w:rsid w:val="21B005DE"/>
    <w:rsid w:val="21B72F49"/>
    <w:rsid w:val="21B75E11"/>
    <w:rsid w:val="21BA320B"/>
    <w:rsid w:val="21BE0F4D"/>
    <w:rsid w:val="21BE719F"/>
    <w:rsid w:val="21BF6A73"/>
    <w:rsid w:val="21C172B9"/>
    <w:rsid w:val="21C81DCC"/>
    <w:rsid w:val="21CF315A"/>
    <w:rsid w:val="21D20555"/>
    <w:rsid w:val="21D544E9"/>
    <w:rsid w:val="21D70261"/>
    <w:rsid w:val="21D7200F"/>
    <w:rsid w:val="21E12E8E"/>
    <w:rsid w:val="21FF50C2"/>
    <w:rsid w:val="22010E3A"/>
    <w:rsid w:val="220D3C83"/>
    <w:rsid w:val="221B014E"/>
    <w:rsid w:val="221C3EC6"/>
    <w:rsid w:val="221F7512"/>
    <w:rsid w:val="222334A6"/>
    <w:rsid w:val="222A0391"/>
    <w:rsid w:val="222D1C2F"/>
    <w:rsid w:val="22327245"/>
    <w:rsid w:val="22342FBD"/>
    <w:rsid w:val="22482F0D"/>
    <w:rsid w:val="224A27E1"/>
    <w:rsid w:val="22574EFE"/>
    <w:rsid w:val="22600256"/>
    <w:rsid w:val="22680EB9"/>
    <w:rsid w:val="226D4721"/>
    <w:rsid w:val="226D64CF"/>
    <w:rsid w:val="226F0499"/>
    <w:rsid w:val="226F199F"/>
    <w:rsid w:val="226F2247"/>
    <w:rsid w:val="22717D6E"/>
    <w:rsid w:val="227B6E3E"/>
    <w:rsid w:val="227C4964"/>
    <w:rsid w:val="228B11B3"/>
    <w:rsid w:val="228F28EA"/>
    <w:rsid w:val="228F6446"/>
    <w:rsid w:val="229C0B63"/>
    <w:rsid w:val="22A04AF7"/>
    <w:rsid w:val="22A068A5"/>
    <w:rsid w:val="22A53EBB"/>
    <w:rsid w:val="22A77C33"/>
    <w:rsid w:val="22AD2D70"/>
    <w:rsid w:val="22AF0896"/>
    <w:rsid w:val="22B10AB2"/>
    <w:rsid w:val="22B3482A"/>
    <w:rsid w:val="22B660C8"/>
    <w:rsid w:val="22C02987"/>
    <w:rsid w:val="22C02AA3"/>
    <w:rsid w:val="22C500B9"/>
    <w:rsid w:val="22C5630B"/>
    <w:rsid w:val="22CC769A"/>
    <w:rsid w:val="22D84291"/>
    <w:rsid w:val="22DA1DB7"/>
    <w:rsid w:val="22DB168B"/>
    <w:rsid w:val="22DD3655"/>
    <w:rsid w:val="22E03145"/>
    <w:rsid w:val="22E5075C"/>
    <w:rsid w:val="22EC5943"/>
    <w:rsid w:val="22F15352"/>
    <w:rsid w:val="22F75627"/>
    <w:rsid w:val="22FF181D"/>
    <w:rsid w:val="230010F2"/>
    <w:rsid w:val="23007343"/>
    <w:rsid w:val="23046E34"/>
    <w:rsid w:val="23056708"/>
    <w:rsid w:val="23061C85"/>
    <w:rsid w:val="23076924"/>
    <w:rsid w:val="230E03FD"/>
    <w:rsid w:val="23144B9D"/>
    <w:rsid w:val="23166B67"/>
    <w:rsid w:val="23194D3B"/>
    <w:rsid w:val="231B63A7"/>
    <w:rsid w:val="231E77CA"/>
    <w:rsid w:val="2322550C"/>
    <w:rsid w:val="23250B58"/>
    <w:rsid w:val="23256DAA"/>
    <w:rsid w:val="233314C7"/>
    <w:rsid w:val="233740CD"/>
    <w:rsid w:val="23386ADD"/>
    <w:rsid w:val="233D5EA2"/>
    <w:rsid w:val="233F7E6C"/>
    <w:rsid w:val="23425BAE"/>
    <w:rsid w:val="234436D4"/>
    <w:rsid w:val="234A05BF"/>
    <w:rsid w:val="234E6301"/>
    <w:rsid w:val="235D02F2"/>
    <w:rsid w:val="23614286"/>
    <w:rsid w:val="2369138D"/>
    <w:rsid w:val="23696C97"/>
    <w:rsid w:val="237017BB"/>
    <w:rsid w:val="23733FB9"/>
    <w:rsid w:val="237813DD"/>
    <w:rsid w:val="237F470C"/>
    <w:rsid w:val="2383244E"/>
    <w:rsid w:val="23847F75"/>
    <w:rsid w:val="238E2BA1"/>
    <w:rsid w:val="239301B8"/>
    <w:rsid w:val="239D4B92"/>
    <w:rsid w:val="23B24AE2"/>
    <w:rsid w:val="23B504ED"/>
    <w:rsid w:val="23B56380"/>
    <w:rsid w:val="23B95E70"/>
    <w:rsid w:val="23BC14BC"/>
    <w:rsid w:val="23BE2382"/>
    <w:rsid w:val="23C2284B"/>
    <w:rsid w:val="23C6233B"/>
    <w:rsid w:val="23C93BD9"/>
    <w:rsid w:val="23CB7951"/>
    <w:rsid w:val="23D0189D"/>
    <w:rsid w:val="23D031BA"/>
    <w:rsid w:val="23D305B4"/>
    <w:rsid w:val="23DE7685"/>
    <w:rsid w:val="23E26A49"/>
    <w:rsid w:val="23E427C1"/>
    <w:rsid w:val="23EA427B"/>
    <w:rsid w:val="23EC6302"/>
    <w:rsid w:val="23ED1676"/>
    <w:rsid w:val="23F0560A"/>
    <w:rsid w:val="23F55382"/>
    <w:rsid w:val="23F5677C"/>
    <w:rsid w:val="23F95193"/>
    <w:rsid w:val="23FE3883"/>
    <w:rsid w:val="23FF13A9"/>
    <w:rsid w:val="240115C5"/>
    <w:rsid w:val="24013373"/>
    <w:rsid w:val="240370EB"/>
    <w:rsid w:val="240510B5"/>
    <w:rsid w:val="24092228"/>
    <w:rsid w:val="240A66CC"/>
    <w:rsid w:val="241F1A4B"/>
    <w:rsid w:val="24217571"/>
    <w:rsid w:val="24286B52"/>
    <w:rsid w:val="242C4E40"/>
    <w:rsid w:val="242D23BA"/>
    <w:rsid w:val="242D5F16"/>
    <w:rsid w:val="243472A5"/>
    <w:rsid w:val="243C43AB"/>
    <w:rsid w:val="24415E66"/>
    <w:rsid w:val="24444B67"/>
    <w:rsid w:val="24447738"/>
    <w:rsid w:val="24480FA2"/>
    <w:rsid w:val="244B45EE"/>
    <w:rsid w:val="245060A9"/>
    <w:rsid w:val="245E07C6"/>
    <w:rsid w:val="24641BC2"/>
    <w:rsid w:val="2472601F"/>
    <w:rsid w:val="24747FE9"/>
    <w:rsid w:val="247A5D05"/>
    <w:rsid w:val="247C6E9E"/>
    <w:rsid w:val="2480698E"/>
    <w:rsid w:val="24877D1C"/>
    <w:rsid w:val="248D0EF7"/>
    <w:rsid w:val="24905F09"/>
    <w:rsid w:val="249064A5"/>
    <w:rsid w:val="24977834"/>
    <w:rsid w:val="249935AC"/>
    <w:rsid w:val="249C309C"/>
    <w:rsid w:val="249E5066"/>
    <w:rsid w:val="249E6E14"/>
    <w:rsid w:val="249F2EC3"/>
    <w:rsid w:val="24A0493A"/>
    <w:rsid w:val="24A361D8"/>
    <w:rsid w:val="24A81A41"/>
    <w:rsid w:val="24AB32DF"/>
    <w:rsid w:val="24B108F5"/>
    <w:rsid w:val="24BB1774"/>
    <w:rsid w:val="24C22B02"/>
    <w:rsid w:val="24C30629"/>
    <w:rsid w:val="24C83E91"/>
    <w:rsid w:val="24C85C3F"/>
    <w:rsid w:val="24CA19B7"/>
    <w:rsid w:val="24CA7C09"/>
    <w:rsid w:val="24CD14A7"/>
    <w:rsid w:val="24D26ABE"/>
    <w:rsid w:val="24D80578"/>
    <w:rsid w:val="24E46F1D"/>
    <w:rsid w:val="24E94533"/>
    <w:rsid w:val="24EC7B7F"/>
    <w:rsid w:val="24EE7D9B"/>
    <w:rsid w:val="24EF141E"/>
    <w:rsid w:val="24F353B2"/>
    <w:rsid w:val="24F46A34"/>
    <w:rsid w:val="24F66C50"/>
    <w:rsid w:val="24FD1D8D"/>
    <w:rsid w:val="25007ACF"/>
    <w:rsid w:val="25076767"/>
    <w:rsid w:val="25090731"/>
    <w:rsid w:val="25096983"/>
    <w:rsid w:val="250A26FB"/>
    <w:rsid w:val="250A6267"/>
    <w:rsid w:val="250E5D48"/>
    <w:rsid w:val="250F386E"/>
    <w:rsid w:val="25140E84"/>
    <w:rsid w:val="251D41DD"/>
    <w:rsid w:val="251F58E7"/>
    <w:rsid w:val="251F61A7"/>
    <w:rsid w:val="252E0198"/>
    <w:rsid w:val="25304A51"/>
    <w:rsid w:val="25396B3D"/>
    <w:rsid w:val="2540611D"/>
    <w:rsid w:val="25407ECB"/>
    <w:rsid w:val="2551032A"/>
    <w:rsid w:val="25585215"/>
    <w:rsid w:val="255E552B"/>
    <w:rsid w:val="256040C9"/>
    <w:rsid w:val="25641E0C"/>
    <w:rsid w:val="25643BBA"/>
    <w:rsid w:val="256911D0"/>
    <w:rsid w:val="256C0CC0"/>
    <w:rsid w:val="25747800"/>
    <w:rsid w:val="257A33DD"/>
    <w:rsid w:val="257B7155"/>
    <w:rsid w:val="257D2ECD"/>
    <w:rsid w:val="258E50DA"/>
    <w:rsid w:val="25910727"/>
    <w:rsid w:val="259326F1"/>
    <w:rsid w:val="25A0096A"/>
    <w:rsid w:val="25A641D2"/>
    <w:rsid w:val="25A869F6"/>
    <w:rsid w:val="25AC5561"/>
    <w:rsid w:val="25B2418F"/>
    <w:rsid w:val="25B80E7F"/>
    <w:rsid w:val="25B82157"/>
    <w:rsid w:val="25B85CB3"/>
    <w:rsid w:val="25BA5ED0"/>
    <w:rsid w:val="25BA7C7E"/>
    <w:rsid w:val="25BC39F6"/>
    <w:rsid w:val="25BD32CA"/>
    <w:rsid w:val="25C1725E"/>
    <w:rsid w:val="25C44658"/>
    <w:rsid w:val="25CF7214"/>
    <w:rsid w:val="25D36F91"/>
    <w:rsid w:val="25D54AB7"/>
    <w:rsid w:val="25D655D1"/>
    <w:rsid w:val="25D725DE"/>
    <w:rsid w:val="25D845A8"/>
    <w:rsid w:val="25D9458E"/>
    <w:rsid w:val="25E46AA9"/>
    <w:rsid w:val="25E76599"/>
    <w:rsid w:val="25EE7927"/>
    <w:rsid w:val="25EF15CA"/>
    <w:rsid w:val="25F211C5"/>
    <w:rsid w:val="25F24B85"/>
    <w:rsid w:val="25F25669"/>
    <w:rsid w:val="25F27756"/>
    <w:rsid w:val="25F3318F"/>
    <w:rsid w:val="25FA2770"/>
    <w:rsid w:val="25FA2F5D"/>
    <w:rsid w:val="25FA451E"/>
    <w:rsid w:val="26040EF9"/>
    <w:rsid w:val="260B2287"/>
    <w:rsid w:val="260E1D77"/>
    <w:rsid w:val="26105AEF"/>
    <w:rsid w:val="26112CDF"/>
    <w:rsid w:val="26121868"/>
    <w:rsid w:val="26170C2C"/>
    <w:rsid w:val="26176E7E"/>
    <w:rsid w:val="26192BF6"/>
    <w:rsid w:val="261D1FBA"/>
    <w:rsid w:val="26233A75"/>
    <w:rsid w:val="26301CEE"/>
    <w:rsid w:val="26342D65"/>
    <w:rsid w:val="26345C82"/>
    <w:rsid w:val="26347A30"/>
    <w:rsid w:val="263F63D5"/>
    <w:rsid w:val="2641214D"/>
    <w:rsid w:val="26431A21"/>
    <w:rsid w:val="26461511"/>
    <w:rsid w:val="26541E80"/>
    <w:rsid w:val="26543C2E"/>
    <w:rsid w:val="265726EA"/>
    <w:rsid w:val="265A320F"/>
    <w:rsid w:val="265A6D6B"/>
    <w:rsid w:val="26667E05"/>
    <w:rsid w:val="266A16A4"/>
    <w:rsid w:val="267267AA"/>
    <w:rsid w:val="26751DF6"/>
    <w:rsid w:val="267D7CB3"/>
    <w:rsid w:val="267E6EFD"/>
    <w:rsid w:val="26867B60"/>
    <w:rsid w:val="26881B2A"/>
    <w:rsid w:val="268A58A2"/>
    <w:rsid w:val="268D7140"/>
    <w:rsid w:val="269A360B"/>
    <w:rsid w:val="269E30FB"/>
    <w:rsid w:val="269E759F"/>
    <w:rsid w:val="26A06E73"/>
    <w:rsid w:val="26A821CC"/>
    <w:rsid w:val="26AA1AA0"/>
    <w:rsid w:val="26AA7CF2"/>
    <w:rsid w:val="26AD333E"/>
    <w:rsid w:val="26B02E2F"/>
    <w:rsid w:val="26B11D6D"/>
    <w:rsid w:val="26B20955"/>
    <w:rsid w:val="26B741BD"/>
    <w:rsid w:val="26B96187"/>
    <w:rsid w:val="26C30DB4"/>
    <w:rsid w:val="26CC5EBA"/>
    <w:rsid w:val="26D44D6F"/>
    <w:rsid w:val="26D94133"/>
    <w:rsid w:val="26DB60FD"/>
    <w:rsid w:val="26E31456"/>
    <w:rsid w:val="26E36D60"/>
    <w:rsid w:val="26F35E32"/>
    <w:rsid w:val="27005B64"/>
    <w:rsid w:val="27035654"/>
    <w:rsid w:val="27076EF2"/>
    <w:rsid w:val="27082C6B"/>
    <w:rsid w:val="27095487"/>
    <w:rsid w:val="270A0791"/>
    <w:rsid w:val="270A253F"/>
    <w:rsid w:val="270D0281"/>
    <w:rsid w:val="27174C5C"/>
    <w:rsid w:val="27196C26"/>
    <w:rsid w:val="271C2272"/>
    <w:rsid w:val="27231852"/>
    <w:rsid w:val="272555CB"/>
    <w:rsid w:val="27257379"/>
    <w:rsid w:val="27313F6F"/>
    <w:rsid w:val="2734580E"/>
    <w:rsid w:val="273677D8"/>
    <w:rsid w:val="27392E24"/>
    <w:rsid w:val="2749750B"/>
    <w:rsid w:val="274A5031"/>
    <w:rsid w:val="275163C0"/>
    <w:rsid w:val="27533EE6"/>
    <w:rsid w:val="27541A0C"/>
    <w:rsid w:val="27545EB0"/>
    <w:rsid w:val="27595274"/>
    <w:rsid w:val="275D6B12"/>
    <w:rsid w:val="276509B1"/>
    <w:rsid w:val="27736336"/>
    <w:rsid w:val="277427C9"/>
    <w:rsid w:val="277902B7"/>
    <w:rsid w:val="277D0F63"/>
    <w:rsid w:val="27846795"/>
    <w:rsid w:val="27897907"/>
    <w:rsid w:val="278C73F8"/>
    <w:rsid w:val="27904839"/>
    <w:rsid w:val="27962024"/>
    <w:rsid w:val="279664C8"/>
    <w:rsid w:val="279938C3"/>
    <w:rsid w:val="279B588D"/>
    <w:rsid w:val="279D7857"/>
    <w:rsid w:val="279F712B"/>
    <w:rsid w:val="27A6495D"/>
    <w:rsid w:val="27A961FC"/>
    <w:rsid w:val="27AE3812"/>
    <w:rsid w:val="27AE55C0"/>
    <w:rsid w:val="27B30E28"/>
    <w:rsid w:val="27B32BD6"/>
    <w:rsid w:val="27BA3F65"/>
    <w:rsid w:val="27C22E19"/>
    <w:rsid w:val="27C6290A"/>
    <w:rsid w:val="27C7291F"/>
    <w:rsid w:val="27C748D4"/>
    <w:rsid w:val="27C9064C"/>
    <w:rsid w:val="27CC3C98"/>
    <w:rsid w:val="27D35027"/>
    <w:rsid w:val="27D50D9F"/>
    <w:rsid w:val="27D843EB"/>
    <w:rsid w:val="27DD40F7"/>
    <w:rsid w:val="27E70AD2"/>
    <w:rsid w:val="27E965F8"/>
    <w:rsid w:val="27F21951"/>
    <w:rsid w:val="27F37477"/>
    <w:rsid w:val="27F54F9D"/>
    <w:rsid w:val="27FA0805"/>
    <w:rsid w:val="27FA406D"/>
    <w:rsid w:val="27FD02F5"/>
    <w:rsid w:val="28017DE6"/>
    <w:rsid w:val="28043432"/>
    <w:rsid w:val="28060F58"/>
    <w:rsid w:val="280653FC"/>
    <w:rsid w:val="280B7BC3"/>
    <w:rsid w:val="280C22E7"/>
    <w:rsid w:val="280D678A"/>
    <w:rsid w:val="281318C7"/>
    <w:rsid w:val="281C4C20"/>
    <w:rsid w:val="281F201A"/>
    <w:rsid w:val="2827306E"/>
    <w:rsid w:val="28292E99"/>
    <w:rsid w:val="282E04AF"/>
    <w:rsid w:val="28327F9F"/>
    <w:rsid w:val="28372B7F"/>
    <w:rsid w:val="283755B5"/>
    <w:rsid w:val="283C2BCC"/>
    <w:rsid w:val="28412338"/>
    <w:rsid w:val="28445F24"/>
    <w:rsid w:val="28463A4A"/>
    <w:rsid w:val="284B1061"/>
    <w:rsid w:val="284E28FF"/>
    <w:rsid w:val="284F6DA3"/>
    <w:rsid w:val="285048C9"/>
    <w:rsid w:val="28506677"/>
    <w:rsid w:val="285A74F6"/>
    <w:rsid w:val="285E6FE6"/>
    <w:rsid w:val="28665E9B"/>
    <w:rsid w:val="28697739"/>
    <w:rsid w:val="286B525F"/>
    <w:rsid w:val="2874680A"/>
    <w:rsid w:val="28815DAD"/>
    <w:rsid w:val="2890116A"/>
    <w:rsid w:val="28996B80"/>
    <w:rsid w:val="28A30E9D"/>
    <w:rsid w:val="28AA222B"/>
    <w:rsid w:val="28AD5878"/>
    <w:rsid w:val="28B81505"/>
    <w:rsid w:val="28B9044A"/>
    <w:rsid w:val="28BC312E"/>
    <w:rsid w:val="28D63020"/>
    <w:rsid w:val="28D70B46"/>
    <w:rsid w:val="28D92B11"/>
    <w:rsid w:val="28D948BF"/>
    <w:rsid w:val="28DC615D"/>
    <w:rsid w:val="28E8012C"/>
    <w:rsid w:val="28E84B02"/>
    <w:rsid w:val="28F074F6"/>
    <w:rsid w:val="28F25980"/>
    <w:rsid w:val="28F45255"/>
    <w:rsid w:val="28F90ABD"/>
    <w:rsid w:val="28FD67FF"/>
    <w:rsid w:val="28FE2577"/>
    <w:rsid w:val="290441D9"/>
    <w:rsid w:val="290B223D"/>
    <w:rsid w:val="29115E06"/>
    <w:rsid w:val="291678C1"/>
    <w:rsid w:val="291D29FD"/>
    <w:rsid w:val="2920604A"/>
    <w:rsid w:val="29211DC2"/>
    <w:rsid w:val="29220014"/>
    <w:rsid w:val="29241954"/>
    <w:rsid w:val="292479DF"/>
    <w:rsid w:val="292518B2"/>
    <w:rsid w:val="292673D8"/>
    <w:rsid w:val="2927387C"/>
    <w:rsid w:val="29283150"/>
    <w:rsid w:val="292875F4"/>
    <w:rsid w:val="292A336C"/>
    <w:rsid w:val="292D0766"/>
    <w:rsid w:val="293202D2"/>
    <w:rsid w:val="293D309F"/>
    <w:rsid w:val="293E2974"/>
    <w:rsid w:val="294A1318"/>
    <w:rsid w:val="294A756A"/>
    <w:rsid w:val="295D46B6"/>
    <w:rsid w:val="296543A4"/>
    <w:rsid w:val="29657F00"/>
    <w:rsid w:val="29685C53"/>
    <w:rsid w:val="296879F1"/>
    <w:rsid w:val="296C74E1"/>
    <w:rsid w:val="29746395"/>
    <w:rsid w:val="297812F4"/>
    <w:rsid w:val="29781C05"/>
    <w:rsid w:val="29787C34"/>
    <w:rsid w:val="297A3BDE"/>
    <w:rsid w:val="298C7B83"/>
    <w:rsid w:val="298E56A9"/>
    <w:rsid w:val="298F4F7D"/>
    <w:rsid w:val="299407E6"/>
    <w:rsid w:val="29954C89"/>
    <w:rsid w:val="2996630C"/>
    <w:rsid w:val="299D3B3E"/>
    <w:rsid w:val="299E3412"/>
    <w:rsid w:val="29A24CB1"/>
    <w:rsid w:val="29A857CC"/>
    <w:rsid w:val="29AC3D81"/>
    <w:rsid w:val="29AE5D4B"/>
    <w:rsid w:val="29BA649E"/>
    <w:rsid w:val="29BB5D72"/>
    <w:rsid w:val="29BE37C1"/>
    <w:rsid w:val="29C9048F"/>
    <w:rsid w:val="29CD6057"/>
    <w:rsid w:val="29D67050"/>
    <w:rsid w:val="29DA08EE"/>
    <w:rsid w:val="29DA269C"/>
    <w:rsid w:val="29DB4666"/>
    <w:rsid w:val="29DE29B8"/>
    <w:rsid w:val="29E4176D"/>
    <w:rsid w:val="29E7300B"/>
    <w:rsid w:val="29E74DB9"/>
    <w:rsid w:val="29EF3C6E"/>
    <w:rsid w:val="29F15C38"/>
    <w:rsid w:val="29F179E6"/>
    <w:rsid w:val="29F23E8A"/>
    <w:rsid w:val="29FA0F90"/>
    <w:rsid w:val="2A0140CD"/>
    <w:rsid w:val="2A0C2A72"/>
    <w:rsid w:val="2A0E0598"/>
    <w:rsid w:val="2A1A518F"/>
    <w:rsid w:val="2A202079"/>
    <w:rsid w:val="2A225DF1"/>
    <w:rsid w:val="2A2B114A"/>
    <w:rsid w:val="2A2C6C70"/>
    <w:rsid w:val="2A3E70CF"/>
    <w:rsid w:val="2A497822"/>
    <w:rsid w:val="2A4D10C0"/>
    <w:rsid w:val="2A524929"/>
    <w:rsid w:val="2A564367"/>
    <w:rsid w:val="2A5A1A2F"/>
    <w:rsid w:val="2A701253"/>
    <w:rsid w:val="2A720B27"/>
    <w:rsid w:val="2A790E29"/>
    <w:rsid w:val="2A7A5C2D"/>
    <w:rsid w:val="2A7C3754"/>
    <w:rsid w:val="2A7F1496"/>
    <w:rsid w:val="2A830F86"/>
    <w:rsid w:val="2A895E70"/>
    <w:rsid w:val="2A922F77"/>
    <w:rsid w:val="2A944F41"/>
    <w:rsid w:val="2A991B63"/>
    <w:rsid w:val="2A992557"/>
    <w:rsid w:val="2A9A62D0"/>
    <w:rsid w:val="2A9C07D1"/>
    <w:rsid w:val="2AA35184"/>
    <w:rsid w:val="2AA368F4"/>
    <w:rsid w:val="2AA92766"/>
    <w:rsid w:val="2AB4113F"/>
    <w:rsid w:val="2AB70C30"/>
    <w:rsid w:val="2ABC4498"/>
    <w:rsid w:val="2AC05D36"/>
    <w:rsid w:val="2AC1560A"/>
    <w:rsid w:val="2AC5334C"/>
    <w:rsid w:val="2ACD3FAF"/>
    <w:rsid w:val="2AD4533E"/>
    <w:rsid w:val="2AD64354"/>
    <w:rsid w:val="2ADC2444"/>
    <w:rsid w:val="2ADE440E"/>
    <w:rsid w:val="2AE632C3"/>
    <w:rsid w:val="2AE8528D"/>
    <w:rsid w:val="2AEC6B2B"/>
    <w:rsid w:val="2AEE096E"/>
    <w:rsid w:val="2AF23A16"/>
    <w:rsid w:val="2AF4778E"/>
    <w:rsid w:val="2AFA28CA"/>
    <w:rsid w:val="2AFE685E"/>
    <w:rsid w:val="2B083239"/>
    <w:rsid w:val="2B0A5203"/>
    <w:rsid w:val="2B0F6376"/>
    <w:rsid w:val="2B12230A"/>
    <w:rsid w:val="2B125E66"/>
    <w:rsid w:val="2B176EBB"/>
    <w:rsid w:val="2B195446"/>
    <w:rsid w:val="2B1B11BE"/>
    <w:rsid w:val="2B1C6CE5"/>
    <w:rsid w:val="2B231E21"/>
    <w:rsid w:val="2B2A31B0"/>
    <w:rsid w:val="2B2F4C6A"/>
    <w:rsid w:val="2B2F6A18"/>
    <w:rsid w:val="2B312790"/>
    <w:rsid w:val="2B3202B6"/>
    <w:rsid w:val="2B33475A"/>
    <w:rsid w:val="2B3758CC"/>
    <w:rsid w:val="2B3C2EE3"/>
    <w:rsid w:val="2B4029D3"/>
    <w:rsid w:val="2B4104F9"/>
    <w:rsid w:val="2B411401"/>
    <w:rsid w:val="2B4B5792"/>
    <w:rsid w:val="2B4D3342"/>
    <w:rsid w:val="2B4E5917"/>
    <w:rsid w:val="2B520958"/>
    <w:rsid w:val="2B522706"/>
    <w:rsid w:val="2B536BB8"/>
    <w:rsid w:val="2B5621F6"/>
    <w:rsid w:val="2B563FA5"/>
    <w:rsid w:val="2B595843"/>
    <w:rsid w:val="2B634913"/>
    <w:rsid w:val="2B664C8C"/>
    <w:rsid w:val="2B724B56"/>
    <w:rsid w:val="2B7B1C5D"/>
    <w:rsid w:val="2B7B4934"/>
    <w:rsid w:val="2B7E34FB"/>
    <w:rsid w:val="2B801021"/>
    <w:rsid w:val="2B8C5C18"/>
    <w:rsid w:val="2B8F5708"/>
    <w:rsid w:val="2B93404B"/>
    <w:rsid w:val="2B942D1F"/>
    <w:rsid w:val="2B944ACD"/>
    <w:rsid w:val="2B98280F"/>
    <w:rsid w:val="2B9920E3"/>
    <w:rsid w:val="2B9B5E5B"/>
    <w:rsid w:val="2BA74800"/>
    <w:rsid w:val="2BAA6270"/>
    <w:rsid w:val="2BAF7D32"/>
    <w:rsid w:val="2BB533C1"/>
    <w:rsid w:val="2BBC3256"/>
    <w:rsid w:val="2BC43604"/>
    <w:rsid w:val="2BC74EA2"/>
    <w:rsid w:val="2BC90C1A"/>
    <w:rsid w:val="2BCE7FDF"/>
    <w:rsid w:val="2BD11BB1"/>
    <w:rsid w:val="2BD355F5"/>
    <w:rsid w:val="2BD4136D"/>
    <w:rsid w:val="2BD414DD"/>
    <w:rsid w:val="2BD55811"/>
    <w:rsid w:val="2BD650E5"/>
    <w:rsid w:val="2BD82C0B"/>
    <w:rsid w:val="2BDB7C6F"/>
    <w:rsid w:val="2BDD6474"/>
    <w:rsid w:val="2BE5357A"/>
    <w:rsid w:val="2BE55328"/>
    <w:rsid w:val="2BE94E44"/>
    <w:rsid w:val="2BEA0B91"/>
    <w:rsid w:val="2BEF7F55"/>
    <w:rsid w:val="2BF043F9"/>
    <w:rsid w:val="2BF13CCD"/>
    <w:rsid w:val="2BF51A0F"/>
    <w:rsid w:val="2BF67536"/>
    <w:rsid w:val="2BFB2D9E"/>
    <w:rsid w:val="2BFB4B4C"/>
    <w:rsid w:val="2BFB7259"/>
    <w:rsid w:val="2C050C45"/>
    <w:rsid w:val="2C0559CB"/>
    <w:rsid w:val="2C0B1233"/>
    <w:rsid w:val="2C1125C1"/>
    <w:rsid w:val="2C11436F"/>
    <w:rsid w:val="2C1F6A8C"/>
    <w:rsid w:val="2C2045B2"/>
    <w:rsid w:val="2C2422F5"/>
    <w:rsid w:val="2C275941"/>
    <w:rsid w:val="2C2B3683"/>
    <w:rsid w:val="2C2C11A9"/>
    <w:rsid w:val="2C2E6CCF"/>
    <w:rsid w:val="2C3167C0"/>
    <w:rsid w:val="2C35005E"/>
    <w:rsid w:val="2C351E0C"/>
    <w:rsid w:val="2C416A03"/>
    <w:rsid w:val="2C475FE3"/>
    <w:rsid w:val="2C477D91"/>
    <w:rsid w:val="2C4B162F"/>
    <w:rsid w:val="2C4E7372"/>
    <w:rsid w:val="2C504E98"/>
    <w:rsid w:val="2C534988"/>
    <w:rsid w:val="2C5524AE"/>
    <w:rsid w:val="2C5A1872"/>
    <w:rsid w:val="2C5A5D16"/>
    <w:rsid w:val="2C5F157F"/>
    <w:rsid w:val="2C66290D"/>
    <w:rsid w:val="2C697D08"/>
    <w:rsid w:val="2C6B1CD2"/>
    <w:rsid w:val="2C6C77F8"/>
    <w:rsid w:val="2C736DD8"/>
    <w:rsid w:val="2C7768C8"/>
    <w:rsid w:val="2C7C76E8"/>
    <w:rsid w:val="2C7C7A3B"/>
    <w:rsid w:val="2C7F752B"/>
    <w:rsid w:val="2C842D93"/>
    <w:rsid w:val="2C864D5D"/>
    <w:rsid w:val="2C8D1C48"/>
    <w:rsid w:val="2C8E776E"/>
    <w:rsid w:val="2C9254B0"/>
    <w:rsid w:val="2C970D19"/>
    <w:rsid w:val="2C9805ED"/>
    <w:rsid w:val="2C9C632F"/>
    <w:rsid w:val="2C9F197B"/>
    <w:rsid w:val="2CA13945"/>
    <w:rsid w:val="2CA3146B"/>
    <w:rsid w:val="2CA62D0A"/>
    <w:rsid w:val="2CA64AB8"/>
    <w:rsid w:val="2CA97F85"/>
    <w:rsid w:val="2CAE1BBE"/>
    <w:rsid w:val="2CB01DDA"/>
    <w:rsid w:val="2CB27900"/>
    <w:rsid w:val="2CB573F1"/>
    <w:rsid w:val="2CB90C8F"/>
    <w:rsid w:val="2CC17B44"/>
    <w:rsid w:val="2CC3566A"/>
    <w:rsid w:val="2CCE2260"/>
    <w:rsid w:val="2CCF04B2"/>
    <w:rsid w:val="2CD0422B"/>
    <w:rsid w:val="2CD23AFF"/>
    <w:rsid w:val="2CD930DF"/>
    <w:rsid w:val="2CD94E8D"/>
    <w:rsid w:val="2CDA6E57"/>
    <w:rsid w:val="2CDE06F5"/>
    <w:rsid w:val="2CE37ABA"/>
    <w:rsid w:val="2CE43832"/>
    <w:rsid w:val="2CE675AA"/>
    <w:rsid w:val="2CF25F4F"/>
    <w:rsid w:val="2CF717B7"/>
    <w:rsid w:val="2CF73565"/>
    <w:rsid w:val="2CF9108B"/>
    <w:rsid w:val="2CFE66A2"/>
    <w:rsid w:val="2CFF066C"/>
    <w:rsid w:val="2D0143E4"/>
    <w:rsid w:val="2D016192"/>
    <w:rsid w:val="2D0A773C"/>
    <w:rsid w:val="2D0D0FDB"/>
    <w:rsid w:val="2D151C3D"/>
    <w:rsid w:val="2D157E8F"/>
    <w:rsid w:val="2D1660E1"/>
    <w:rsid w:val="2D1934DC"/>
    <w:rsid w:val="2D1A62EC"/>
    <w:rsid w:val="2D1C2FCC"/>
    <w:rsid w:val="2D1E4F96"/>
    <w:rsid w:val="2D2325AC"/>
    <w:rsid w:val="2D241E80"/>
    <w:rsid w:val="2D2500D2"/>
    <w:rsid w:val="2D285E15"/>
    <w:rsid w:val="2D2B1556"/>
    <w:rsid w:val="2D2B320F"/>
    <w:rsid w:val="2D2F0F51"/>
    <w:rsid w:val="2D377E06"/>
    <w:rsid w:val="2D3B78F6"/>
    <w:rsid w:val="2D482013"/>
    <w:rsid w:val="2D4C04E1"/>
    <w:rsid w:val="2D4D13D7"/>
    <w:rsid w:val="2D517119"/>
    <w:rsid w:val="2D572256"/>
    <w:rsid w:val="2D597D7C"/>
    <w:rsid w:val="2D5B77E0"/>
    <w:rsid w:val="2D5B7F98"/>
    <w:rsid w:val="2D6B7AAF"/>
    <w:rsid w:val="2D7075A0"/>
    <w:rsid w:val="2D720E3E"/>
    <w:rsid w:val="2D727090"/>
    <w:rsid w:val="2D744BB6"/>
    <w:rsid w:val="2D7828F8"/>
    <w:rsid w:val="2D825525"/>
    <w:rsid w:val="2D8B3CEE"/>
    <w:rsid w:val="2D8F379E"/>
    <w:rsid w:val="2D944DA0"/>
    <w:rsid w:val="2D945258"/>
    <w:rsid w:val="2D947006"/>
    <w:rsid w:val="2D9D49C2"/>
    <w:rsid w:val="2DA973A0"/>
    <w:rsid w:val="2DAF2092"/>
    <w:rsid w:val="2DB43204"/>
    <w:rsid w:val="2DBD3FAC"/>
    <w:rsid w:val="2DBE22D5"/>
    <w:rsid w:val="2DBE4083"/>
    <w:rsid w:val="2DC378EB"/>
    <w:rsid w:val="2DCC49F2"/>
    <w:rsid w:val="2DD438A6"/>
    <w:rsid w:val="2DD45655"/>
    <w:rsid w:val="2DDC4D6E"/>
    <w:rsid w:val="2DE77219"/>
    <w:rsid w:val="2DEF248E"/>
    <w:rsid w:val="2DF06932"/>
    <w:rsid w:val="2DF6381D"/>
    <w:rsid w:val="2DF83A39"/>
    <w:rsid w:val="2DF9330D"/>
    <w:rsid w:val="2DFB52D7"/>
    <w:rsid w:val="2DFE26D1"/>
    <w:rsid w:val="2E00644A"/>
    <w:rsid w:val="2E0E500A"/>
    <w:rsid w:val="2E1E4B22"/>
    <w:rsid w:val="2E20089A"/>
    <w:rsid w:val="2E2073AA"/>
    <w:rsid w:val="2E25064B"/>
    <w:rsid w:val="2E266125"/>
    <w:rsid w:val="2E2A34C6"/>
    <w:rsid w:val="2E2E745B"/>
    <w:rsid w:val="2E312AA7"/>
    <w:rsid w:val="2E314855"/>
    <w:rsid w:val="2E3507E9"/>
    <w:rsid w:val="2E3B56D4"/>
    <w:rsid w:val="2E444588"/>
    <w:rsid w:val="2E496043"/>
    <w:rsid w:val="2E4C5B33"/>
    <w:rsid w:val="2E4E5407"/>
    <w:rsid w:val="2E505623"/>
    <w:rsid w:val="2E532A1D"/>
    <w:rsid w:val="2E5549E7"/>
    <w:rsid w:val="2E5C3FC8"/>
    <w:rsid w:val="2E5D019E"/>
    <w:rsid w:val="2E5D1AEE"/>
    <w:rsid w:val="2E5D389C"/>
    <w:rsid w:val="2E5D5EBC"/>
    <w:rsid w:val="2E5F13C2"/>
    <w:rsid w:val="2E5F5866"/>
    <w:rsid w:val="2E620EB2"/>
    <w:rsid w:val="2E755089"/>
    <w:rsid w:val="2E7B3D22"/>
    <w:rsid w:val="2E7F3812"/>
    <w:rsid w:val="2E813A2E"/>
    <w:rsid w:val="2E821554"/>
    <w:rsid w:val="2E823302"/>
    <w:rsid w:val="2E8B0409"/>
    <w:rsid w:val="2E9279E9"/>
    <w:rsid w:val="2E933762"/>
    <w:rsid w:val="2E975000"/>
    <w:rsid w:val="2E9B6172"/>
    <w:rsid w:val="2E9E0C07"/>
    <w:rsid w:val="2EA17C2D"/>
    <w:rsid w:val="2EA25753"/>
    <w:rsid w:val="2EA63495"/>
    <w:rsid w:val="2EAD65D1"/>
    <w:rsid w:val="2EB711FE"/>
    <w:rsid w:val="2EB86C17"/>
    <w:rsid w:val="2EC35DF5"/>
    <w:rsid w:val="2EC851B9"/>
    <w:rsid w:val="2EC92CDF"/>
    <w:rsid w:val="2ECE479A"/>
    <w:rsid w:val="2ED049C5"/>
    <w:rsid w:val="2ED27DE6"/>
    <w:rsid w:val="2ED718A0"/>
    <w:rsid w:val="2ED7364E"/>
    <w:rsid w:val="2EDC6EB7"/>
    <w:rsid w:val="2EDE49DD"/>
    <w:rsid w:val="2EDF69A7"/>
    <w:rsid w:val="2EE163D5"/>
    <w:rsid w:val="2EEE0998"/>
    <w:rsid w:val="2EF44200"/>
    <w:rsid w:val="2EFA558F"/>
    <w:rsid w:val="2F032695"/>
    <w:rsid w:val="2F083808"/>
    <w:rsid w:val="2F0D52C2"/>
    <w:rsid w:val="2F146650"/>
    <w:rsid w:val="2F193C67"/>
    <w:rsid w:val="2F194722"/>
    <w:rsid w:val="2F1A79DF"/>
    <w:rsid w:val="2F212B1B"/>
    <w:rsid w:val="2F2965ED"/>
    <w:rsid w:val="2F2A5E74"/>
    <w:rsid w:val="2F326AD7"/>
    <w:rsid w:val="2F430CE4"/>
    <w:rsid w:val="2F4B1946"/>
    <w:rsid w:val="2F520F27"/>
    <w:rsid w:val="2F527179"/>
    <w:rsid w:val="2F5527C5"/>
    <w:rsid w:val="2F566C69"/>
    <w:rsid w:val="2F5702EB"/>
    <w:rsid w:val="2F5922B5"/>
    <w:rsid w:val="2F594063"/>
    <w:rsid w:val="2F5A7DDB"/>
    <w:rsid w:val="2F61560E"/>
    <w:rsid w:val="2F636837"/>
    <w:rsid w:val="2F642A08"/>
    <w:rsid w:val="2F662C24"/>
    <w:rsid w:val="2F6A6270"/>
    <w:rsid w:val="2F805A94"/>
    <w:rsid w:val="2F807842"/>
    <w:rsid w:val="2F8310E0"/>
    <w:rsid w:val="2F860BD0"/>
    <w:rsid w:val="2F8860C3"/>
    <w:rsid w:val="2F8A06C1"/>
    <w:rsid w:val="2F8A246F"/>
    <w:rsid w:val="2F955AF6"/>
    <w:rsid w:val="2F9C6646"/>
    <w:rsid w:val="2FA06136"/>
    <w:rsid w:val="2FA2183B"/>
    <w:rsid w:val="2FA21EAE"/>
    <w:rsid w:val="2FAA36C3"/>
    <w:rsid w:val="2FAD43AF"/>
    <w:rsid w:val="2FB90FA6"/>
    <w:rsid w:val="2FBB1E1C"/>
    <w:rsid w:val="2FBE036A"/>
    <w:rsid w:val="2FCA6D0F"/>
    <w:rsid w:val="2FD14541"/>
    <w:rsid w:val="2FD14D51"/>
    <w:rsid w:val="2FD22068"/>
    <w:rsid w:val="2FD24756"/>
    <w:rsid w:val="2FD42DB4"/>
    <w:rsid w:val="2FD65203"/>
    <w:rsid w:val="2FD7142C"/>
    <w:rsid w:val="2FD8767E"/>
    <w:rsid w:val="2FDD4C94"/>
    <w:rsid w:val="2FE222AB"/>
    <w:rsid w:val="2FE2558D"/>
    <w:rsid w:val="2FEA5603"/>
    <w:rsid w:val="2FEF49C8"/>
    <w:rsid w:val="2FF224B1"/>
    <w:rsid w:val="2FFB511A"/>
    <w:rsid w:val="2FFD3696"/>
    <w:rsid w:val="30021FA5"/>
    <w:rsid w:val="300A35B0"/>
    <w:rsid w:val="300C37CC"/>
    <w:rsid w:val="300F45A9"/>
    <w:rsid w:val="30161F54"/>
    <w:rsid w:val="30162FB6"/>
    <w:rsid w:val="30191A45"/>
    <w:rsid w:val="30197C97"/>
    <w:rsid w:val="301D1535"/>
    <w:rsid w:val="30201025"/>
    <w:rsid w:val="30281C88"/>
    <w:rsid w:val="302A5A00"/>
    <w:rsid w:val="302C5C1C"/>
    <w:rsid w:val="302F1268"/>
    <w:rsid w:val="30304FB0"/>
    <w:rsid w:val="30313232"/>
    <w:rsid w:val="303845C1"/>
    <w:rsid w:val="30393E95"/>
    <w:rsid w:val="303E14AB"/>
    <w:rsid w:val="303F594F"/>
    <w:rsid w:val="303F76FD"/>
    <w:rsid w:val="30403475"/>
    <w:rsid w:val="304270A6"/>
    <w:rsid w:val="304545E8"/>
    <w:rsid w:val="30470360"/>
    <w:rsid w:val="305111DE"/>
    <w:rsid w:val="305331A8"/>
    <w:rsid w:val="305807BF"/>
    <w:rsid w:val="3058256D"/>
    <w:rsid w:val="305F1B4D"/>
    <w:rsid w:val="306A22A0"/>
    <w:rsid w:val="307355F9"/>
    <w:rsid w:val="30766E97"/>
    <w:rsid w:val="3078676B"/>
    <w:rsid w:val="307D6477"/>
    <w:rsid w:val="308415B4"/>
    <w:rsid w:val="308570DA"/>
    <w:rsid w:val="308710A4"/>
    <w:rsid w:val="308B07B3"/>
    <w:rsid w:val="308B2942"/>
    <w:rsid w:val="308B46F0"/>
    <w:rsid w:val="308C2216"/>
    <w:rsid w:val="30901D07"/>
    <w:rsid w:val="309061AB"/>
    <w:rsid w:val="30915A7F"/>
    <w:rsid w:val="309537C1"/>
    <w:rsid w:val="30986E0D"/>
    <w:rsid w:val="309B06AC"/>
    <w:rsid w:val="30AA08EF"/>
    <w:rsid w:val="30AE03DF"/>
    <w:rsid w:val="30B67293"/>
    <w:rsid w:val="30BC518D"/>
    <w:rsid w:val="30BD4AC6"/>
    <w:rsid w:val="30C145B6"/>
    <w:rsid w:val="30C3032E"/>
    <w:rsid w:val="30C776F3"/>
    <w:rsid w:val="30C86A6C"/>
    <w:rsid w:val="30D047F9"/>
    <w:rsid w:val="30D140CD"/>
    <w:rsid w:val="30D37E45"/>
    <w:rsid w:val="30D616E4"/>
    <w:rsid w:val="30DF1286"/>
    <w:rsid w:val="30DF2C8E"/>
    <w:rsid w:val="30E107B4"/>
    <w:rsid w:val="30E958BB"/>
    <w:rsid w:val="30E97669"/>
    <w:rsid w:val="30EE2ED1"/>
    <w:rsid w:val="30F229C1"/>
    <w:rsid w:val="30F276FC"/>
    <w:rsid w:val="30F54260"/>
    <w:rsid w:val="30F71D86"/>
    <w:rsid w:val="30FA3624"/>
    <w:rsid w:val="30FC114A"/>
    <w:rsid w:val="30FC55EE"/>
    <w:rsid w:val="30FD3114"/>
    <w:rsid w:val="31012C04"/>
    <w:rsid w:val="310446E2"/>
    <w:rsid w:val="310E5321"/>
    <w:rsid w:val="311255A5"/>
    <w:rsid w:val="3112579A"/>
    <w:rsid w:val="31140B8A"/>
    <w:rsid w:val="311A1F18"/>
    <w:rsid w:val="311A3CC6"/>
    <w:rsid w:val="312406A1"/>
    <w:rsid w:val="312863E3"/>
    <w:rsid w:val="312B1A2F"/>
    <w:rsid w:val="312E32CE"/>
    <w:rsid w:val="31376626"/>
    <w:rsid w:val="313F54DB"/>
    <w:rsid w:val="314174A5"/>
    <w:rsid w:val="3143321D"/>
    <w:rsid w:val="31464495"/>
    <w:rsid w:val="31496359"/>
    <w:rsid w:val="31540F86"/>
    <w:rsid w:val="31592A40"/>
    <w:rsid w:val="315C42DF"/>
    <w:rsid w:val="315E1E05"/>
    <w:rsid w:val="315F61A9"/>
    <w:rsid w:val="31603DCF"/>
    <w:rsid w:val="31605B7D"/>
    <w:rsid w:val="316136A3"/>
    <w:rsid w:val="317909ED"/>
    <w:rsid w:val="317F1D7B"/>
    <w:rsid w:val="31857392"/>
    <w:rsid w:val="31886E82"/>
    <w:rsid w:val="318A2BFA"/>
    <w:rsid w:val="319121DA"/>
    <w:rsid w:val="3192385D"/>
    <w:rsid w:val="3196159F"/>
    <w:rsid w:val="3199108F"/>
    <w:rsid w:val="319B6BB5"/>
    <w:rsid w:val="319C3B4D"/>
    <w:rsid w:val="319C46DB"/>
    <w:rsid w:val="319E48F7"/>
    <w:rsid w:val="31A041CB"/>
    <w:rsid w:val="31A812D2"/>
    <w:rsid w:val="31AD68E8"/>
    <w:rsid w:val="31B01FC3"/>
    <w:rsid w:val="31BC6B2B"/>
    <w:rsid w:val="31BE0AF5"/>
    <w:rsid w:val="31C00377"/>
    <w:rsid w:val="31D60AC4"/>
    <w:rsid w:val="31D73965"/>
    <w:rsid w:val="31E22A36"/>
    <w:rsid w:val="31E3055C"/>
    <w:rsid w:val="31E340B8"/>
    <w:rsid w:val="31E542D4"/>
    <w:rsid w:val="31E7004C"/>
    <w:rsid w:val="31E74719"/>
    <w:rsid w:val="31E83DC4"/>
    <w:rsid w:val="31EA61B5"/>
    <w:rsid w:val="31EB11BF"/>
    <w:rsid w:val="31EC7411"/>
    <w:rsid w:val="31F12C79"/>
    <w:rsid w:val="31F2079F"/>
    <w:rsid w:val="31F369F1"/>
    <w:rsid w:val="31F6203D"/>
    <w:rsid w:val="31F77B64"/>
    <w:rsid w:val="31FB7654"/>
    <w:rsid w:val="32087FC3"/>
    <w:rsid w:val="32096215"/>
    <w:rsid w:val="320A7897"/>
    <w:rsid w:val="3216448E"/>
    <w:rsid w:val="32221084"/>
    <w:rsid w:val="322A1CE7"/>
    <w:rsid w:val="322A44DE"/>
    <w:rsid w:val="322E5C7B"/>
    <w:rsid w:val="322F72FD"/>
    <w:rsid w:val="323B0398"/>
    <w:rsid w:val="323B3EF4"/>
    <w:rsid w:val="323E39E4"/>
    <w:rsid w:val="32430FFB"/>
    <w:rsid w:val="32452FC5"/>
    <w:rsid w:val="324E00CB"/>
    <w:rsid w:val="325154C6"/>
    <w:rsid w:val="32544FB6"/>
    <w:rsid w:val="32594AED"/>
    <w:rsid w:val="325A081E"/>
    <w:rsid w:val="325B4596"/>
    <w:rsid w:val="325B6344"/>
    <w:rsid w:val="3268280F"/>
    <w:rsid w:val="3273368E"/>
    <w:rsid w:val="32737B32"/>
    <w:rsid w:val="327A0EC0"/>
    <w:rsid w:val="327B2543"/>
    <w:rsid w:val="327D275F"/>
    <w:rsid w:val="32827D75"/>
    <w:rsid w:val="328533C1"/>
    <w:rsid w:val="32867865"/>
    <w:rsid w:val="328868C2"/>
    <w:rsid w:val="32894C60"/>
    <w:rsid w:val="32933D30"/>
    <w:rsid w:val="32951856"/>
    <w:rsid w:val="32963820"/>
    <w:rsid w:val="329F26D5"/>
    <w:rsid w:val="32B141B6"/>
    <w:rsid w:val="32BB6DE3"/>
    <w:rsid w:val="32BC3287"/>
    <w:rsid w:val="32C043F9"/>
    <w:rsid w:val="32C20171"/>
    <w:rsid w:val="32C4213C"/>
    <w:rsid w:val="32C71C2C"/>
    <w:rsid w:val="32C75788"/>
    <w:rsid w:val="32C86926"/>
    <w:rsid w:val="32C91500"/>
    <w:rsid w:val="32C97752"/>
    <w:rsid w:val="32CE4D68"/>
    <w:rsid w:val="32D103B5"/>
    <w:rsid w:val="32D3237F"/>
    <w:rsid w:val="32D372B0"/>
    <w:rsid w:val="32D87995"/>
    <w:rsid w:val="32DF0D23"/>
    <w:rsid w:val="32F50547"/>
    <w:rsid w:val="32F55942"/>
    <w:rsid w:val="32F56799"/>
    <w:rsid w:val="32FA3DAF"/>
    <w:rsid w:val="33062754"/>
    <w:rsid w:val="33095DA0"/>
    <w:rsid w:val="330D3BC9"/>
    <w:rsid w:val="331309CD"/>
    <w:rsid w:val="33136C1F"/>
    <w:rsid w:val="33274478"/>
    <w:rsid w:val="33294694"/>
    <w:rsid w:val="333077D1"/>
    <w:rsid w:val="333170A5"/>
    <w:rsid w:val="3333106F"/>
    <w:rsid w:val="333746BC"/>
    <w:rsid w:val="333948D8"/>
    <w:rsid w:val="333D5A4A"/>
    <w:rsid w:val="33490893"/>
    <w:rsid w:val="334D105C"/>
    <w:rsid w:val="334E7DB9"/>
    <w:rsid w:val="334F40FB"/>
    <w:rsid w:val="335214F5"/>
    <w:rsid w:val="33596D28"/>
    <w:rsid w:val="335C05C6"/>
    <w:rsid w:val="335F1E64"/>
    <w:rsid w:val="336254B1"/>
    <w:rsid w:val="33673093"/>
    <w:rsid w:val="33694A91"/>
    <w:rsid w:val="338813BB"/>
    <w:rsid w:val="338C5B2C"/>
    <w:rsid w:val="338D077F"/>
    <w:rsid w:val="338D4C23"/>
    <w:rsid w:val="33995376"/>
    <w:rsid w:val="339A10EE"/>
    <w:rsid w:val="339E298D"/>
    <w:rsid w:val="33A1422B"/>
    <w:rsid w:val="33A361F5"/>
    <w:rsid w:val="33A51F6D"/>
    <w:rsid w:val="33B43F5E"/>
    <w:rsid w:val="33C13C9E"/>
    <w:rsid w:val="33C817B8"/>
    <w:rsid w:val="33D22636"/>
    <w:rsid w:val="33D26ADA"/>
    <w:rsid w:val="33D42114"/>
    <w:rsid w:val="33D77C4D"/>
    <w:rsid w:val="33DD3B07"/>
    <w:rsid w:val="33DE547F"/>
    <w:rsid w:val="33E34843"/>
    <w:rsid w:val="33E50919"/>
    <w:rsid w:val="33E52369"/>
    <w:rsid w:val="33E83C08"/>
    <w:rsid w:val="33F16F60"/>
    <w:rsid w:val="33F86541"/>
    <w:rsid w:val="33F95E15"/>
    <w:rsid w:val="34030A42"/>
    <w:rsid w:val="3411315F"/>
    <w:rsid w:val="34120C85"/>
    <w:rsid w:val="34126ED7"/>
    <w:rsid w:val="34160775"/>
    <w:rsid w:val="341744ED"/>
    <w:rsid w:val="34192013"/>
    <w:rsid w:val="34264730"/>
    <w:rsid w:val="3431735D"/>
    <w:rsid w:val="343B642D"/>
    <w:rsid w:val="3442156A"/>
    <w:rsid w:val="34476B80"/>
    <w:rsid w:val="344A48C2"/>
    <w:rsid w:val="344F012B"/>
    <w:rsid w:val="344F1ED9"/>
    <w:rsid w:val="34533777"/>
    <w:rsid w:val="345968B4"/>
    <w:rsid w:val="346A286F"/>
    <w:rsid w:val="346E55E0"/>
    <w:rsid w:val="346F4329"/>
    <w:rsid w:val="347100A1"/>
    <w:rsid w:val="34711E4F"/>
    <w:rsid w:val="3474193F"/>
    <w:rsid w:val="34795725"/>
    <w:rsid w:val="347B0F20"/>
    <w:rsid w:val="347B4A7C"/>
    <w:rsid w:val="347D6A46"/>
    <w:rsid w:val="3482405C"/>
    <w:rsid w:val="34845782"/>
    <w:rsid w:val="348576A9"/>
    <w:rsid w:val="34871673"/>
    <w:rsid w:val="34880F47"/>
    <w:rsid w:val="348953EB"/>
    <w:rsid w:val="3491429F"/>
    <w:rsid w:val="3491604D"/>
    <w:rsid w:val="34AA6BFF"/>
    <w:rsid w:val="34AF2977"/>
    <w:rsid w:val="34B1049E"/>
    <w:rsid w:val="34B32468"/>
    <w:rsid w:val="34B47F8E"/>
    <w:rsid w:val="34B63D06"/>
    <w:rsid w:val="34B87A7E"/>
    <w:rsid w:val="34C12DD7"/>
    <w:rsid w:val="34C46423"/>
    <w:rsid w:val="34D0301A"/>
    <w:rsid w:val="34D4418C"/>
    <w:rsid w:val="34D67F04"/>
    <w:rsid w:val="34DA3AEF"/>
    <w:rsid w:val="34DA5C46"/>
    <w:rsid w:val="34DB551B"/>
    <w:rsid w:val="34E645EB"/>
    <w:rsid w:val="34EC597A"/>
    <w:rsid w:val="34F07218"/>
    <w:rsid w:val="34F14D3E"/>
    <w:rsid w:val="34F767F8"/>
    <w:rsid w:val="34F82570"/>
    <w:rsid w:val="34F860CC"/>
    <w:rsid w:val="34FA0097"/>
    <w:rsid w:val="34FD1935"/>
    <w:rsid w:val="34FF774A"/>
    <w:rsid w:val="3500231B"/>
    <w:rsid w:val="3506618D"/>
    <w:rsid w:val="35074561"/>
    <w:rsid w:val="350E769E"/>
    <w:rsid w:val="3511441F"/>
    <w:rsid w:val="351647A5"/>
    <w:rsid w:val="351A6043"/>
    <w:rsid w:val="351D3D85"/>
    <w:rsid w:val="351F5D4F"/>
    <w:rsid w:val="35215623"/>
    <w:rsid w:val="352275ED"/>
    <w:rsid w:val="352C5D76"/>
    <w:rsid w:val="35303AB8"/>
    <w:rsid w:val="353A4937"/>
    <w:rsid w:val="353A66E5"/>
    <w:rsid w:val="35472BB0"/>
    <w:rsid w:val="354B6B44"/>
    <w:rsid w:val="355C2AFF"/>
    <w:rsid w:val="355C3599"/>
    <w:rsid w:val="355D23D3"/>
    <w:rsid w:val="35611EC4"/>
    <w:rsid w:val="356C2617"/>
    <w:rsid w:val="357065AB"/>
    <w:rsid w:val="35727C2D"/>
    <w:rsid w:val="35780FBB"/>
    <w:rsid w:val="35843E04"/>
    <w:rsid w:val="3586192A"/>
    <w:rsid w:val="358B6F41"/>
    <w:rsid w:val="358C62E7"/>
    <w:rsid w:val="358D4A67"/>
    <w:rsid w:val="358E6A31"/>
    <w:rsid w:val="359027A9"/>
    <w:rsid w:val="359758E5"/>
    <w:rsid w:val="35A46254"/>
    <w:rsid w:val="35AD5109"/>
    <w:rsid w:val="35AE2C2F"/>
    <w:rsid w:val="35B30245"/>
    <w:rsid w:val="35BA15D4"/>
    <w:rsid w:val="35CD1307"/>
    <w:rsid w:val="35D5640E"/>
    <w:rsid w:val="35DA3A24"/>
    <w:rsid w:val="35DC779C"/>
    <w:rsid w:val="35DE52C2"/>
    <w:rsid w:val="35E13004"/>
    <w:rsid w:val="35F1149A"/>
    <w:rsid w:val="35F20D6E"/>
    <w:rsid w:val="35F42D38"/>
    <w:rsid w:val="35F5260C"/>
    <w:rsid w:val="35F9034E"/>
    <w:rsid w:val="35FA5E74"/>
    <w:rsid w:val="3604052F"/>
    <w:rsid w:val="36080591"/>
    <w:rsid w:val="3608233F"/>
    <w:rsid w:val="360D5BA8"/>
    <w:rsid w:val="36107446"/>
    <w:rsid w:val="361A2073"/>
    <w:rsid w:val="361C228F"/>
    <w:rsid w:val="361C5DEB"/>
    <w:rsid w:val="36201D7F"/>
    <w:rsid w:val="3623361D"/>
    <w:rsid w:val="36260A17"/>
    <w:rsid w:val="363B2715"/>
    <w:rsid w:val="363C023B"/>
    <w:rsid w:val="364315C9"/>
    <w:rsid w:val="364610BA"/>
    <w:rsid w:val="36484E32"/>
    <w:rsid w:val="364D2448"/>
    <w:rsid w:val="364D41F6"/>
    <w:rsid w:val="364F222E"/>
    <w:rsid w:val="364F3443"/>
    <w:rsid w:val="36502DAD"/>
    <w:rsid w:val="36592B9B"/>
    <w:rsid w:val="366003CD"/>
    <w:rsid w:val="36603F29"/>
    <w:rsid w:val="36625EF3"/>
    <w:rsid w:val="366476D3"/>
    <w:rsid w:val="3667175C"/>
    <w:rsid w:val="366A4DA8"/>
    <w:rsid w:val="366F6862"/>
    <w:rsid w:val="36743E79"/>
    <w:rsid w:val="3679148F"/>
    <w:rsid w:val="36796092"/>
    <w:rsid w:val="367B0D63"/>
    <w:rsid w:val="36873BAC"/>
    <w:rsid w:val="3687595A"/>
    <w:rsid w:val="368816D2"/>
    <w:rsid w:val="368A71F8"/>
    <w:rsid w:val="368F2A60"/>
    <w:rsid w:val="368F480F"/>
    <w:rsid w:val="368F54E7"/>
    <w:rsid w:val="36962041"/>
    <w:rsid w:val="369736C3"/>
    <w:rsid w:val="36A22794"/>
    <w:rsid w:val="36AA1648"/>
    <w:rsid w:val="36AA5AEC"/>
    <w:rsid w:val="36B349A1"/>
    <w:rsid w:val="36B44275"/>
    <w:rsid w:val="36B64491"/>
    <w:rsid w:val="36BE50F4"/>
    <w:rsid w:val="36C4095C"/>
    <w:rsid w:val="36C56482"/>
    <w:rsid w:val="36C721FA"/>
    <w:rsid w:val="36C73FA8"/>
    <w:rsid w:val="36CC7811"/>
    <w:rsid w:val="36E25286"/>
    <w:rsid w:val="36EC3A0F"/>
    <w:rsid w:val="36F62AE0"/>
    <w:rsid w:val="36F80606"/>
    <w:rsid w:val="36FF7BE6"/>
    <w:rsid w:val="370074BA"/>
    <w:rsid w:val="370451FC"/>
    <w:rsid w:val="37076A9B"/>
    <w:rsid w:val="370E1BD7"/>
    <w:rsid w:val="37180CA8"/>
    <w:rsid w:val="371F2036"/>
    <w:rsid w:val="37270EEB"/>
    <w:rsid w:val="37296A11"/>
    <w:rsid w:val="372B2789"/>
    <w:rsid w:val="372C4753"/>
    <w:rsid w:val="372E0CF4"/>
    <w:rsid w:val="37321D6A"/>
    <w:rsid w:val="37335AE2"/>
    <w:rsid w:val="375021F0"/>
    <w:rsid w:val="3756532C"/>
    <w:rsid w:val="375C0B95"/>
    <w:rsid w:val="375C6DE7"/>
    <w:rsid w:val="37607F59"/>
    <w:rsid w:val="376932B2"/>
    <w:rsid w:val="376B0DD8"/>
    <w:rsid w:val="376C4B50"/>
    <w:rsid w:val="376E6B1A"/>
    <w:rsid w:val="37732382"/>
    <w:rsid w:val="377C1237"/>
    <w:rsid w:val="37866C37"/>
    <w:rsid w:val="37893954"/>
    <w:rsid w:val="379522F8"/>
    <w:rsid w:val="37955E55"/>
    <w:rsid w:val="37976071"/>
    <w:rsid w:val="37977E1F"/>
    <w:rsid w:val="37991DE9"/>
    <w:rsid w:val="379F6CD3"/>
    <w:rsid w:val="37A10C9D"/>
    <w:rsid w:val="37A12A4B"/>
    <w:rsid w:val="37A20571"/>
    <w:rsid w:val="37AB38CA"/>
    <w:rsid w:val="37AD7642"/>
    <w:rsid w:val="37B704C1"/>
    <w:rsid w:val="37B7226F"/>
    <w:rsid w:val="37B7401D"/>
    <w:rsid w:val="37B81B43"/>
    <w:rsid w:val="37C8624D"/>
    <w:rsid w:val="37CF1702"/>
    <w:rsid w:val="37CF580A"/>
    <w:rsid w:val="37D270A9"/>
    <w:rsid w:val="37D746BF"/>
    <w:rsid w:val="37D921E5"/>
    <w:rsid w:val="37E666B0"/>
    <w:rsid w:val="37EB1F18"/>
    <w:rsid w:val="37ED5C91"/>
    <w:rsid w:val="37EF7C5B"/>
    <w:rsid w:val="37F039D3"/>
    <w:rsid w:val="37F94635"/>
    <w:rsid w:val="37FE39FA"/>
    <w:rsid w:val="38003C16"/>
    <w:rsid w:val="38037262"/>
    <w:rsid w:val="38042FDA"/>
    <w:rsid w:val="38066D52"/>
    <w:rsid w:val="38080D1C"/>
    <w:rsid w:val="380B6117"/>
    <w:rsid w:val="380F20AB"/>
    <w:rsid w:val="381B0A50"/>
    <w:rsid w:val="381F1BC2"/>
    <w:rsid w:val="38262F51"/>
    <w:rsid w:val="382C4A0B"/>
    <w:rsid w:val="38310878"/>
    <w:rsid w:val="38397128"/>
    <w:rsid w:val="383A48CB"/>
    <w:rsid w:val="3842422E"/>
    <w:rsid w:val="384314FF"/>
    <w:rsid w:val="38433B03"/>
    <w:rsid w:val="384358B1"/>
    <w:rsid w:val="384855BD"/>
    <w:rsid w:val="384B29B7"/>
    <w:rsid w:val="384C6E5B"/>
    <w:rsid w:val="384F4255"/>
    <w:rsid w:val="38591578"/>
    <w:rsid w:val="385E6B8E"/>
    <w:rsid w:val="3862667F"/>
    <w:rsid w:val="38636E4D"/>
    <w:rsid w:val="38657F1D"/>
    <w:rsid w:val="38683569"/>
    <w:rsid w:val="386A108F"/>
    <w:rsid w:val="38700649"/>
    <w:rsid w:val="38763ED8"/>
    <w:rsid w:val="387B14EE"/>
    <w:rsid w:val="387B329C"/>
    <w:rsid w:val="387C0DC3"/>
    <w:rsid w:val="38804D57"/>
    <w:rsid w:val="388303A3"/>
    <w:rsid w:val="38841848"/>
    <w:rsid w:val="3885236D"/>
    <w:rsid w:val="388760E5"/>
    <w:rsid w:val="388859B9"/>
    <w:rsid w:val="388C36FB"/>
    <w:rsid w:val="388D1222"/>
    <w:rsid w:val="3894610C"/>
    <w:rsid w:val="38995E18"/>
    <w:rsid w:val="389B606E"/>
    <w:rsid w:val="389C3213"/>
    <w:rsid w:val="389E51DD"/>
    <w:rsid w:val="38A04AB1"/>
    <w:rsid w:val="38A30A45"/>
    <w:rsid w:val="38A81BB8"/>
    <w:rsid w:val="38AA1DD4"/>
    <w:rsid w:val="38B92017"/>
    <w:rsid w:val="38BD38B5"/>
    <w:rsid w:val="38BD5663"/>
    <w:rsid w:val="38BE13DB"/>
    <w:rsid w:val="38BE762D"/>
    <w:rsid w:val="38C06F01"/>
    <w:rsid w:val="38C369F1"/>
    <w:rsid w:val="38C5276A"/>
    <w:rsid w:val="38C74734"/>
    <w:rsid w:val="38C764E2"/>
    <w:rsid w:val="38CC1D4A"/>
    <w:rsid w:val="38D023C8"/>
    <w:rsid w:val="38D348D1"/>
    <w:rsid w:val="38D86941"/>
    <w:rsid w:val="38D97FC3"/>
    <w:rsid w:val="38E76B84"/>
    <w:rsid w:val="38ED3A6E"/>
    <w:rsid w:val="38EE1CC0"/>
    <w:rsid w:val="38EE7F12"/>
    <w:rsid w:val="38F117B0"/>
    <w:rsid w:val="38F417C2"/>
    <w:rsid w:val="38F66DC7"/>
    <w:rsid w:val="38FB618B"/>
    <w:rsid w:val="3902576C"/>
    <w:rsid w:val="3905700A"/>
    <w:rsid w:val="390A5EDB"/>
    <w:rsid w:val="390A63CE"/>
    <w:rsid w:val="390F1C37"/>
    <w:rsid w:val="39131727"/>
    <w:rsid w:val="39186D3D"/>
    <w:rsid w:val="391B05DB"/>
    <w:rsid w:val="391C5DFD"/>
    <w:rsid w:val="391D07F7"/>
    <w:rsid w:val="391E1E7A"/>
    <w:rsid w:val="392007DF"/>
    <w:rsid w:val="393618B9"/>
    <w:rsid w:val="39382F3B"/>
    <w:rsid w:val="393D0552"/>
    <w:rsid w:val="39475874"/>
    <w:rsid w:val="39495149"/>
    <w:rsid w:val="39535FC7"/>
    <w:rsid w:val="395A1104"/>
    <w:rsid w:val="395D0BF4"/>
    <w:rsid w:val="395D29A2"/>
    <w:rsid w:val="395F671A"/>
    <w:rsid w:val="3968533E"/>
    <w:rsid w:val="396E4BAF"/>
    <w:rsid w:val="39706B79"/>
    <w:rsid w:val="39761CB6"/>
    <w:rsid w:val="397A79F8"/>
    <w:rsid w:val="397B72CC"/>
    <w:rsid w:val="397F6DBC"/>
    <w:rsid w:val="39866393"/>
    <w:rsid w:val="398C14D9"/>
    <w:rsid w:val="398E0DAD"/>
    <w:rsid w:val="398E34A3"/>
    <w:rsid w:val="398E3C23"/>
    <w:rsid w:val="39904B26"/>
    <w:rsid w:val="399218BB"/>
    <w:rsid w:val="39930ABA"/>
    <w:rsid w:val="399D7242"/>
    <w:rsid w:val="399F2FBB"/>
    <w:rsid w:val="39A06505"/>
    <w:rsid w:val="39A86313"/>
    <w:rsid w:val="39AB195F"/>
    <w:rsid w:val="39AC56D7"/>
    <w:rsid w:val="39B50A30"/>
    <w:rsid w:val="39B76556"/>
    <w:rsid w:val="39BD1693"/>
    <w:rsid w:val="39BF540B"/>
    <w:rsid w:val="39C3314D"/>
    <w:rsid w:val="39C742BF"/>
    <w:rsid w:val="39C80763"/>
    <w:rsid w:val="39CB2002"/>
    <w:rsid w:val="39D013C6"/>
    <w:rsid w:val="39D2513E"/>
    <w:rsid w:val="39D54C2E"/>
    <w:rsid w:val="39DA3FF3"/>
    <w:rsid w:val="39F01A68"/>
    <w:rsid w:val="39FC665F"/>
    <w:rsid w:val="39FF7EFD"/>
    <w:rsid w:val="3A015A23"/>
    <w:rsid w:val="3A064DE8"/>
    <w:rsid w:val="3A121BAE"/>
    <w:rsid w:val="3A127C30"/>
    <w:rsid w:val="3A137505"/>
    <w:rsid w:val="3A231E3E"/>
    <w:rsid w:val="3A282FB0"/>
    <w:rsid w:val="3A2C570F"/>
    <w:rsid w:val="3A2D05C6"/>
    <w:rsid w:val="3A2F07E2"/>
    <w:rsid w:val="3A32278E"/>
    <w:rsid w:val="3A35391F"/>
    <w:rsid w:val="3A361B71"/>
    <w:rsid w:val="3A3E4582"/>
    <w:rsid w:val="3A4662B6"/>
    <w:rsid w:val="3A485400"/>
    <w:rsid w:val="3A535CE8"/>
    <w:rsid w:val="3A5C534F"/>
    <w:rsid w:val="3A5E4C24"/>
    <w:rsid w:val="3A685AA2"/>
    <w:rsid w:val="3A6F6E31"/>
    <w:rsid w:val="3A775CE5"/>
    <w:rsid w:val="3A802DEC"/>
    <w:rsid w:val="3A804B9A"/>
    <w:rsid w:val="3A83468A"/>
    <w:rsid w:val="3A8522B8"/>
    <w:rsid w:val="3A856654"/>
    <w:rsid w:val="3A8829E6"/>
    <w:rsid w:val="3A887EF3"/>
    <w:rsid w:val="3A8A77C7"/>
    <w:rsid w:val="3A900B55"/>
    <w:rsid w:val="3A920D71"/>
    <w:rsid w:val="3A95616C"/>
    <w:rsid w:val="3A992100"/>
    <w:rsid w:val="3A9C399E"/>
    <w:rsid w:val="3A9C4027"/>
    <w:rsid w:val="3AA06FEA"/>
    <w:rsid w:val="3AA30888"/>
    <w:rsid w:val="3AA34D2C"/>
    <w:rsid w:val="3AAF36D1"/>
    <w:rsid w:val="3AAF722D"/>
    <w:rsid w:val="3AB24F6F"/>
    <w:rsid w:val="3AB42A96"/>
    <w:rsid w:val="3AB962FE"/>
    <w:rsid w:val="3ABB02C8"/>
    <w:rsid w:val="3AC30F2B"/>
    <w:rsid w:val="3AC54CA3"/>
    <w:rsid w:val="3ACA050B"/>
    <w:rsid w:val="3ACD3B57"/>
    <w:rsid w:val="3ACF5B21"/>
    <w:rsid w:val="3AE315CD"/>
    <w:rsid w:val="3AED71BD"/>
    <w:rsid w:val="3AF076CD"/>
    <w:rsid w:val="3AF45588"/>
    <w:rsid w:val="3AF70BD4"/>
    <w:rsid w:val="3AFB2473"/>
    <w:rsid w:val="3AFE01B5"/>
    <w:rsid w:val="3AFF6407"/>
    <w:rsid w:val="3B003F2D"/>
    <w:rsid w:val="3B005CDB"/>
    <w:rsid w:val="3B091033"/>
    <w:rsid w:val="3B0A6B5A"/>
    <w:rsid w:val="3B181276"/>
    <w:rsid w:val="3B1874C8"/>
    <w:rsid w:val="3B1A3241"/>
    <w:rsid w:val="3B1D063B"/>
    <w:rsid w:val="3B225C51"/>
    <w:rsid w:val="3B2319C9"/>
    <w:rsid w:val="3B2E2848"/>
    <w:rsid w:val="3B304812"/>
    <w:rsid w:val="3B334302"/>
    <w:rsid w:val="3B3360B0"/>
    <w:rsid w:val="3B3911ED"/>
    <w:rsid w:val="3B3B6D13"/>
    <w:rsid w:val="3B3D2A8B"/>
    <w:rsid w:val="3B3E6803"/>
    <w:rsid w:val="3B3F4ABE"/>
    <w:rsid w:val="3B561D9F"/>
    <w:rsid w:val="3B583D69"/>
    <w:rsid w:val="3B5F50F7"/>
    <w:rsid w:val="3B6224F2"/>
    <w:rsid w:val="3B6444BC"/>
    <w:rsid w:val="3B653D90"/>
    <w:rsid w:val="3B750477"/>
    <w:rsid w:val="3B781D15"/>
    <w:rsid w:val="3B7D732B"/>
    <w:rsid w:val="3B81506E"/>
    <w:rsid w:val="3B842468"/>
    <w:rsid w:val="3B86087B"/>
    <w:rsid w:val="3B862684"/>
    <w:rsid w:val="3B8763FC"/>
    <w:rsid w:val="3B8B7C9A"/>
    <w:rsid w:val="3B912DD7"/>
    <w:rsid w:val="3B934DA1"/>
    <w:rsid w:val="3B9528C7"/>
    <w:rsid w:val="3B9A612F"/>
    <w:rsid w:val="3B9C1479"/>
    <w:rsid w:val="3B9D352A"/>
    <w:rsid w:val="3BAE5737"/>
    <w:rsid w:val="3BB371F1"/>
    <w:rsid w:val="3BBC60A6"/>
    <w:rsid w:val="3BBC6D7B"/>
    <w:rsid w:val="3BBF16F2"/>
    <w:rsid w:val="3BC411EF"/>
    <w:rsid w:val="3BC44F5A"/>
    <w:rsid w:val="3BC907C3"/>
    <w:rsid w:val="3BCE2E77"/>
    <w:rsid w:val="3BDA652C"/>
    <w:rsid w:val="3BDC22A4"/>
    <w:rsid w:val="3BDF3DFC"/>
    <w:rsid w:val="3BE41159"/>
    <w:rsid w:val="3BE63123"/>
    <w:rsid w:val="3BE70C49"/>
    <w:rsid w:val="3BE850ED"/>
    <w:rsid w:val="3BE92C13"/>
    <w:rsid w:val="3BF13876"/>
    <w:rsid w:val="3BF515B8"/>
    <w:rsid w:val="3BFC2946"/>
    <w:rsid w:val="3BFD221A"/>
    <w:rsid w:val="3C025A83"/>
    <w:rsid w:val="3C0435A9"/>
    <w:rsid w:val="3C0637C5"/>
    <w:rsid w:val="3C095063"/>
    <w:rsid w:val="3C096E11"/>
    <w:rsid w:val="3C125CC6"/>
    <w:rsid w:val="3C17152E"/>
    <w:rsid w:val="3C21415B"/>
    <w:rsid w:val="3C277297"/>
    <w:rsid w:val="3C2974B3"/>
    <w:rsid w:val="3C2B4FD9"/>
    <w:rsid w:val="3C300842"/>
    <w:rsid w:val="3C333E8E"/>
    <w:rsid w:val="3C3F2833"/>
    <w:rsid w:val="3C4340D1"/>
    <w:rsid w:val="3C447E49"/>
    <w:rsid w:val="3C461E13"/>
    <w:rsid w:val="3C485B8B"/>
    <w:rsid w:val="3C53008C"/>
    <w:rsid w:val="3C5938F5"/>
    <w:rsid w:val="3C5A141B"/>
    <w:rsid w:val="3C5C5193"/>
    <w:rsid w:val="3C5E0F0B"/>
    <w:rsid w:val="3C5F2ED5"/>
    <w:rsid w:val="3C664263"/>
    <w:rsid w:val="3C667DC0"/>
    <w:rsid w:val="3C681D8A"/>
    <w:rsid w:val="3C6B7ACC"/>
    <w:rsid w:val="3C6D55F2"/>
    <w:rsid w:val="3C7050E2"/>
    <w:rsid w:val="3C761DD8"/>
    <w:rsid w:val="3C77021F"/>
    <w:rsid w:val="3C7F70D3"/>
    <w:rsid w:val="3C8446EA"/>
    <w:rsid w:val="3C885F88"/>
    <w:rsid w:val="3C8A7F52"/>
    <w:rsid w:val="3C926E07"/>
    <w:rsid w:val="3C9506A5"/>
    <w:rsid w:val="3C991F43"/>
    <w:rsid w:val="3C9C7C85"/>
    <w:rsid w:val="3CA1529C"/>
    <w:rsid w:val="3CA54D8C"/>
    <w:rsid w:val="3CA8662A"/>
    <w:rsid w:val="3CAA23A2"/>
    <w:rsid w:val="3CAF42BA"/>
    <w:rsid w:val="3CC316B6"/>
    <w:rsid w:val="3CD613E9"/>
    <w:rsid w:val="3CDE029E"/>
    <w:rsid w:val="3CE533DA"/>
    <w:rsid w:val="3CEA09F1"/>
    <w:rsid w:val="3CED6733"/>
    <w:rsid w:val="3CF248ED"/>
    <w:rsid w:val="3CF25AF7"/>
    <w:rsid w:val="3D006466"/>
    <w:rsid w:val="3D0116FF"/>
    <w:rsid w:val="3D023F8C"/>
    <w:rsid w:val="3D04168B"/>
    <w:rsid w:val="3D0715A3"/>
    <w:rsid w:val="3D073351"/>
    <w:rsid w:val="3D08531B"/>
    <w:rsid w:val="3D0968BD"/>
    <w:rsid w:val="3D112421"/>
    <w:rsid w:val="3D1141CF"/>
    <w:rsid w:val="3D197528"/>
    <w:rsid w:val="3D204412"/>
    <w:rsid w:val="3D2970F3"/>
    <w:rsid w:val="3D3103CE"/>
    <w:rsid w:val="3D31661F"/>
    <w:rsid w:val="3D3659E4"/>
    <w:rsid w:val="3D385C00"/>
    <w:rsid w:val="3D3E0D3C"/>
    <w:rsid w:val="3D42082D"/>
    <w:rsid w:val="3D4445A5"/>
    <w:rsid w:val="3D445624"/>
    <w:rsid w:val="3D474095"/>
    <w:rsid w:val="3D475E43"/>
    <w:rsid w:val="3D4A76E1"/>
    <w:rsid w:val="3D510A70"/>
    <w:rsid w:val="3D54230E"/>
    <w:rsid w:val="3D581DFE"/>
    <w:rsid w:val="3D5B544A"/>
    <w:rsid w:val="3D605157"/>
    <w:rsid w:val="3D65451B"/>
    <w:rsid w:val="3D6562C9"/>
    <w:rsid w:val="3D6A1B31"/>
    <w:rsid w:val="3D6A7D83"/>
    <w:rsid w:val="3D6D7491"/>
    <w:rsid w:val="3D7309E6"/>
    <w:rsid w:val="3D8250CD"/>
    <w:rsid w:val="3D840E45"/>
    <w:rsid w:val="3D8449A1"/>
    <w:rsid w:val="3D874491"/>
    <w:rsid w:val="3D8A5D30"/>
    <w:rsid w:val="3D8F3346"/>
    <w:rsid w:val="3D8F673A"/>
    <w:rsid w:val="3D932E36"/>
    <w:rsid w:val="3D9372DA"/>
    <w:rsid w:val="3D9848F1"/>
    <w:rsid w:val="3D9A2417"/>
    <w:rsid w:val="3D9B1CEB"/>
    <w:rsid w:val="3D9E399C"/>
    <w:rsid w:val="3D9F5C7F"/>
    <w:rsid w:val="3DA07301"/>
    <w:rsid w:val="3DAE1A1E"/>
    <w:rsid w:val="3DB01C3A"/>
    <w:rsid w:val="3DB039E8"/>
    <w:rsid w:val="3DCB25D0"/>
    <w:rsid w:val="3DCE3E6E"/>
    <w:rsid w:val="3DD0408A"/>
    <w:rsid w:val="3DD07BE6"/>
    <w:rsid w:val="3DD31485"/>
    <w:rsid w:val="3DD516A1"/>
    <w:rsid w:val="3DD551FD"/>
    <w:rsid w:val="3DD84CED"/>
    <w:rsid w:val="3DEA67CE"/>
    <w:rsid w:val="3DF064DB"/>
    <w:rsid w:val="3DF24001"/>
    <w:rsid w:val="3DF338D5"/>
    <w:rsid w:val="3DF633C5"/>
    <w:rsid w:val="3E047890"/>
    <w:rsid w:val="3E0B0C1F"/>
    <w:rsid w:val="3E0B50C2"/>
    <w:rsid w:val="3E0C4CB3"/>
    <w:rsid w:val="3E171CB9"/>
    <w:rsid w:val="3E1F0B6E"/>
    <w:rsid w:val="3E23065E"/>
    <w:rsid w:val="3E236774"/>
    <w:rsid w:val="3E241CE0"/>
    <w:rsid w:val="3E247F32"/>
    <w:rsid w:val="3E29379B"/>
    <w:rsid w:val="3E2972F7"/>
    <w:rsid w:val="3E2B306F"/>
    <w:rsid w:val="3E304B29"/>
    <w:rsid w:val="3E3363C7"/>
    <w:rsid w:val="3E37026C"/>
    <w:rsid w:val="3E375EB7"/>
    <w:rsid w:val="3E3D2DA2"/>
    <w:rsid w:val="3E4660FB"/>
    <w:rsid w:val="3E467EA9"/>
    <w:rsid w:val="3E4B3711"/>
    <w:rsid w:val="3E4D1237"/>
    <w:rsid w:val="3E594080"/>
    <w:rsid w:val="3E6622F9"/>
    <w:rsid w:val="3E6B3DB3"/>
    <w:rsid w:val="3E6C399F"/>
    <w:rsid w:val="3E6E73FF"/>
    <w:rsid w:val="3E7F33BB"/>
    <w:rsid w:val="3E815385"/>
    <w:rsid w:val="3E8B6203"/>
    <w:rsid w:val="3E990920"/>
    <w:rsid w:val="3E9926CE"/>
    <w:rsid w:val="3E9A01F4"/>
    <w:rsid w:val="3E9A1FA2"/>
    <w:rsid w:val="3E9F580B"/>
    <w:rsid w:val="3EA13331"/>
    <w:rsid w:val="3EA370A9"/>
    <w:rsid w:val="3EA64DEB"/>
    <w:rsid w:val="3EA85C6E"/>
    <w:rsid w:val="3EAD43CC"/>
    <w:rsid w:val="3EAF2F70"/>
    <w:rsid w:val="3EB02CBF"/>
    <w:rsid w:val="3EB2553E"/>
    <w:rsid w:val="3EB47508"/>
    <w:rsid w:val="3EB56DDC"/>
    <w:rsid w:val="3EB94B1E"/>
    <w:rsid w:val="3EBB0897"/>
    <w:rsid w:val="3EBC460F"/>
    <w:rsid w:val="3EC05EAD"/>
    <w:rsid w:val="3EC45B0A"/>
    <w:rsid w:val="3ECA2888"/>
    <w:rsid w:val="3ECA6D2C"/>
    <w:rsid w:val="3ECB6600"/>
    <w:rsid w:val="3ED454B4"/>
    <w:rsid w:val="3ED5122D"/>
    <w:rsid w:val="3EDE4585"/>
    <w:rsid w:val="3EE14075"/>
    <w:rsid w:val="3EE15E23"/>
    <w:rsid w:val="3EE3071E"/>
    <w:rsid w:val="3EE37DED"/>
    <w:rsid w:val="3EE53B65"/>
    <w:rsid w:val="3EE6343A"/>
    <w:rsid w:val="3EE80F60"/>
    <w:rsid w:val="3EEC4EF4"/>
    <w:rsid w:val="3EF43DA9"/>
    <w:rsid w:val="3EF773F5"/>
    <w:rsid w:val="3EF913BF"/>
    <w:rsid w:val="3F00274D"/>
    <w:rsid w:val="3F051B12"/>
    <w:rsid w:val="3F0A38C9"/>
    <w:rsid w:val="3F11495A"/>
    <w:rsid w:val="3F1B30E3"/>
    <w:rsid w:val="3F220916"/>
    <w:rsid w:val="3F2521B4"/>
    <w:rsid w:val="3F255D10"/>
    <w:rsid w:val="3F261A88"/>
    <w:rsid w:val="3F281CA4"/>
    <w:rsid w:val="3F3423F7"/>
    <w:rsid w:val="3F3643C1"/>
    <w:rsid w:val="3F367F1D"/>
    <w:rsid w:val="3F375A43"/>
    <w:rsid w:val="3F3C12AC"/>
    <w:rsid w:val="3F3D5750"/>
    <w:rsid w:val="3F3D74FE"/>
    <w:rsid w:val="3F43088C"/>
    <w:rsid w:val="3F450160"/>
    <w:rsid w:val="3F4C367C"/>
    <w:rsid w:val="3F4E170B"/>
    <w:rsid w:val="3F4F1FBB"/>
    <w:rsid w:val="3F512FA9"/>
    <w:rsid w:val="3F542A99"/>
    <w:rsid w:val="3F584337"/>
    <w:rsid w:val="3F5860E5"/>
    <w:rsid w:val="3F591E5E"/>
    <w:rsid w:val="3F5B7984"/>
    <w:rsid w:val="3F5F1AF2"/>
    <w:rsid w:val="3F626FE3"/>
    <w:rsid w:val="3F634A8A"/>
    <w:rsid w:val="3F6820A1"/>
    <w:rsid w:val="3F6A7BC7"/>
    <w:rsid w:val="3F6C393F"/>
    <w:rsid w:val="3F6F342F"/>
    <w:rsid w:val="3F7153F9"/>
    <w:rsid w:val="3F7D78FA"/>
    <w:rsid w:val="3F7E18C4"/>
    <w:rsid w:val="3F892743"/>
    <w:rsid w:val="3F980BD8"/>
    <w:rsid w:val="3F9904AC"/>
    <w:rsid w:val="3F9D1D4A"/>
    <w:rsid w:val="3F9F6F85"/>
    <w:rsid w:val="3FA05CDE"/>
    <w:rsid w:val="3FA330D9"/>
    <w:rsid w:val="3FA776F6"/>
    <w:rsid w:val="3FAA26B9"/>
    <w:rsid w:val="3FAF7CCF"/>
    <w:rsid w:val="3FB83028"/>
    <w:rsid w:val="3FBA6DA0"/>
    <w:rsid w:val="3FBB48C6"/>
    <w:rsid w:val="3FBD23EC"/>
    <w:rsid w:val="3FBD419A"/>
    <w:rsid w:val="3FC01EDD"/>
    <w:rsid w:val="3FC578AB"/>
    <w:rsid w:val="3FCB2D5B"/>
    <w:rsid w:val="3FD37E62"/>
    <w:rsid w:val="3FD57736"/>
    <w:rsid w:val="3FDF5FBC"/>
    <w:rsid w:val="3FE45BCB"/>
    <w:rsid w:val="3FE71217"/>
    <w:rsid w:val="3FF322B2"/>
    <w:rsid w:val="3FF34060"/>
    <w:rsid w:val="3FFC3940"/>
    <w:rsid w:val="400718BA"/>
    <w:rsid w:val="401421F2"/>
    <w:rsid w:val="401C35B7"/>
    <w:rsid w:val="401E584A"/>
    <w:rsid w:val="401F4E55"/>
    <w:rsid w:val="402B37FA"/>
    <w:rsid w:val="402C1320"/>
    <w:rsid w:val="402C30CE"/>
    <w:rsid w:val="402D7572"/>
    <w:rsid w:val="403C77B5"/>
    <w:rsid w:val="40412E4E"/>
    <w:rsid w:val="4047615A"/>
    <w:rsid w:val="404B79F8"/>
    <w:rsid w:val="4057639D"/>
    <w:rsid w:val="405A40DF"/>
    <w:rsid w:val="406867FC"/>
    <w:rsid w:val="406B1E48"/>
    <w:rsid w:val="40733A72"/>
    <w:rsid w:val="40776A3F"/>
    <w:rsid w:val="4078432E"/>
    <w:rsid w:val="40784565"/>
    <w:rsid w:val="407A652F"/>
    <w:rsid w:val="407D1B7C"/>
    <w:rsid w:val="407F3B46"/>
    <w:rsid w:val="407F58F4"/>
    <w:rsid w:val="40880C4C"/>
    <w:rsid w:val="4090365D"/>
    <w:rsid w:val="409A44DC"/>
    <w:rsid w:val="409F1AF2"/>
    <w:rsid w:val="40A315E2"/>
    <w:rsid w:val="40AB493B"/>
    <w:rsid w:val="40AD06B3"/>
    <w:rsid w:val="40B01F51"/>
    <w:rsid w:val="40BA4B7E"/>
    <w:rsid w:val="40BA6207"/>
    <w:rsid w:val="40BC6B48"/>
    <w:rsid w:val="40BE641C"/>
    <w:rsid w:val="40C15F0C"/>
    <w:rsid w:val="40C559FD"/>
    <w:rsid w:val="40D043A1"/>
    <w:rsid w:val="40D23C76"/>
    <w:rsid w:val="40D75730"/>
    <w:rsid w:val="40DA6FCE"/>
    <w:rsid w:val="40DC2D46"/>
    <w:rsid w:val="40DC68A2"/>
    <w:rsid w:val="40E165AE"/>
    <w:rsid w:val="40EF2A79"/>
    <w:rsid w:val="40F243BC"/>
    <w:rsid w:val="40F260C6"/>
    <w:rsid w:val="40F41E3E"/>
    <w:rsid w:val="40F55BB6"/>
    <w:rsid w:val="40F736DC"/>
    <w:rsid w:val="40FA31CC"/>
    <w:rsid w:val="41004C87"/>
    <w:rsid w:val="41055DF9"/>
    <w:rsid w:val="410A340F"/>
    <w:rsid w:val="410B53D9"/>
    <w:rsid w:val="41120516"/>
    <w:rsid w:val="411B336E"/>
    <w:rsid w:val="412070D7"/>
    <w:rsid w:val="41250249"/>
    <w:rsid w:val="41287D39"/>
    <w:rsid w:val="412F2E76"/>
    <w:rsid w:val="413466DE"/>
    <w:rsid w:val="4137363C"/>
    <w:rsid w:val="413761CE"/>
    <w:rsid w:val="413D1A37"/>
    <w:rsid w:val="41406E31"/>
    <w:rsid w:val="41421469"/>
    <w:rsid w:val="414803DC"/>
    <w:rsid w:val="414A4E6A"/>
    <w:rsid w:val="414D77A0"/>
    <w:rsid w:val="41524DB6"/>
    <w:rsid w:val="41546D80"/>
    <w:rsid w:val="4157061F"/>
    <w:rsid w:val="41597EF3"/>
    <w:rsid w:val="41654AEA"/>
    <w:rsid w:val="416B0523"/>
    <w:rsid w:val="416F3BBA"/>
    <w:rsid w:val="417411D1"/>
    <w:rsid w:val="417C1B26"/>
    <w:rsid w:val="418D051C"/>
    <w:rsid w:val="418D1865"/>
    <w:rsid w:val="41913B31"/>
    <w:rsid w:val="419D24D5"/>
    <w:rsid w:val="419E624E"/>
    <w:rsid w:val="41A27AEC"/>
    <w:rsid w:val="41A5138A"/>
    <w:rsid w:val="41A76EB0"/>
    <w:rsid w:val="41A77BAD"/>
    <w:rsid w:val="41B33AA7"/>
    <w:rsid w:val="41BB0BAE"/>
    <w:rsid w:val="41BC1F64"/>
    <w:rsid w:val="41C31810"/>
    <w:rsid w:val="41C537DA"/>
    <w:rsid w:val="41C932CA"/>
    <w:rsid w:val="41CA0DF1"/>
    <w:rsid w:val="41D028AB"/>
    <w:rsid w:val="41D659E7"/>
    <w:rsid w:val="41D67795"/>
    <w:rsid w:val="41DD28D2"/>
    <w:rsid w:val="41E225DE"/>
    <w:rsid w:val="41E2613A"/>
    <w:rsid w:val="41E40104"/>
    <w:rsid w:val="41EA4FEF"/>
    <w:rsid w:val="41EF2605"/>
    <w:rsid w:val="41F06AA9"/>
    <w:rsid w:val="41F36599"/>
    <w:rsid w:val="41FB71FC"/>
    <w:rsid w:val="41FD11C6"/>
    <w:rsid w:val="42022339"/>
    <w:rsid w:val="42075BA1"/>
    <w:rsid w:val="420936C7"/>
    <w:rsid w:val="420F2CA7"/>
    <w:rsid w:val="42100EF9"/>
    <w:rsid w:val="42101488"/>
    <w:rsid w:val="42114C71"/>
    <w:rsid w:val="42116A20"/>
    <w:rsid w:val="421D3616"/>
    <w:rsid w:val="421D7172"/>
    <w:rsid w:val="42204EB5"/>
    <w:rsid w:val="422E312E"/>
    <w:rsid w:val="422F6EA6"/>
    <w:rsid w:val="423009B4"/>
    <w:rsid w:val="423170C2"/>
    <w:rsid w:val="42360234"/>
    <w:rsid w:val="423F533B"/>
    <w:rsid w:val="42446DF5"/>
    <w:rsid w:val="425828A0"/>
    <w:rsid w:val="425C14D6"/>
    <w:rsid w:val="425C413F"/>
    <w:rsid w:val="42611755"/>
    <w:rsid w:val="4262727B"/>
    <w:rsid w:val="42641245"/>
    <w:rsid w:val="4267663F"/>
    <w:rsid w:val="426D634C"/>
    <w:rsid w:val="4283791D"/>
    <w:rsid w:val="428606F1"/>
    <w:rsid w:val="428C42F8"/>
    <w:rsid w:val="428E62C2"/>
    <w:rsid w:val="42920FFD"/>
    <w:rsid w:val="42927B60"/>
    <w:rsid w:val="42997141"/>
    <w:rsid w:val="429D6505"/>
    <w:rsid w:val="429F227D"/>
    <w:rsid w:val="429F5DD9"/>
    <w:rsid w:val="42A11B51"/>
    <w:rsid w:val="42A6360C"/>
    <w:rsid w:val="42AB0C22"/>
    <w:rsid w:val="42AC04F6"/>
    <w:rsid w:val="42AE7C97"/>
    <w:rsid w:val="42B21FB1"/>
    <w:rsid w:val="42B71375"/>
    <w:rsid w:val="42BA2C13"/>
    <w:rsid w:val="42BC4BDD"/>
    <w:rsid w:val="42C45840"/>
    <w:rsid w:val="42D261AF"/>
    <w:rsid w:val="42D9578F"/>
    <w:rsid w:val="42DD6902"/>
    <w:rsid w:val="42DE2DA6"/>
    <w:rsid w:val="42DF267A"/>
    <w:rsid w:val="42E14644"/>
    <w:rsid w:val="42E45EE2"/>
    <w:rsid w:val="42E47C90"/>
    <w:rsid w:val="42F04887"/>
    <w:rsid w:val="42F56341"/>
    <w:rsid w:val="43000F6E"/>
    <w:rsid w:val="430125FC"/>
    <w:rsid w:val="430345BA"/>
    <w:rsid w:val="43040332"/>
    <w:rsid w:val="430A3B9B"/>
    <w:rsid w:val="430F3CF6"/>
    <w:rsid w:val="43120CA1"/>
    <w:rsid w:val="43195B8C"/>
    <w:rsid w:val="43236A0A"/>
    <w:rsid w:val="43252782"/>
    <w:rsid w:val="432602A9"/>
    <w:rsid w:val="43284021"/>
    <w:rsid w:val="432912A8"/>
    <w:rsid w:val="432F53AF"/>
    <w:rsid w:val="43302ED5"/>
    <w:rsid w:val="43370708"/>
    <w:rsid w:val="433A3D54"/>
    <w:rsid w:val="433F136A"/>
    <w:rsid w:val="4341211E"/>
    <w:rsid w:val="43421586"/>
    <w:rsid w:val="434626F9"/>
    <w:rsid w:val="4348021F"/>
    <w:rsid w:val="434A3F97"/>
    <w:rsid w:val="434B6057"/>
    <w:rsid w:val="434D3A87"/>
    <w:rsid w:val="43505326"/>
    <w:rsid w:val="43525542"/>
    <w:rsid w:val="43530054"/>
    <w:rsid w:val="43572B58"/>
    <w:rsid w:val="43574906"/>
    <w:rsid w:val="435B43F6"/>
    <w:rsid w:val="43655275"/>
    <w:rsid w:val="436A288B"/>
    <w:rsid w:val="436F1C50"/>
    <w:rsid w:val="4374370A"/>
    <w:rsid w:val="43792CB4"/>
    <w:rsid w:val="437C611B"/>
    <w:rsid w:val="437D25BE"/>
    <w:rsid w:val="4383394D"/>
    <w:rsid w:val="43853221"/>
    <w:rsid w:val="438D20D6"/>
    <w:rsid w:val="4395391D"/>
    <w:rsid w:val="43994E6F"/>
    <w:rsid w:val="43996CCD"/>
    <w:rsid w:val="439B47F3"/>
    <w:rsid w:val="439F77F0"/>
    <w:rsid w:val="43A35D9D"/>
    <w:rsid w:val="43A85162"/>
    <w:rsid w:val="43AC4C52"/>
    <w:rsid w:val="43B6162D"/>
    <w:rsid w:val="43B92ECB"/>
    <w:rsid w:val="43BC29BB"/>
    <w:rsid w:val="43C0001A"/>
    <w:rsid w:val="43C33D49"/>
    <w:rsid w:val="43C81360"/>
    <w:rsid w:val="43CA50D8"/>
    <w:rsid w:val="43D61CCF"/>
    <w:rsid w:val="43DA07EC"/>
    <w:rsid w:val="43DE6DD5"/>
    <w:rsid w:val="43DF5027"/>
    <w:rsid w:val="43E268C5"/>
    <w:rsid w:val="43E50164"/>
    <w:rsid w:val="43E73EDC"/>
    <w:rsid w:val="43F65ECD"/>
    <w:rsid w:val="43F825F9"/>
    <w:rsid w:val="43F839F3"/>
    <w:rsid w:val="43FB34E3"/>
    <w:rsid w:val="43FD725B"/>
    <w:rsid w:val="44045607"/>
    <w:rsid w:val="44056110"/>
    <w:rsid w:val="440920A4"/>
    <w:rsid w:val="44095C00"/>
    <w:rsid w:val="441026FF"/>
    <w:rsid w:val="441445A5"/>
    <w:rsid w:val="44184095"/>
    <w:rsid w:val="441C3545"/>
    <w:rsid w:val="441F3676"/>
    <w:rsid w:val="442944F4"/>
    <w:rsid w:val="44316F05"/>
    <w:rsid w:val="44337740"/>
    <w:rsid w:val="44366CBD"/>
    <w:rsid w:val="443A04B0"/>
    <w:rsid w:val="443D1D4E"/>
    <w:rsid w:val="443F5AC6"/>
    <w:rsid w:val="44427364"/>
    <w:rsid w:val="44444E8A"/>
    <w:rsid w:val="444529B0"/>
    <w:rsid w:val="44466E54"/>
    <w:rsid w:val="44486501"/>
    <w:rsid w:val="444A7FC7"/>
    <w:rsid w:val="444E5D09"/>
    <w:rsid w:val="44531571"/>
    <w:rsid w:val="44586B88"/>
    <w:rsid w:val="445D419E"/>
    <w:rsid w:val="446077EA"/>
    <w:rsid w:val="446217B4"/>
    <w:rsid w:val="44623562"/>
    <w:rsid w:val="44625310"/>
    <w:rsid w:val="44641089"/>
    <w:rsid w:val="44670B79"/>
    <w:rsid w:val="4467501D"/>
    <w:rsid w:val="447137A5"/>
    <w:rsid w:val="447500EF"/>
    <w:rsid w:val="44777EA8"/>
    <w:rsid w:val="44784B34"/>
    <w:rsid w:val="447B63D2"/>
    <w:rsid w:val="447D214A"/>
    <w:rsid w:val="447F6DF6"/>
    <w:rsid w:val="44817E8C"/>
    <w:rsid w:val="44867251"/>
    <w:rsid w:val="448B0D0B"/>
    <w:rsid w:val="448E25A9"/>
    <w:rsid w:val="44935E12"/>
    <w:rsid w:val="44937BC0"/>
    <w:rsid w:val="4496320C"/>
    <w:rsid w:val="44986F84"/>
    <w:rsid w:val="449A0979"/>
    <w:rsid w:val="449A71A0"/>
    <w:rsid w:val="449B239D"/>
    <w:rsid w:val="44A26055"/>
    <w:rsid w:val="44A43B7B"/>
    <w:rsid w:val="44B02520"/>
    <w:rsid w:val="44BA6EFA"/>
    <w:rsid w:val="44BC2C73"/>
    <w:rsid w:val="44C67F95"/>
    <w:rsid w:val="44D02BC2"/>
    <w:rsid w:val="44D0671E"/>
    <w:rsid w:val="44D51F86"/>
    <w:rsid w:val="44E1092B"/>
    <w:rsid w:val="44E421C9"/>
    <w:rsid w:val="44EB17AA"/>
    <w:rsid w:val="44EB79FC"/>
    <w:rsid w:val="44ED5522"/>
    <w:rsid w:val="44EE129A"/>
    <w:rsid w:val="44EF6C3A"/>
    <w:rsid w:val="44F3240C"/>
    <w:rsid w:val="44F763A1"/>
    <w:rsid w:val="44F87A23"/>
    <w:rsid w:val="44FE2636"/>
    <w:rsid w:val="44FE7530"/>
    <w:rsid w:val="45034D45"/>
    <w:rsid w:val="45057940"/>
    <w:rsid w:val="45062140"/>
    <w:rsid w:val="45126D36"/>
    <w:rsid w:val="45156827"/>
    <w:rsid w:val="4517491E"/>
    <w:rsid w:val="45181E73"/>
    <w:rsid w:val="451A3E3D"/>
    <w:rsid w:val="451C6AB4"/>
    <w:rsid w:val="451E70F3"/>
    <w:rsid w:val="452105A1"/>
    <w:rsid w:val="45235A92"/>
    <w:rsid w:val="452B7DF8"/>
    <w:rsid w:val="45336CAD"/>
    <w:rsid w:val="45344EFF"/>
    <w:rsid w:val="453C3DB3"/>
    <w:rsid w:val="453C76F4"/>
    <w:rsid w:val="453E18DA"/>
    <w:rsid w:val="453E5D7D"/>
    <w:rsid w:val="45430D6A"/>
    <w:rsid w:val="45486BFC"/>
    <w:rsid w:val="454A2974"/>
    <w:rsid w:val="454F2097"/>
    <w:rsid w:val="45505AB1"/>
    <w:rsid w:val="455235D7"/>
    <w:rsid w:val="45570BED"/>
    <w:rsid w:val="45575091"/>
    <w:rsid w:val="45576E3F"/>
    <w:rsid w:val="45594965"/>
    <w:rsid w:val="4561381A"/>
    <w:rsid w:val="4565330A"/>
    <w:rsid w:val="456652D4"/>
    <w:rsid w:val="45665357"/>
    <w:rsid w:val="45684BA8"/>
    <w:rsid w:val="45717F01"/>
    <w:rsid w:val="45790B64"/>
    <w:rsid w:val="45796DB6"/>
    <w:rsid w:val="457A48DC"/>
    <w:rsid w:val="457E43CC"/>
    <w:rsid w:val="458539AC"/>
    <w:rsid w:val="458A4B1F"/>
    <w:rsid w:val="458D5981"/>
    <w:rsid w:val="458F482B"/>
    <w:rsid w:val="458F7371"/>
    <w:rsid w:val="45921C25"/>
    <w:rsid w:val="45965BB9"/>
    <w:rsid w:val="459A5616"/>
    <w:rsid w:val="459A6082"/>
    <w:rsid w:val="459B31D0"/>
    <w:rsid w:val="459C0CF6"/>
    <w:rsid w:val="45A33E32"/>
    <w:rsid w:val="45AA3413"/>
    <w:rsid w:val="45AA6F6F"/>
    <w:rsid w:val="45B778DE"/>
    <w:rsid w:val="45BB117C"/>
    <w:rsid w:val="45C049E4"/>
    <w:rsid w:val="45C1250B"/>
    <w:rsid w:val="45C142B9"/>
    <w:rsid w:val="45C30031"/>
    <w:rsid w:val="45D4223E"/>
    <w:rsid w:val="45D64208"/>
    <w:rsid w:val="45DB181E"/>
    <w:rsid w:val="45E32481"/>
    <w:rsid w:val="45E85CE9"/>
    <w:rsid w:val="45ED3C28"/>
    <w:rsid w:val="45EE1552"/>
    <w:rsid w:val="45F36B68"/>
    <w:rsid w:val="45F428E0"/>
    <w:rsid w:val="45F4468E"/>
    <w:rsid w:val="45F60406"/>
    <w:rsid w:val="45FD1795"/>
    <w:rsid w:val="46020B59"/>
    <w:rsid w:val="46024FFD"/>
    <w:rsid w:val="46080139"/>
    <w:rsid w:val="46116FEE"/>
    <w:rsid w:val="46192347"/>
    <w:rsid w:val="46256F3D"/>
    <w:rsid w:val="462907DC"/>
    <w:rsid w:val="462A00B0"/>
    <w:rsid w:val="462A4554"/>
    <w:rsid w:val="462C3E28"/>
    <w:rsid w:val="462E7BA0"/>
    <w:rsid w:val="463351B6"/>
    <w:rsid w:val="46342CDD"/>
    <w:rsid w:val="46366A55"/>
    <w:rsid w:val="463B050F"/>
    <w:rsid w:val="463B22BD"/>
    <w:rsid w:val="463D7DE3"/>
    <w:rsid w:val="46401681"/>
    <w:rsid w:val="464253F9"/>
    <w:rsid w:val="46492C2C"/>
    <w:rsid w:val="464C6278"/>
    <w:rsid w:val="465005B9"/>
    <w:rsid w:val="46503AC5"/>
    <w:rsid w:val="4651388E"/>
    <w:rsid w:val="46535859"/>
    <w:rsid w:val="46537607"/>
    <w:rsid w:val="465515D1"/>
    <w:rsid w:val="465D66D7"/>
    <w:rsid w:val="465E7D59"/>
    <w:rsid w:val="46607F75"/>
    <w:rsid w:val="46623CEE"/>
    <w:rsid w:val="466435C2"/>
    <w:rsid w:val="466B0DF4"/>
    <w:rsid w:val="466C06C8"/>
    <w:rsid w:val="466C2476"/>
    <w:rsid w:val="4670640B"/>
    <w:rsid w:val="46715CDF"/>
    <w:rsid w:val="46737CA9"/>
    <w:rsid w:val="46767799"/>
    <w:rsid w:val="467852BF"/>
    <w:rsid w:val="467F03FC"/>
    <w:rsid w:val="46804174"/>
    <w:rsid w:val="46895B79"/>
    <w:rsid w:val="46902609"/>
    <w:rsid w:val="46935C55"/>
    <w:rsid w:val="469519CD"/>
    <w:rsid w:val="46971BE9"/>
    <w:rsid w:val="46A240EA"/>
    <w:rsid w:val="46AC6D17"/>
    <w:rsid w:val="46AE0CE1"/>
    <w:rsid w:val="46AF05B5"/>
    <w:rsid w:val="46AF199A"/>
    <w:rsid w:val="46B06807"/>
    <w:rsid w:val="46B439B7"/>
    <w:rsid w:val="46B67B95"/>
    <w:rsid w:val="46BC0A08"/>
    <w:rsid w:val="46C2653A"/>
    <w:rsid w:val="46C6427C"/>
    <w:rsid w:val="46CC1167"/>
    <w:rsid w:val="46CE1383"/>
    <w:rsid w:val="46E2098A"/>
    <w:rsid w:val="46EB783F"/>
    <w:rsid w:val="46F10BCE"/>
    <w:rsid w:val="46F5246C"/>
    <w:rsid w:val="46F74436"/>
    <w:rsid w:val="46F81F5C"/>
    <w:rsid w:val="46FF153C"/>
    <w:rsid w:val="47024B89"/>
    <w:rsid w:val="4703102D"/>
    <w:rsid w:val="47046B53"/>
    <w:rsid w:val="47094169"/>
    <w:rsid w:val="470E79D1"/>
    <w:rsid w:val="4710023F"/>
    <w:rsid w:val="4710374A"/>
    <w:rsid w:val="471054F8"/>
    <w:rsid w:val="471548BC"/>
    <w:rsid w:val="47192C48"/>
    <w:rsid w:val="471C20EE"/>
    <w:rsid w:val="471C5C4A"/>
    <w:rsid w:val="47213261"/>
    <w:rsid w:val="47280A93"/>
    <w:rsid w:val="473311E6"/>
    <w:rsid w:val="47347438"/>
    <w:rsid w:val="473531B0"/>
    <w:rsid w:val="47394A4E"/>
    <w:rsid w:val="473C453F"/>
    <w:rsid w:val="4740402F"/>
    <w:rsid w:val="474156B1"/>
    <w:rsid w:val="474451A1"/>
    <w:rsid w:val="47482EE3"/>
    <w:rsid w:val="474A6C5C"/>
    <w:rsid w:val="474D22A8"/>
    <w:rsid w:val="474D4056"/>
    <w:rsid w:val="474F4272"/>
    <w:rsid w:val="475278BE"/>
    <w:rsid w:val="475F022D"/>
    <w:rsid w:val="476475F1"/>
    <w:rsid w:val="476A10AC"/>
    <w:rsid w:val="47723ABC"/>
    <w:rsid w:val="477A6E15"/>
    <w:rsid w:val="477B5067"/>
    <w:rsid w:val="477C3392"/>
    <w:rsid w:val="477F442B"/>
    <w:rsid w:val="47833F1C"/>
    <w:rsid w:val="478403E3"/>
    <w:rsid w:val="47855EE6"/>
    <w:rsid w:val="478825D7"/>
    <w:rsid w:val="47887784"/>
    <w:rsid w:val="478C7274"/>
    <w:rsid w:val="479223B1"/>
    <w:rsid w:val="479274A9"/>
    <w:rsid w:val="47947ED7"/>
    <w:rsid w:val="47AA76FA"/>
    <w:rsid w:val="47AD21BF"/>
    <w:rsid w:val="47AF2F63"/>
    <w:rsid w:val="47B2035D"/>
    <w:rsid w:val="47B55093"/>
    <w:rsid w:val="47BC567F"/>
    <w:rsid w:val="47C00CCC"/>
    <w:rsid w:val="47C167F2"/>
    <w:rsid w:val="47C3256A"/>
    <w:rsid w:val="47CB42B8"/>
    <w:rsid w:val="47D227AD"/>
    <w:rsid w:val="47D76015"/>
    <w:rsid w:val="47DB78B4"/>
    <w:rsid w:val="47DC187E"/>
    <w:rsid w:val="47E04ECA"/>
    <w:rsid w:val="47E30E5E"/>
    <w:rsid w:val="47E744AA"/>
    <w:rsid w:val="47E86474"/>
    <w:rsid w:val="47EC6A47"/>
    <w:rsid w:val="47F15329"/>
    <w:rsid w:val="47F334C4"/>
    <w:rsid w:val="47F6649C"/>
    <w:rsid w:val="480037BE"/>
    <w:rsid w:val="480706A9"/>
    <w:rsid w:val="480C3F11"/>
    <w:rsid w:val="480F5247"/>
    <w:rsid w:val="48113E7C"/>
    <w:rsid w:val="481334F1"/>
    <w:rsid w:val="481728B6"/>
    <w:rsid w:val="48174664"/>
    <w:rsid w:val="481E1E96"/>
    <w:rsid w:val="482A083B"/>
    <w:rsid w:val="48335942"/>
    <w:rsid w:val="48380792"/>
    <w:rsid w:val="48382F58"/>
    <w:rsid w:val="483B0352"/>
    <w:rsid w:val="483B65A4"/>
    <w:rsid w:val="483E2513"/>
    <w:rsid w:val="484418FD"/>
    <w:rsid w:val="484C6A03"/>
    <w:rsid w:val="484E277B"/>
    <w:rsid w:val="484F02A2"/>
    <w:rsid w:val="4851401A"/>
    <w:rsid w:val="485540ED"/>
    <w:rsid w:val="48594C7C"/>
    <w:rsid w:val="485D476D"/>
    <w:rsid w:val="486362F5"/>
    <w:rsid w:val="48643D4D"/>
    <w:rsid w:val="486A50DB"/>
    <w:rsid w:val="486A6E89"/>
    <w:rsid w:val="486D24D6"/>
    <w:rsid w:val="48743864"/>
    <w:rsid w:val="4877302A"/>
    <w:rsid w:val="487970CD"/>
    <w:rsid w:val="488551AC"/>
    <w:rsid w:val="48897310"/>
    <w:rsid w:val="488B752C"/>
    <w:rsid w:val="488C32A4"/>
    <w:rsid w:val="48943F06"/>
    <w:rsid w:val="48952158"/>
    <w:rsid w:val="489A151D"/>
    <w:rsid w:val="489B7043"/>
    <w:rsid w:val="48A00AFD"/>
    <w:rsid w:val="48A028AB"/>
    <w:rsid w:val="48A26623"/>
    <w:rsid w:val="48A44C18"/>
    <w:rsid w:val="48AC2FFE"/>
    <w:rsid w:val="48AC3127"/>
    <w:rsid w:val="48B16866"/>
    <w:rsid w:val="48B545A9"/>
    <w:rsid w:val="48C06AA9"/>
    <w:rsid w:val="48D16F09"/>
    <w:rsid w:val="48D34A2F"/>
    <w:rsid w:val="48D72771"/>
    <w:rsid w:val="48D80297"/>
    <w:rsid w:val="48E46C3C"/>
    <w:rsid w:val="48E56510"/>
    <w:rsid w:val="48E704DA"/>
    <w:rsid w:val="48EA3B26"/>
    <w:rsid w:val="48F350D1"/>
    <w:rsid w:val="48F84495"/>
    <w:rsid w:val="48F86243"/>
    <w:rsid w:val="4907292A"/>
    <w:rsid w:val="490746D8"/>
    <w:rsid w:val="49090450"/>
    <w:rsid w:val="491C0184"/>
    <w:rsid w:val="49221512"/>
    <w:rsid w:val="492359B6"/>
    <w:rsid w:val="4929464F"/>
    <w:rsid w:val="49296D45"/>
    <w:rsid w:val="492C30FE"/>
    <w:rsid w:val="492F1289"/>
    <w:rsid w:val="493A4AAE"/>
    <w:rsid w:val="493D0B77"/>
    <w:rsid w:val="493F1574"/>
    <w:rsid w:val="4941408E"/>
    <w:rsid w:val="49465201"/>
    <w:rsid w:val="49492F43"/>
    <w:rsid w:val="49520049"/>
    <w:rsid w:val="4953791E"/>
    <w:rsid w:val="495518E8"/>
    <w:rsid w:val="495711BC"/>
    <w:rsid w:val="4957740E"/>
    <w:rsid w:val="495A5150"/>
    <w:rsid w:val="495D254A"/>
    <w:rsid w:val="495F62C2"/>
    <w:rsid w:val="496E4757"/>
    <w:rsid w:val="496F29A9"/>
    <w:rsid w:val="49755AE6"/>
    <w:rsid w:val="4977360C"/>
    <w:rsid w:val="497A75A0"/>
    <w:rsid w:val="497E0E3E"/>
    <w:rsid w:val="49804BB7"/>
    <w:rsid w:val="4981448B"/>
    <w:rsid w:val="49830203"/>
    <w:rsid w:val="49836455"/>
    <w:rsid w:val="498521CD"/>
    <w:rsid w:val="49861AA1"/>
    <w:rsid w:val="49865F45"/>
    <w:rsid w:val="498E6BA8"/>
    <w:rsid w:val="499C12C5"/>
    <w:rsid w:val="499F0DB5"/>
    <w:rsid w:val="49A14B2D"/>
    <w:rsid w:val="49B02FC2"/>
    <w:rsid w:val="49B71F24"/>
    <w:rsid w:val="49B900C8"/>
    <w:rsid w:val="49C565CB"/>
    <w:rsid w:val="49C83E68"/>
    <w:rsid w:val="49CC7DFC"/>
    <w:rsid w:val="49CD147E"/>
    <w:rsid w:val="49D547D7"/>
    <w:rsid w:val="49DE368B"/>
    <w:rsid w:val="49E05655"/>
    <w:rsid w:val="49E07403"/>
    <w:rsid w:val="49E14F29"/>
    <w:rsid w:val="49E52C6C"/>
    <w:rsid w:val="49F7299F"/>
    <w:rsid w:val="49F805EB"/>
    <w:rsid w:val="49F96717"/>
    <w:rsid w:val="4A007AA5"/>
    <w:rsid w:val="4A0155CC"/>
    <w:rsid w:val="4A02381D"/>
    <w:rsid w:val="4A0550BC"/>
    <w:rsid w:val="4A056E6A"/>
    <w:rsid w:val="4A070E34"/>
    <w:rsid w:val="4A0A26D2"/>
    <w:rsid w:val="4A0F5F3A"/>
    <w:rsid w:val="4A100B71"/>
    <w:rsid w:val="4A11580F"/>
    <w:rsid w:val="4A130C33"/>
    <w:rsid w:val="4A1470AD"/>
    <w:rsid w:val="4A1672C9"/>
    <w:rsid w:val="4A1E617D"/>
    <w:rsid w:val="4A235542"/>
    <w:rsid w:val="4A2A2D74"/>
    <w:rsid w:val="4A365275"/>
    <w:rsid w:val="4A392FB7"/>
    <w:rsid w:val="4A396B13"/>
    <w:rsid w:val="4A404346"/>
    <w:rsid w:val="4A4060F4"/>
    <w:rsid w:val="4A4554B8"/>
    <w:rsid w:val="4A4A2ACF"/>
    <w:rsid w:val="4A4A6F73"/>
    <w:rsid w:val="4A4C6847"/>
    <w:rsid w:val="4A4D0811"/>
    <w:rsid w:val="4A4E6A63"/>
    <w:rsid w:val="4A5676C5"/>
    <w:rsid w:val="4A5C2802"/>
    <w:rsid w:val="4A5D0A54"/>
    <w:rsid w:val="4A600544"/>
    <w:rsid w:val="4A62606A"/>
    <w:rsid w:val="4A653DAC"/>
    <w:rsid w:val="4A6A13C3"/>
    <w:rsid w:val="4A6C0C97"/>
    <w:rsid w:val="4A6E1068"/>
    <w:rsid w:val="4A742241"/>
    <w:rsid w:val="4A761B16"/>
    <w:rsid w:val="4A786951"/>
    <w:rsid w:val="4A82495E"/>
    <w:rsid w:val="4A897A9B"/>
    <w:rsid w:val="4A8C1339"/>
    <w:rsid w:val="4A965D14"/>
    <w:rsid w:val="4A9B77CE"/>
    <w:rsid w:val="4AAE12AF"/>
    <w:rsid w:val="4AB04516"/>
    <w:rsid w:val="4AB50890"/>
    <w:rsid w:val="4AB60164"/>
    <w:rsid w:val="4ABD5996"/>
    <w:rsid w:val="4ABF170F"/>
    <w:rsid w:val="4AC46D25"/>
    <w:rsid w:val="4AD02C9C"/>
    <w:rsid w:val="4ADA6548"/>
    <w:rsid w:val="4AE03433"/>
    <w:rsid w:val="4AE34DD2"/>
    <w:rsid w:val="4AE72A13"/>
    <w:rsid w:val="4AE820F1"/>
    <w:rsid w:val="4AE91781"/>
    <w:rsid w:val="4AF313B8"/>
    <w:rsid w:val="4AF34F14"/>
    <w:rsid w:val="4AF60EA8"/>
    <w:rsid w:val="4AF84C20"/>
    <w:rsid w:val="4B052E99"/>
    <w:rsid w:val="4B054C48"/>
    <w:rsid w:val="4B0C5FD6"/>
    <w:rsid w:val="4B11183E"/>
    <w:rsid w:val="4B117A90"/>
    <w:rsid w:val="4B137364"/>
    <w:rsid w:val="4B1B446B"/>
    <w:rsid w:val="4B2772B4"/>
    <w:rsid w:val="4B29302C"/>
    <w:rsid w:val="4B2A1534"/>
    <w:rsid w:val="4B2C0426"/>
    <w:rsid w:val="4B3519D1"/>
    <w:rsid w:val="4B375BFB"/>
    <w:rsid w:val="4B3A0D95"/>
    <w:rsid w:val="4B3D6AD7"/>
    <w:rsid w:val="4B46598C"/>
    <w:rsid w:val="4B490FD8"/>
    <w:rsid w:val="4B4B2FA2"/>
    <w:rsid w:val="4B4D6D1A"/>
    <w:rsid w:val="4B555BCF"/>
    <w:rsid w:val="4B571947"/>
    <w:rsid w:val="4B58746D"/>
    <w:rsid w:val="4B5A1437"/>
    <w:rsid w:val="4B5A31E5"/>
    <w:rsid w:val="4B661B8A"/>
    <w:rsid w:val="4B663938"/>
    <w:rsid w:val="4B6B0F4E"/>
    <w:rsid w:val="4B7F0E9E"/>
    <w:rsid w:val="4B885FA4"/>
    <w:rsid w:val="4B8D35BB"/>
    <w:rsid w:val="4B906C07"/>
    <w:rsid w:val="4B944949"/>
    <w:rsid w:val="4B971D44"/>
    <w:rsid w:val="4B9A5CD8"/>
    <w:rsid w:val="4B9B6A46"/>
    <w:rsid w:val="4BA17066"/>
    <w:rsid w:val="4BA34B8C"/>
    <w:rsid w:val="4BA44460"/>
    <w:rsid w:val="4BA821A3"/>
    <w:rsid w:val="4BAB1C93"/>
    <w:rsid w:val="4BB02E05"/>
    <w:rsid w:val="4BB70638"/>
    <w:rsid w:val="4BB74194"/>
    <w:rsid w:val="4BBF129A"/>
    <w:rsid w:val="4BCB6612"/>
    <w:rsid w:val="4BCF496E"/>
    <w:rsid w:val="4BD034A7"/>
    <w:rsid w:val="4BD25472"/>
    <w:rsid w:val="4BDE7972"/>
    <w:rsid w:val="4BE11211"/>
    <w:rsid w:val="4BE551A5"/>
    <w:rsid w:val="4BEF1B80"/>
    <w:rsid w:val="4BF94693"/>
    <w:rsid w:val="4BFB49C8"/>
    <w:rsid w:val="4C070814"/>
    <w:rsid w:val="4C0A0767"/>
    <w:rsid w:val="4C0B44E0"/>
    <w:rsid w:val="4C121D12"/>
    <w:rsid w:val="4C207F8B"/>
    <w:rsid w:val="4C286E40"/>
    <w:rsid w:val="4C2D4456"/>
    <w:rsid w:val="4C325F10"/>
    <w:rsid w:val="4C3B3017"/>
    <w:rsid w:val="4C3F4F71"/>
    <w:rsid w:val="4C40062D"/>
    <w:rsid w:val="4C4023DB"/>
    <w:rsid w:val="4C4C6FD2"/>
    <w:rsid w:val="4C4F073F"/>
    <w:rsid w:val="4C4F0870"/>
    <w:rsid w:val="4C516D59"/>
    <w:rsid w:val="4C547C35"/>
    <w:rsid w:val="4C577725"/>
    <w:rsid w:val="4C5916EF"/>
    <w:rsid w:val="4C5B5467"/>
    <w:rsid w:val="4C5E4F57"/>
    <w:rsid w:val="4C60482B"/>
    <w:rsid w:val="4C651E42"/>
    <w:rsid w:val="4C7B3413"/>
    <w:rsid w:val="4C7E1155"/>
    <w:rsid w:val="4C804ECE"/>
    <w:rsid w:val="4C87000A"/>
    <w:rsid w:val="4C87625C"/>
    <w:rsid w:val="4C8D1398"/>
    <w:rsid w:val="4C8D6FAC"/>
    <w:rsid w:val="4C9124AD"/>
    <w:rsid w:val="4C991AEB"/>
    <w:rsid w:val="4CB132D9"/>
    <w:rsid w:val="4CB608EF"/>
    <w:rsid w:val="4CB6269D"/>
    <w:rsid w:val="4CB9218D"/>
    <w:rsid w:val="4CBA03DF"/>
    <w:rsid w:val="4CBD3A2C"/>
    <w:rsid w:val="4CBD57DA"/>
    <w:rsid w:val="4CBE1552"/>
    <w:rsid w:val="4CC4300C"/>
    <w:rsid w:val="4CCA6149"/>
    <w:rsid w:val="4CCE3E8B"/>
    <w:rsid w:val="4CCF375F"/>
    <w:rsid w:val="4CD11285"/>
    <w:rsid w:val="4CD15729"/>
    <w:rsid w:val="4CD3324F"/>
    <w:rsid w:val="4CDB65A8"/>
    <w:rsid w:val="4CDF7E46"/>
    <w:rsid w:val="4CE23492"/>
    <w:rsid w:val="4CE37103"/>
    <w:rsid w:val="4CE90CC5"/>
    <w:rsid w:val="4CE92A73"/>
    <w:rsid w:val="4CED5BCC"/>
    <w:rsid w:val="4CEF5BAF"/>
    <w:rsid w:val="4CF03E01"/>
    <w:rsid w:val="4CF82CB6"/>
    <w:rsid w:val="4CFA4C80"/>
    <w:rsid w:val="4D043409"/>
    <w:rsid w:val="4D07114B"/>
    <w:rsid w:val="4D0C050F"/>
    <w:rsid w:val="4D1216E3"/>
    <w:rsid w:val="4D155616"/>
    <w:rsid w:val="4D1B0752"/>
    <w:rsid w:val="4D203FBB"/>
    <w:rsid w:val="4D2B308B"/>
    <w:rsid w:val="4D3006A2"/>
    <w:rsid w:val="4D3161C8"/>
    <w:rsid w:val="4D387556"/>
    <w:rsid w:val="4D3F6B37"/>
    <w:rsid w:val="4D477799"/>
    <w:rsid w:val="4D4952BF"/>
    <w:rsid w:val="4D4E0B28"/>
    <w:rsid w:val="4D53613E"/>
    <w:rsid w:val="4D5A127B"/>
    <w:rsid w:val="4D5C3245"/>
    <w:rsid w:val="4D626381"/>
    <w:rsid w:val="4D64034B"/>
    <w:rsid w:val="4D6B3488"/>
    <w:rsid w:val="4D6C68F4"/>
    <w:rsid w:val="4D6C7200"/>
    <w:rsid w:val="4D700A9E"/>
    <w:rsid w:val="4D70408D"/>
    <w:rsid w:val="4D761E2D"/>
    <w:rsid w:val="4D774864"/>
    <w:rsid w:val="4D7A36CB"/>
    <w:rsid w:val="4D7F0CE1"/>
    <w:rsid w:val="4D7F33D7"/>
    <w:rsid w:val="4D7F6F33"/>
    <w:rsid w:val="4D834C75"/>
    <w:rsid w:val="4D875DE8"/>
    <w:rsid w:val="4D8B3B2A"/>
    <w:rsid w:val="4D8C33FE"/>
    <w:rsid w:val="4D8D78A2"/>
    <w:rsid w:val="4D970721"/>
    <w:rsid w:val="4D981DA3"/>
    <w:rsid w:val="4D986247"/>
    <w:rsid w:val="4D9A5B1B"/>
    <w:rsid w:val="4D9D385D"/>
    <w:rsid w:val="4D9E1AAF"/>
    <w:rsid w:val="4DA644C0"/>
    <w:rsid w:val="4DAB41CC"/>
    <w:rsid w:val="4DB77F9E"/>
    <w:rsid w:val="4DB841F3"/>
    <w:rsid w:val="4DBD7A5B"/>
    <w:rsid w:val="4DBF5582"/>
    <w:rsid w:val="4DCD7C9F"/>
    <w:rsid w:val="4DCF7EBB"/>
    <w:rsid w:val="4DD059E1"/>
    <w:rsid w:val="4DD23507"/>
    <w:rsid w:val="4DD252B5"/>
    <w:rsid w:val="4DD3727F"/>
    <w:rsid w:val="4DD76D6F"/>
    <w:rsid w:val="4DDA060D"/>
    <w:rsid w:val="4DDC25D7"/>
    <w:rsid w:val="4DDC6134"/>
    <w:rsid w:val="4DDE00FE"/>
    <w:rsid w:val="4DE33966"/>
    <w:rsid w:val="4DE35714"/>
    <w:rsid w:val="4DF47921"/>
    <w:rsid w:val="4DF711BF"/>
    <w:rsid w:val="4DFE60AA"/>
    <w:rsid w:val="4E014268"/>
    <w:rsid w:val="4E0222D7"/>
    <w:rsid w:val="4E0F02B7"/>
    <w:rsid w:val="4E127DA7"/>
    <w:rsid w:val="4E141D71"/>
    <w:rsid w:val="4E157897"/>
    <w:rsid w:val="4E173610"/>
    <w:rsid w:val="4E1C4782"/>
    <w:rsid w:val="4E1E674C"/>
    <w:rsid w:val="4E2A50F1"/>
    <w:rsid w:val="4E2D2E33"/>
    <w:rsid w:val="4E2D4D99"/>
    <w:rsid w:val="4E320449"/>
    <w:rsid w:val="4E355844"/>
    <w:rsid w:val="4E3E0B9C"/>
    <w:rsid w:val="4E41243B"/>
    <w:rsid w:val="4E45017D"/>
    <w:rsid w:val="4E487C6D"/>
    <w:rsid w:val="4E4A12EF"/>
    <w:rsid w:val="4E4B32B9"/>
    <w:rsid w:val="4E4E4D53"/>
    <w:rsid w:val="4E5403C0"/>
    <w:rsid w:val="4E5959D6"/>
    <w:rsid w:val="4E5A559B"/>
    <w:rsid w:val="4E5C54C6"/>
    <w:rsid w:val="4E612ADD"/>
    <w:rsid w:val="4E6A373F"/>
    <w:rsid w:val="4E6B74B7"/>
    <w:rsid w:val="4E6C5709"/>
    <w:rsid w:val="4E710F72"/>
    <w:rsid w:val="4E775E5C"/>
    <w:rsid w:val="4E7C3473"/>
    <w:rsid w:val="4E8011B5"/>
    <w:rsid w:val="4E802F63"/>
    <w:rsid w:val="4E8642F1"/>
    <w:rsid w:val="4E8A3DE2"/>
    <w:rsid w:val="4E8B1908"/>
    <w:rsid w:val="4E8C5DAC"/>
    <w:rsid w:val="4E8F764A"/>
    <w:rsid w:val="4E9133C2"/>
    <w:rsid w:val="4E946A0E"/>
    <w:rsid w:val="4E994025"/>
    <w:rsid w:val="4EA50C1B"/>
    <w:rsid w:val="4EA604F0"/>
    <w:rsid w:val="4EA824BA"/>
    <w:rsid w:val="4EAA5D9A"/>
    <w:rsid w:val="4EB72F72"/>
    <w:rsid w:val="4EC56BC8"/>
    <w:rsid w:val="4ECC264C"/>
    <w:rsid w:val="4ECC7F56"/>
    <w:rsid w:val="4ECD3CCE"/>
    <w:rsid w:val="4ECE5195"/>
    <w:rsid w:val="4ED17C62"/>
    <w:rsid w:val="4ED84B4D"/>
    <w:rsid w:val="4EE23C1E"/>
    <w:rsid w:val="4EE554BC"/>
    <w:rsid w:val="4EE71234"/>
    <w:rsid w:val="4EE72FE2"/>
    <w:rsid w:val="4EE748AB"/>
    <w:rsid w:val="4EEC05F8"/>
    <w:rsid w:val="4EEC23A6"/>
    <w:rsid w:val="4EF31987"/>
    <w:rsid w:val="4EF92D15"/>
    <w:rsid w:val="4EFD2805"/>
    <w:rsid w:val="4F0162CF"/>
    <w:rsid w:val="4F041DE6"/>
    <w:rsid w:val="4F05790C"/>
    <w:rsid w:val="4F0A6CD0"/>
    <w:rsid w:val="4F132029"/>
    <w:rsid w:val="4F147B4F"/>
    <w:rsid w:val="4F153F40"/>
    <w:rsid w:val="4F157929"/>
    <w:rsid w:val="4F165675"/>
    <w:rsid w:val="4F1B2C8C"/>
    <w:rsid w:val="4F1D4C56"/>
    <w:rsid w:val="4F205FDF"/>
    <w:rsid w:val="4F26716D"/>
    <w:rsid w:val="4F284984"/>
    <w:rsid w:val="4F304989"/>
    <w:rsid w:val="4F3A5808"/>
    <w:rsid w:val="4F3A75B6"/>
    <w:rsid w:val="4F3B332E"/>
    <w:rsid w:val="4F3D70A6"/>
    <w:rsid w:val="4F3F4BCC"/>
    <w:rsid w:val="4F42646A"/>
    <w:rsid w:val="4F4C553B"/>
    <w:rsid w:val="4F4E4E0F"/>
    <w:rsid w:val="4F5148FF"/>
    <w:rsid w:val="4F583EE0"/>
    <w:rsid w:val="4F602D94"/>
    <w:rsid w:val="4F6208BA"/>
    <w:rsid w:val="4F665D41"/>
    <w:rsid w:val="4F6665FD"/>
    <w:rsid w:val="4F674123"/>
    <w:rsid w:val="4F6939F7"/>
    <w:rsid w:val="4F697E9B"/>
    <w:rsid w:val="4F714FA1"/>
    <w:rsid w:val="4F7505EE"/>
    <w:rsid w:val="4F7800DE"/>
    <w:rsid w:val="4F781E8C"/>
    <w:rsid w:val="4F7C2F5A"/>
    <w:rsid w:val="4F7C5E20"/>
    <w:rsid w:val="4F7F76BE"/>
    <w:rsid w:val="4F806F93"/>
    <w:rsid w:val="4F820F5D"/>
    <w:rsid w:val="4F846A83"/>
    <w:rsid w:val="4F905428"/>
    <w:rsid w:val="4F950C90"/>
    <w:rsid w:val="4F9667B6"/>
    <w:rsid w:val="4F974A08"/>
    <w:rsid w:val="4F9A0054"/>
    <w:rsid w:val="4F9C201E"/>
    <w:rsid w:val="4FA233AD"/>
    <w:rsid w:val="4FA64C4B"/>
    <w:rsid w:val="4FA7451F"/>
    <w:rsid w:val="4FAB2261"/>
    <w:rsid w:val="4FAB400F"/>
    <w:rsid w:val="4FAD5FDA"/>
    <w:rsid w:val="4FB46852"/>
    <w:rsid w:val="4FB629B4"/>
    <w:rsid w:val="4FB8672C"/>
    <w:rsid w:val="4FBB3F6A"/>
    <w:rsid w:val="4FBC446F"/>
    <w:rsid w:val="4FBC621D"/>
    <w:rsid w:val="4FBF3F5F"/>
    <w:rsid w:val="4FC05FC5"/>
    <w:rsid w:val="4FC6709B"/>
    <w:rsid w:val="4FCB46B2"/>
    <w:rsid w:val="4FCC21D8"/>
    <w:rsid w:val="4FCE5F50"/>
    <w:rsid w:val="4FD03A76"/>
    <w:rsid w:val="4FD07F1A"/>
    <w:rsid w:val="4FD23C92"/>
    <w:rsid w:val="4FD86DCF"/>
    <w:rsid w:val="4FDF015D"/>
    <w:rsid w:val="4FE614EB"/>
    <w:rsid w:val="4FE70DC0"/>
    <w:rsid w:val="4FEB4D54"/>
    <w:rsid w:val="4FF04118"/>
    <w:rsid w:val="4FF77255"/>
    <w:rsid w:val="4FF86042"/>
    <w:rsid w:val="500A342C"/>
    <w:rsid w:val="500B2D00"/>
    <w:rsid w:val="500D0826"/>
    <w:rsid w:val="50125E3D"/>
    <w:rsid w:val="50175B49"/>
    <w:rsid w:val="5019541D"/>
    <w:rsid w:val="501E2A33"/>
    <w:rsid w:val="502344EE"/>
    <w:rsid w:val="502838B2"/>
    <w:rsid w:val="502A587C"/>
    <w:rsid w:val="50373AF5"/>
    <w:rsid w:val="5039786D"/>
    <w:rsid w:val="50432373"/>
    <w:rsid w:val="50447FC0"/>
    <w:rsid w:val="504B134F"/>
    <w:rsid w:val="504B75A0"/>
    <w:rsid w:val="504D3319"/>
    <w:rsid w:val="50502E09"/>
    <w:rsid w:val="5052092F"/>
    <w:rsid w:val="50526B81"/>
    <w:rsid w:val="50574197"/>
    <w:rsid w:val="50597F0F"/>
    <w:rsid w:val="505C278E"/>
    <w:rsid w:val="50610B72"/>
    <w:rsid w:val="50650662"/>
    <w:rsid w:val="50666188"/>
    <w:rsid w:val="50680152"/>
    <w:rsid w:val="50745D67"/>
    <w:rsid w:val="50770396"/>
    <w:rsid w:val="507C775A"/>
    <w:rsid w:val="50834F8C"/>
    <w:rsid w:val="50836D3A"/>
    <w:rsid w:val="508A1E77"/>
    <w:rsid w:val="50947199"/>
    <w:rsid w:val="50962F12"/>
    <w:rsid w:val="509C14FC"/>
    <w:rsid w:val="509E3B74"/>
    <w:rsid w:val="50A158D7"/>
    <w:rsid w:val="50A32F39"/>
    <w:rsid w:val="50A849F3"/>
    <w:rsid w:val="50AF18DD"/>
    <w:rsid w:val="50B138A7"/>
    <w:rsid w:val="50B909AE"/>
    <w:rsid w:val="50BB2978"/>
    <w:rsid w:val="50BB64D4"/>
    <w:rsid w:val="50C50B26"/>
    <w:rsid w:val="50C57353"/>
    <w:rsid w:val="50C730CB"/>
    <w:rsid w:val="50C86E43"/>
    <w:rsid w:val="50CD6207"/>
    <w:rsid w:val="50DD469C"/>
    <w:rsid w:val="50E35A2B"/>
    <w:rsid w:val="50ED2406"/>
    <w:rsid w:val="50F43794"/>
    <w:rsid w:val="50F61095"/>
    <w:rsid w:val="50F6575E"/>
    <w:rsid w:val="50F934A0"/>
    <w:rsid w:val="50F9524E"/>
    <w:rsid w:val="50FB2CD2"/>
    <w:rsid w:val="50FC089B"/>
    <w:rsid w:val="510460CD"/>
    <w:rsid w:val="510A745C"/>
    <w:rsid w:val="51143E36"/>
    <w:rsid w:val="51167646"/>
    <w:rsid w:val="511856D5"/>
    <w:rsid w:val="511B6F73"/>
    <w:rsid w:val="511D2CEB"/>
    <w:rsid w:val="51281690"/>
    <w:rsid w:val="512A5408"/>
    <w:rsid w:val="51312C3A"/>
    <w:rsid w:val="51313B46"/>
    <w:rsid w:val="513242BC"/>
    <w:rsid w:val="51360251"/>
    <w:rsid w:val="51361FFF"/>
    <w:rsid w:val="51363DAD"/>
    <w:rsid w:val="51385D77"/>
    <w:rsid w:val="5139389D"/>
    <w:rsid w:val="513B13C3"/>
    <w:rsid w:val="513E2C61"/>
    <w:rsid w:val="5147420C"/>
    <w:rsid w:val="514E559A"/>
    <w:rsid w:val="51510BE7"/>
    <w:rsid w:val="5151508A"/>
    <w:rsid w:val="51532BB1"/>
    <w:rsid w:val="515406D7"/>
    <w:rsid w:val="51552F41"/>
    <w:rsid w:val="51556929"/>
    <w:rsid w:val="5156444F"/>
    <w:rsid w:val="51570432"/>
    <w:rsid w:val="515F3303"/>
    <w:rsid w:val="516052CE"/>
    <w:rsid w:val="5160707C"/>
    <w:rsid w:val="516923D4"/>
    <w:rsid w:val="516E081B"/>
    <w:rsid w:val="516E79EA"/>
    <w:rsid w:val="51782617"/>
    <w:rsid w:val="517B3EB5"/>
    <w:rsid w:val="51842D6A"/>
    <w:rsid w:val="5184720E"/>
    <w:rsid w:val="51870AAC"/>
    <w:rsid w:val="518E5997"/>
    <w:rsid w:val="519474A6"/>
    <w:rsid w:val="519747D8"/>
    <w:rsid w:val="519F5DF6"/>
    <w:rsid w:val="51A11B6E"/>
    <w:rsid w:val="51A14F54"/>
    <w:rsid w:val="51A27E07"/>
    <w:rsid w:val="51A76A58"/>
    <w:rsid w:val="51AA02F7"/>
    <w:rsid w:val="51AC0513"/>
    <w:rsid w:val="51B353FD"/>
    <w:rsid w:val="51B573C7"/>
    <w:rsid w:val="51C63383"/>
    <w:rsid w:val="51C8534D"/>
    <w:rsid w:val="51D4082C"/>
    <w:rsid w:val="51DD247A"/>
    <w:rsid w:val="51E23F34"/>
    <w:rsid w:val="51E25CE3"/>
    <w:rsid w:val="51E9259B"/>
    <w:rsid w:val="51ED6B61"/>
    <w:rsid w:val="51EE0B2B"/>
    <w:rsid w:val="51EF077E"/>
    <w:rsid w:val="51F6353C"/>
    <w:rsid w:val="51F779E0"/>
    <w:rsid w:val="51F83758"/>
    <w:rsid w:val="51F83955"/>
    <w:rsid w:val="51F85506"/>
    <w:rsid w:val="52021EE1"/>
    <w:rsid w:val="52030F99"/>
    <w:rsid w:val="52043EAB"/>
    <w:rsid w:val="520E6AD8"/>
    <w:rsid w:val="521560B8"/>
    <w:rsid w:val="52157E66"/>
    <w:rsid w:val="521F0CE5"/>
    <w:rsid w:val="52293911"/>
    <w:rsid w:val="523227C6"/>
    <w:rsid w:val="52324DF2"/>
    <w:rsid w:val="523302EC"/>
    <w:rsid w:val="5233653E"/>
    <w:rsid w:val="523522B6"/>
    <w:rsid w:val="523C3645"/>
    <w:rsid w:val="524E3378"/>
    <w:rsid w:val="52524C16"/>
    <w:rsid w:val="5257222D"/>
    <w:rsid w:val="525941F7"/>
    <w:rsid w:val="525C3CE7"/>
    <w:rsid w:val="525E35BB"/>
    <w:rsid w:val="526130AB"/>
    <w:rsid w:val="52614E59"/>
    <w:rsid w:val="52636E23"/>
    <w:rsid w:val="52650DED"/>
    <w:rsid w:val="5266383D"/>
    <w:rsid w:val="526B3F2A"/>
    <w:rsid w:val="527032EE"/>
    <w:rsid w:val="52734B8D"/>
    <w:rsid w:val="527821A3"/>
    <w:rsid w:val="527C6137"/>
    <w:rsid w:val="528A0854"/>
    <w:rsid w:val="528C45CC"/>
    <w:rsid w:val="528D5C4E"/>
    <w:rsid w:val="528F5E6A"/>
    <w:rsid w:val="528F7435"/>
    <w:rsid w:val="52927709"/>
    <w:rsid w:val="529C40E3"/>
    <w:rsid w:val="52A116FA"/>
    <w:rsid w:val="52A5743C"/>
    <w:rsid w:val="52AF3E17"/>
    <w:rsid w:val="52B07B8F"/>
    <w:rsid w:val="52B47467"/>
    <w:rsid w:val="52B9348A"/>
    <w:rsid w:val="52BE405A"/>
    <w:rsid w:val="52C27FEE"/>
    <w:rsid w:val="52CA29FF"/>
    <w:rsid w:val="52DB4C0C"/>
    <w:rsid w:val="52E2243E"/>
    <w:rsid w:val="52EA12F3"/>
    <w:rsid w:val="52ED493F"/>
    <w:rsid w:val="52F4603B"/>
    <w:rsid w:val="52F67C97"/>
    <w:rsid w:val="52FC4B82"/>
    <w:rsid w:val="52FE4D9E"/>
    <w:rsid w:val="5302488E"/>
    <w:rsid w:val="53032F5F"/>
    <w:rsid w:val="53034162"/>
    <w:rsid w:val="53051C89"/>
    <w:rsid w:val="530E3233"/>
    <w:rsid w:val="53130849"/>
    <w:rsid w:val="531B5950"/>
    <w:rsid w:val="532130DB"/>
    <w:rsid w:val="53226CDE"/>
    <w:rsid w:val="53254E69"/>
    <w:rsid w:val="53275E79"/>
    <w:rsid w:val="53283BC9"/>
    <w:rsid w:val="53285977"/>
    <w:rsid w:val="532A16EF"/>
    <w:rsid w:val="532C5467"/>
    <w:rsid w:val="532F31A9"/>
    <w:rsid w:val="53312A7E"/>
    <w:rsid w:val="53341D8D"/>
    <w:rsid w:val="533B56AA"/>
    <w:rsid w:val="534053B7"/>
    <w:rsid w:val="53407165"/>
    <w:rsid w:val="534327B1"/>
    <w:rsid w:val="53456529"/>
    <w:rsid w:val="534722A1"/>
    <w:rsid w:val="53486019"/>
    <w:rsid w:val="534D53DE"/>
    <w:rsid w:val="5350123C"/>
    <w:rsid w:val="5354676C"/>
    <w:rsid w:val="535B7AFB"/>
    <w:rsid w:val="535C3FB5"/>
    <w:rsid w:val="536015B5"/>
    <w:rsid w:val="5362532D"/>
    <w:rsid w:val="536410A5"/>
    <w:rsid w:val="536A5F90"/>
    <w:rsid w:val="536D782E"/>
    <w:rsid w:val="536F35A6"/>
    <w:rsid w:val="536F483D"/>
    <w:rsid w:val="53746E0E"/>
    <w:rsid w:val="537A08C9"/>
    <w:rsid w:val="537B63EF"/>
    <w:rsid w:val="537F5EDF"/>
    <w:rsid w:val="537F7C8D"/>
    <w:rsid w:val="53837051"/>
    <w:rsid w:val="53886B25"/>
    <w:rsid w:val="53894668"/>
    <w:rsid w:val="538B4884"/>
    <w:rsid w:val="53901E9A"/>
    <w:rsid w:val="539354E6"/>
    <w:rsid w:val="53964FD7"/>
    <w:rsid w:val="53980D4F"/>
    <w:rsid w:val="53982AFD"/>
    <w:rsid w:val="53A05E55"/>
    <w:rsid w:val="53A21BCD"/>
    <w:rsid w:val="53A414A2"/>
    <w:rsid w:val="53A771E4"/>
    <w:rsid w:val="53A92F5C"/>
    <w:rsid w:val="53AE40CE"/>
    <w:rsid w:val="53B15570"/>
    <w:rsid w:val="53B92A73"/>
    <w:rsid w:val="53BA0CC5"/>
    <w:rsid w:val="53BB4A56"/>
    <w:rsid w:val="53BD07B5"/>
    <w:rsid w:val="53BF452D"/>
    <w:rsid w:val="53BF62DB"/>
    <w:rsid w:val="53C438F2"/>
    <w:rsid w:val="53CB1124"/>
    <w:rsid w:val="53CD3DC9"/>
    <w:rsid w:val="53D17DBD"/>
    <w:rsid w:val="53D8114B"/>
    <w:rsid w:val="53DD4D4E"/>
    <w:rsid w:val="53EE4E13"/>
    <w:rsid w:val="53EE6BC1"/>
    <w:rsid w:val="540B1521"/>
    <w:rsid w:val="540B7773"/>
    <w:rsid w:val="540C39F4"/>
    <w:rsid w:val="540C5299"/>
    <w:rsid w:val="54104D89"/>
    <w:rsid w:val="541859EC"/>
    <w:rsid w:val="541B4880"/>
    <w:rsid w:val="541C1980"/>
    <w:rsid w:val="54263544"/>
    <w:rsid w:val="542D593B"/>
    <w:rsid w:val="543C5B7E"/>
    <w:rsid w:val="543C792C"/>
    <w:rsid w:val="543F11CA"/>
    <w:rsid w:val="54422A68"/>
    <w:rsid w:val="5449029B"/>
    <w:rsid w:val="54493DF7"/>
    <w:rsid w:val="544D1B39"/>
    <w:rsid w:val="544D7D8B"/>
    <w:rsid w:val="544E765F"/>
    <w:rsid w:val="54574766"/>
    <w:rsid w:val="54576514"/>
    <w:rsid w:val="545A6004"/>
    <w:rsid w:val="545D78A2"/>
    <w:rsid w:val="545F361A"/>
    <w:rsid w:val="545F7ABE"/>
    <w:rsid w:val="546F6F25"/>
    <w:rsid w:val="5472334E"/>
    <w:rsid w:val="547A66A6"/>
    <w:rsid w:val="547F5A6B"/>
    <w:rsid w:val="54815C87"/>
    <w:rsid w:val="5483555B"/>
    <w:rsid w:val="54837309"/>
    <w:rsid w:val="54866DF9"/>
    <w:rsid w:val="54890697"/>
    <w:rsid w:val="549534E0"/>
    <w:rsid w:val="54A11E85"/>
    <w:rsid w:val="54A92AE8"/>
    <w:rsid w:val="54B90F7D"/>
    <w:rsid w:val="54C55B73"/>
    <w:rsid w:val="54C85664"/>
    <w:rsid w:val="54CB0CB0"/>
    <w:rsid w:val="54D20290"/>
    <w:rsid w:val="54D45DB6"/>
    <w:rsid w:val="54DA7145"/>
    <w:rsid w:val="54DE09E3"/>
    <w:rsid w:val="54DE6C35"/>
    <w:rsid w:val="54E446CA"/>
    <w:rsid w:val="54E65AEA"/>
    <w:rsid w:val="54E67898"/>
    <w:rsid w:val="54E87AB4"/>
    <w:rsid w:val="54EB3100"/>
    <w:rsid w:val="54F226E1"/>
    <w:rsid w:val="54F40207"/>
    <w:rsid w:val="54F41FB5"/>
    <w:rsid w:val="54F77CF7"/>
    <w:rsid w:val="54F9581D"/>
    <w:rsid w:val="54FD637D"/>
    <w:rsid w:val="54FE1085"/>
    <w:rsid w:val="55052414"/>
    <w:rsid w:val="550A7A2A"/>
    <w:rsid w:val="55144405"/>
    <w:rsid w:val="55191A1B"/>
    <w:rsid w:val="551E5CEB"/>
    <w:rsid w:val="55264E71"/>
    <w:rsid w:val="55284354"/>
    <w:rsid w:val="552A3C28"/>
    <w:rsid w:val="55303CD0"/>
    <w:rsid w:val="5531145B"/>
    <w:rsid w:val="55342CF9"/>
    <w:rsid w:val="553920BD"/>
    <w:rsid w:val="554051FA"/>
    <w:rsid w:val="55425416"/>
    <w:rsid w:val="55436A98"/>
    <w:rsid w:val="554C0043"/>
    <w:rsid w:val="554C3B9F"/>
    <w:rsid w:val="554F368F"/>
    <w:rsid w:val="55540CA5"/>
    <w:rsid w:val="5560589C"/>
    <w:rsid w:val="5563538C"/>
    <w:rsid w:val="55674E7D"/>
    <w:rsid w:val="55676C2B"/>
    <w:rsid w:val="556C5FEF"/>
    <w:rsid w:val="55711857"/>
    <w:rsid w:val="55713605"/>
    <w:rsid w:val="5579695E"/>
    <w:rsid w:val="557B47BF"/>
    <w:rsid w:val="557D12D8"/>
    <w:rsid w:val="557D31D2"/>
    <w:rsid w:val="557E5D22"/>
    <w:rsid w:val="55825812"/>
    <w:rsid w:val="5583158B"/>
    <w:rsid w:val="55853555"/>
    <w:rsid w:val="5587107B"/>
    <w:rsid w:val="558A0B6B"/>
    <w:rsid w:val="558A46C7"/>
    <w:rsid w:val="558E065B"/>
    <w:rsid w:val="55915A56"/>
    <w:rsid w:val="559317CE"/>
    <w:rsid w:val="55986DE4"/>
    <w:rsid w:val="559F4616"/>
    <w:rsid w:val="55A90FF1"/>
    <w:rsid w:val="55AA4D69"/>
    <w:rsid w:val="55AA6B17"/>
    <w:rsid w:val="55AF412E"/>
    <w:rsid w:val="55B33C1E"/>
    <w:rsid w:val="55B47996"/>
    <w:rsid w:val="55B61960"/>
    <w:rsid w:val="55B6370E"/>
    <w:rsid w:val="55C0458D"/>
    <w:rsid w:val="55C20305"/>
    <w:rsid w:val="55C7591B"/>
    <w:rsid w:val="55D122F6"/>
    <w:rsid w:val="55D32512"/>
    <w:rsid w:val="55D41DE6"/>
    <w:rsid w:val="55E62245"/>
    <w:rsid w:val="55E738C7"/>
    <w:rsid w:val="55E81727"/>
    <w:rsid w:val="55E93AE3"/>
    <w:rsid w:val="55E95892"/>
    <w:rsid w:val="55EC7130"/>
    <w:rsid w:val="55EE2EA8"/>
    <w:rsid w:val="55FB7373"/>
    <w:rsid w:val="55FD133D"/>
    <w:rsid w:val="55FE394D"/>
    <w:rsid w:val="560501F2"/>
    <w:rsid w:val="560721BC"/>
    <w:rsid w:val="561A5A4B"/>
    <w:rsid w:val="561C5C67"/>
    <w:rsid w:val="56206DD9"/>
    <w:rsid w:val="5633046F"/>
    <w:rsid w:val="56356D29"/>
    <w:rsid w:val="563A433F"/>
    <w:rsid w:val="563A60ED"/>
    <w:rsid w:val="563A7E9B"/>
    <w:rsid w:val="563B3C13"/>
    <w:rsid w:val="563F54B2"/>
    <w:rsid w:val="564156CE"/>
    <w:rsid w:val="5647080A"/>
    <w:rsid w:val="56486A5C"/>
    <w:rsid w:val="564B6400"/>
    <w:rsid w:val="564C5E20"/>
    <w:rsid w:val="56501BA9"/>
    <w:rsid w:val="565151E5"/>
    <w:rsid w:val="56521689"/>
    <w:rsid w:val="56530F5D"/>
    <w:rsid w:val="56535401"/>
    <w:rsid w:val="56545B12"/>
    <w:rsid w:val="56582A17"/>
    <w:rsid w:val="565847C5"/>
    <w:rsid w:val="56596696"/>
    <w:rsid w:val="565C42B5"/>
    <w:rsid w:val="565E57F8"/>
    <w:rsid w:val="565F7902"/>
    <w:rsid w:val="566201DA"/>
    <w:rsid w:val="56680EAC"/>
    <w:rsid w:val="566E3FE9"/>
    <w:rsid w:val="56705FB3"/>
    <w:rsid w:val="56725887"/>
    <w:rsid w:val="567710EF"/>
    <w:rsid w:val="567C4958"/>
    <w:rsid w:val="56867584"/>
    <w:rsid w:val="568850AA"/>
    <w:rsid w:val="56941CA1"/>
    <w:rsid w:val="569752EE"/>
    <w:rsid w:val="569A3030"/>
    <w:rsid w:val="569C0B56"/>
    <w:rsid w:val="569C6DA8"/>
    <w:rsid w:val="569E7C80"/>
    <w:rsid w:val="569F0646"/>
    <w:rsid w:val="569F41A2"/>
    <w:rsid w:val="56A619D5"/>
    <w:rsid w:val="56A93273"/>
    <w:rsid w:val="56AB2B47"/>
    <w:rsid w:val="56AE2637"/>
    <w:rsid w:val="56B20379"/>
    <w:rsid w:val="56B64DD1"/>
    <w:rsid w:val="56BE6D1E"/>
    <w:rsid w:val="56C1236A"/>
    <w:rsid w:val="56C360E3"/>
    <w:rsid w:val="56C63E25"/>
    <w:rsid w:val="56C87B9D"/>
    <w:rsid w:val="56CB143B"/>
    <w:rsid w:val="56CD0D0F"/>
    <w:rsid w:val="56D227CA"/>
    <w:rsid w:val="56DA1B0D"/>
    <w:rsid w:val="56DE4CCA"/>
    <w:rsid w:val="56E04EE6"/>
    <w:rsid w:val="56E36785"/>
    <w:rsid w:val="56E83D9B"/>
    <w:rsid w:val="56E85B49"/>
    <w:rsid w:val="56E9366F"/>
    <w:rsid w:val="56F269C8"/>
    <w:rsid w:val="56F47F59"/>
    <w:rsid w:val="56FA587C"/>
    <w:rsid w:val="56FB1D20"/>
    <w:rsid w:val="56FC7846"/>
    <w:rsid w:val="570A5ABF"/>
    <w:rsid w:val="570B7A8A"/>
    <w:rsid w:val="570D3802"/>
    <w:rsid w:val="570F757A"/>
    <w:rsid w:val="5716173D"/>
    <w:rsid w:val="571E156B"/>
    <w:rsid w:val="57234DD3"/>
    <w:rsid w:val="57266671"/>
    <w:rsid w:val="57272B15"/>
    <w:rsid w:val="572A6162"/>
    <w:rsid w:val="572B1EDA"/>
    <w:rsid w:val="57362D58"/>
    <w:rsid w:val="573963A5"/>
    <w:rsid w:val="573B036F"/>
    <w:rsid w:val="573C40E7"/>
    <w:rsid w:val="573E7E5F"/>
    <w:rsid w:val="574134AB"/>
    <w:rsid w:val="574216FD"/>
    <w:rsid w:val="57452F9B"/>
    <w:rsid w:val="574B7E86"/>
    <w:rsid w:val="574C50B5"/>
    <w:rsid w:val="574F7976"/>
    <w:rsid w:val="575136EE"/>
    <w:rsid w:val="57517B92"/>
    <w:rsid w:val="57596A47"/>
    <w:rsid w:val="5765363E"/>
    <w:rsid w:val="57671164"/>
    <w:rsid w:val="576C0528"/>
    <w:rsid w:val="576C677A"/>
    <w:rsid w:val="57727B09"/>
    <w:rsid w:val="577675F9"/>
    <w:rsid w:val="57776ECD"/>
    <w:rsid w:val="57792C45"/>
    <w:rsid w:val="57831D16"/>
    <w:rsid w:val="578515EA"/>
    <w:rsid w:val="57853398"/>
    <w:rsid w:val="57875362"/>
    <w:rsid w:val="578A4464"/>
    <w:rsid w:val="578E4942"/>
    <w:rsid w:val="578F2469"/>
    <w:rsid w:val="579139FB"/>
    <w:rsid w:val="579900C6"/>
    <w:rsid w:val="57996E43"/>
    <w:rsid w:val="579D4B86"/>
    <w:rsid w:val="57A75A04"/>
    <w:rsid w:val="57A852D8"/>
    <w:rsid w:val="57AC301B"/>
    <w:rsid w:val="57AD28EF"/>
    <w:rsid w:val="57AF2B0B"/>
    <w:rsid w:val="57B36157"/>
    <w:rsid w:val="57B7551B"/>
    <w:rsid w:val="57B8376D"/>
    <w:rsid w:val="57BD6030"/>
    <w:rsid w:val="57C02622"/>
    <w:rsid w:val="57C06AC6"/>
    <w:rsid w:val="57C2639A"/>
    <w:rsid w:val="57C272D1"/>
    <w:rsid w:val="57CF2865"/>
    <w:rsid w:val="57D8796C"/>
    <w:rsid w:val="57DB15B9"/>
    <w:rsid w:val="57DB3900"/>
    <w:rsid w:val="57DB56AE"/>
    <w:rsid w:val="57DF519E"/>
    <w:rsid w:val="57E207EA"/>
    <w:rsid w:val="57E427B4"/>
    <w:rsid w:val="57E91B79"/>
    <w:rsid w:val="57EA3B43"/>
    <w:rsid w:val="57EA58F1"/>
    <w:rsid w:val="57EA769F"/>
    <w:rsid w:val="57EC78BB"/>
    <w:rsid w:val="57EF1159"/>
    <w:rsid w:val="57F66044"/>
    <w:rsid w:val="57F8000E"/>
    <w:rsid w:val="57FD73D2"/>
    <w:rsid w:val="57FE314A"/>
    <w:rsid w:val="580746F5"/>
    <w:rsid w:val="581035A9"/>
    <w:rsid w:val="58105627"/>
    <w:rsid w:val="58112E7E"/>
    <w:rsid w:val="58117322"/>
    <w:rsid w:val="58134E48"/>
    <w:rsid w:val="581806B0"/>
    <w:rsid w:val="581A61D6"/>
    <w:rsid w:val="58207565"/>
    <w:rsid w:val="58254B7B"/>
    <w:rsid w:val="58262DCD"/>
    <w:rsid w:val="582E22F1"/>
    <w:rsid w:val="583F5C3D"/>
    <w:rsid w:val="584E7C2E"/>
    <w:rsid w:val="584F18E4"/>
    <w:rsid w:val="58501BF8"/>
    <w:rsid w:val="58523BC2"/>
    <w:rsid w:val="58533496"/>
    <w:rsid w:val="58627B7D"/>
    <w:rsid w:val="5866141B"/>
    <w:rsid w:val="586C4558"/>
    <w:rsid w:val="58782EFD"/>
    <w:rsid w:val="587873A1"/>
    <w:rsid w:val="587A4EC7"/>
    <w:rsid w:val="587C0C3F"/>
    <w:rsid w:val="58801DB1"/>
    <w:rsid w:val="58845D45"/>
    <w:rsid w:val="5886561A"/>
    <w:rsid w:val="58975A79"/>
    <w:rsid w:val="589C308F"/>
    <w:rsid w:val="58AE2DC2"/>
    <w:rsid w:val="58B32187"/>
    <w:rsid w:val="58B33F35"/>
    <w:rsid w:val="58B77EC9"/>
    <w:rsid w:val="58BA1767"/>
    <w:rsid w:val="58BA52C3"/>
    <w:rsid w:val="58BC103B"/>
    <w:rsid w:val="58BF0B2C"/>
    <w:rsid w:val="58C83E84"/>
    <w:rsid w:val="58CB74D0"/>
    <w:rsid w:val="58D36385"/>
    <w:rsid w:val="58D97E3F"/>
    <w:rsid w:val="58DC7930"/>
    <w:rsid w:val="58E86238"/>
    <w:rsid w:val="58EB1921"/>
    <w:rsid w:val="5900361E"/>
    <w:rsid w:val="59034EBC"/>
    <w:rsid w:val="59050C34"/>
    <w:rsid w:val="59084281"/>
    <w:rsid w:val="59091DA7"/>
    <w:rsid w:val="591250FF"/>
    <w:rsid w:val="59140E77"/>
    <w:rsid w:val="591C5F7E"/>
    <w:rsid w:val="591F7797"/>
    <w:rsid w:val="59246BE1"/>
    <w:rsid w:val="592F3F03"/>
    <w:rsid w:val="59367040"/>
    <w:rsid w:val="59441031"/>
    <w:rsid w:val="59481573"/>
    <w:rsid w:val="59554FEC"/>
    <w:rsid w:val="595B4CF8"/>
    <w:rsid w:val="5960230F"/>
    <w:rsid w:val="5963595B"/>
    <w:rsid w:val="5966544B"/>
    <w:rsid w:val="596C0CB3"/>
    <w:rsid w:val="596D0588"/>
    <w:rsid w:val="59723DF0"/>
    <w:rsid w:val="59747B68"/>
    <w:rsid w:val="5979517E"/>
    <w:rsid w:val="598002BB"/>
    <w:rsid w:val="59837DAB"/>
    <w:rsid w:val="59861649"/>
    <w:rsid w:val="59883613"/>
    <w:rsid w:val="598C4EB2"/>
    <w:rsid w:val="598D0C2A"/>
    <w:rsid w:val="598D4786"/>
    <w:rsid w:val="598F04FE"/>
    <w:rsid w:val="5999137D"/>
    <w:rsid w:val="599C2C1B"/>
    <w:rsid w:val="599E2E37"/>
    <w:rsid w:val="599E4BE5"/>
    <w:rsid w:val="59A0095D"/>
    <w:rsid w:val="59A815C0"/>
    <w:rsid w:val="59AC5554"/>
    <w:rsid w:val="59B83EF9"/>
    <w:rsid w:val="59B91A1F"/>
    <w:rsid w:val="59C31212"/>
    <w:rsid w:val="59C3464B"/>
    <w:rsid w:val="59C363FA"/>
    <w:rsid w:val="59C503C4"/>
    <w:rsid w:val="59C52172"/>
    <w:rsid w:val="59D51B3B"/>
    <w:rsid w:val="59DE1485"/>
    <w:rsid w:val="59E44CEE"/>
    <w:rsid w:val="59E56370"/>
    <w:rsid w:val="59EC3BA2"/>
    <w:rsid w:val="59F44805"/>
    <w:rsid w:val="59FA62BF"/>
    <w:rsid w:val="59FD190B"/>
    <w:rsid w:val="59FF6B39"/>
    <w:rsid w:val="5A026F22"/>
    <w:rsid w:val="5A0802B0"/>
    <w:rsid w:val="5A0E58C7"/>
    <w:rsid w:val="5A0F163F"/>
    <w:rsid w:val="5A160C1F"/>
    <w:rsid w:val="5A1A070F"/>
    <w:rsid w:val="5A201A9E"/>
    <w:rsid w:val="5A2450EA"/>
    <w:rsid w:val="5A272E2C"/>
    <w:rsid w:val="5A290952"/>
    <w:rsid w:val="5A2C3F9F"/>
    <w:rsid w:val="5A2E7D17"/>
    <w:rsid w:val="5A3E3CD2"/>
    <w:rsid w:val="5A3F1F24"/>
    <w:rsid w:val="5A405C9C"/>
    <w:rsid w:val="5A492DA3"/>
    <w:rsid w:val="5A4968FF"/>
    <w:rsid w:val="5A513A05"/>
    <w:rsid w:val="5A533C21"/>
    <w:rsid w:val="5A582FE6"/>
    <w:rsid w:val="5A623834"/>
    <w:rsid w:val="5A7616BE"/>
    <w:rsid w:val="5A7F4A16"/>
    <w:rsid w:val="5A81078E"/>
    <w:rsid w:val="5A820063"/>
    <w:rsid w:val="5A821E11"/>
    <w:rsid w:val="5A864271"/>
    <w:rsid w:val="5A8E4C59"/>
    <w:rsid w:val="5A955FE8"/>
    <w:rsid w:val="5A987886"/>
    <w:rsid w:val="5A9A35FE"/>
    <w:rsid w:val="5A9B2ED2"/>
    <w:rsid w:val="5AA1673B"/>
    <w:rsid w:val="5AA50572"/>
    <w:rsid w:val="5AA601F5"/>
    <w:rsid w:val="5AA71877"/>
    <w:rsid w:val="5AA77AC9"/>
    <w:rsid w:val="5AB126F6"/>
    <w:rsid w:val="5ABF4E13"/>
    <w:rsid w:val="5AC02939"/>
    <w:rsid w:val="5AC32B55"/>
    <w:rsid w:val="5AC71F19"/>
    <w:rsid w:val="5ACD39D4"/>
    <w:rsid w:val="5ACD5782"/>
    <w:rsid w:val="5ACE32A8"/>
    <w:rsid w:val="5ACF3815"/>
    <w:rsid w:val="5AD14B46"/>
    <w:rsid w:val="5AD22D98"/>
    <w:rsid w:val="5AD54636"/>
    <w:rsid w:val="5AD76600"/>
    <w:rsid w:val="5ADC7773"/>
    <w:rsid w:val="5AE605F2"/>
    <w:rsid w:val="5AE623A0"/>
    <w:rsid w:val="5AE825BC"/>
    <w:rsid w:val="5AE838EB"/>
    <w:rsid w:val="5AE900E2"/>
    <w:rsid w:val="5AEB5C08"/>
    <w:rsid w:val="5AEC372E"/>
    <w:rsid w:val="5AF26F96"/>
    <w:rsid w:val="5AF32D0E"/>
    <w:rsid w:val="5AF80325"/>
    <w:rsid w:val="5AFA5E4B"/>
    <w:rsid w:val="5AFF3461"/>
    <w:rsid w:val="5B022F52"/>
    <w:rsid w:val="5B043B95"/>
    <w:rsid w:val="5B0441BD"/>
    <w:rsid w:val="5B046CCA"/>
    <w:rsid w:val="5B0867BA"/>
    <w:rsid w:val="5B092532"/>
    <w:rsid w:val="5B0942E0"/>
    <w:rsid w:val="5B0B44FC"/>
    <w:rsid w:val="5B0C026E"/>
    <w:rsid w:val="5B0D5B7E"/>
    <w:rsid w:val="5B1213E7"/>
    <w:rsid w:val="5B1A64ED"/>
    <w:rsid w:val="5B1E422F"/>
    <w:rsid w:val="5B1E5BCC"/>
    <w:rsid w:val="5B2630E4"/>
    <w:rsid w:val="5B264E92"/>
    <w:rsid w:val="5B266C40"/>
    <w:rsid w:val="5B2829B8"/>
    <w:rsid w:val="5B2B4256"/>
    <w:rsid w:val="5B2F01EA"/>
    <w:rsid w:val="5B3F5F54"/>
    <w:rsid w:val="5B4377F2"/>
    <w:rsid w:val="5B44356A"/>
    <w:rsid w:val="5B4524B8"/>
    <w:rsid w:val="5B4672E2"/>
    <w:rsid w:val="5B4A5024"/>
    <w:rsid w:val="5B4B66A7"/>
    <w:rsid w:val="5B5E178C"/>
    <w:rsid w:val="5B5E63DA"/>
    <w:rsid w:val="5B6A7475"/>
    <w:rsid w:val="5B6B0AF7"/>
    <w:rsid w:val="5B6F6839"/>
    <w:rsid w:val="5B70435F"/>
    <w:rsid w:val="5B7C0F56"/>
    <w:rsid w:val="5B824313"/>
    <w:rsid w:val="5B85605C"/>
    <w:rsid w:val="5B9067AF"/>
    <w:rsid w:val="5B977B3E"/>
    <w:rsid w:val="5BA504AD"/>
    <w:rsid w:val="5BAF6C35"/>
    <w:rsid w:val="5BB701E0"/>
    <w:rsid w:val="5BBD57F6"/>
    <w:rsid w:val="5BC22E0D"/>
    <w:rsid w:val="5BC4704E"/>
    <w:rsid w:val="5BC56459"/>
    <w:rsid w:val="5BC621D1"/>
    <w:rsid w:val="5BCD1941"/>
    <w:rsid w:val="5BD14DFE"/>
    <w:rsid w:val="5BD40D92"/>
    <w:rsid w:val="5BD62414"/>
    <w:rsid w:val="5BD6244F"/>
    <w:rsid w:val="5BDB3ECE"/>
    <w:rsid w:val="5BDB5C7C"/>
    <w:rsid w:val="5BDC19F5"/>
    <w:rsid w:val="5BE014E5"/>
    <w:rsid w:val="5BEA2363"/>
    <w:rsid w:val="5BED775E"/>
    <w:rsid w:val="5BF154A0"/>
    <w:rsid w:val="5BF40AEC"/>
    <w:rsid w:val="5BF64864"/>
    <w:rsid w:val="5BF979BC"/>
    <w:rsid w:val="5C0351D3"/>
    <w:rsid w:val="5C084598"/>
    <w:rsid w:val="5C124EDB"/>
    <w:rsid w:val="5C125416"/>
    <w:rsid w:val="5C1271C4"/>
    <w:rsid w:val="5C133668"/>
    <w:rsid w:val="5C14118E"/>
    <w:rsid w:val="5C207B33"/>
    <w:rsid w:val="5C2238AB"/>
    <w:rsid w:val="5C25514A"/>
    <w:rsid w:val="5C2C472A"/>
    <w:rsid w:val="5C2E04A2"/>
    <w:rsid w:val="5C2F421A"/>
    <w:rsid w:val="5C3138F7"/>
    <w:rsid w:val="5C337866"/>
    <w:rsid w:val="5C3830CF"/>
    <w:rsid w:val="5C403D31"/>
    <w:rsid w:val="5C427AAA"/>
    <w:rsid w:val="5C4557EC"/>
    <w:rsid w:val="5C4A2E02"/>
    <w:rsid w:val="5C531CB7"/>
    <w:rsid w:val="5C5D0D87"/>
    <w:rsid w:val="5C5D2B35"/>
    <w:rsid w:val="5C5F68AD"/>
    <w:rsid w:val="5C6043D4"/>
    <w:rsid w:val="5C6C2D78"/>
    <w:rsid w:val="5C7A3771"/>
    <w:rsid w:val="5C8400C2"/>
    <w:rsid w:val="5C855BE8"/>
    <w:rsid w:val="5C8648E5"/>
    <w:rsid w:val="5C875E04"/>
    <w:rsid w:val="5C8C341B"/>
    <w:rsid w:val="5C9127DF"/>
    <w:rsid w:val="5C961BA3"/>
    <w:rsid w:val="5C9A5B38"/>
    <w:rsid w:val="5C9C18B0"/>
    <w:rsid w:val="5C9C6B0B"/>
    <w:rsid w:val="5CAD11D1"/>
    <w:rsid w:val="5CAE513F"/>
    <w:rsid w:val="5CB00EB7"/>
    <w:rsid w:val="5CB12E81"/>
    <w:rsid w:val="5CBC60F5"/>
    <w:rsid w:val="5CC6692D"/>
    <w:rsid w:val="5CCE2146"/>
    <w:rsid w:val="5CD92E9B"/>
    <w:rsid w:val="5CDA3CE1"/>
    <w:rsid w:val="5CE329E1"/>
    <w:rsid w:val="5CE40B61"/>
    <w:rsid w:val="5CF07506"/>
    <w:rsid w:val="5CF3349A"/>
    <w:rsid w:val="5CF74D38"/>
    <w:rsid w:val="5CFA65D6"/>
    <w:rsid w:val="5D07069B"/>
    <w:rsid w:val="5D107BA8"/>
    <w:rsid w:val="5D131446"/>
    <w:rsid w:val="5D177188"/>
    <w:rsid w:val="5D195510"/>
    <w:rsid w:val="5D1A4582"/>
    <w:rsid w:val="5D1A6C78"/>
    <w:rsid w:val="5D1B7FA1"/>
    <w:rsid w:val="5D2418A5"/>
    <w:rsid w:val="5D255365"/>
    <w:rsid w:val="5D30024A"/>
    <w:rsid w:val="5D335644"/>
    <w:rsid w:val="5D355860"/>
    <w:rsid w:val="5D3715D8"/>
    <w:rsid w:val="5D373386"/>
    <w:rsid w:val="5D3E3EC8"/>
    <w:rsid w:val="5D415FB3"/>
    <w:rsid w:val="5D423AD9"/>
    <w:rsid w:val="5D46181B"/>
    <w:rsid w:val="5D485594"/>
    <w:rsid w:val="5D487342"/>
    <w:rsid w:val="5D5757D7"/>
    <w:rsid w:val="5D59154F"/>
    <w:rsid w:val="5D69550A"/>
    <w:rsid w:val="5D731EE5"/>
    <w:rsid w:val="5D755C5D"/>
    <w:rsid w:val="5D7A14C5"/>
    <w:rsid w:val="5D810AA5"/>
    <w:rsid w:val="5D8B36D2"/>
    <w:rsid w:val="5D964551"/>
    <w:rsid w:val="5DA14CA4"/>
    <w:rsid w:val="5DA30A1C"/>
    <w:rsid w:val="5DA66549"/>
    <w:rsid w:val="5DAB5B22"/>
    <w:rsid w:val="5DB06C95"/>
    <w:rsid w:val="5DB20C5F"/>
    <w:rsid w:val="5DB26EB1"/>
    <w:rsid w:val="5DB524FD"/>
    <w:rsid w:val="5DB669A1"/>
    <w:rsid w:val="5DB9023F"/>
    <w:rsid w:val="5DB93D9B"/>
    <w:rsid w:val="5DB949BF"/>
    <w:rsid w:val="5DBC7D30"/>
    <w:rsid w:val="5DC015CE"/>
    <w:rsid w:val="5DCC1744"/>
    <w:rsid w:val="5DD60DF1"/>
    <w:rsid w:val="5DD72473"/>
    <w:rsid w:val="5DDB6408"/>
    <w:rsid w:val="5DDC3F2E"/>
    <w:rsid w:val="5DDD2180"/>
    <w:rsid w:val="5DDE7CA6"/>
    <w:rsid w:val="5DE0757A"/>
    <w:rsid w:val="5DE22614"/>
    <w:rsid w:val="5DE30E18"/>
    <w:rsid w:val="5DE352BC"/>
    <w:rsid w:val="5DE52DE2"/>
    <w:rsid w:val="5DE60909"/>
    <w:rsid w:val="5DE74DAC"/>
    <w:rsid w:val="5DEC23C3"/>
    <w:rsid w:val="5DF23751"/>
    <w:rsid w:val="5DF64FF0"/>
    <w:rsid w:val="5DF72B16"/>
    <w:rsid w:val="5DFB0858"/>
    <w:rsid w:val="5DFD637E"/>
    <w:rsid w:val="5DFE3EA4"/>
    <w:rsid w:val="5E03770C"/>
    <w:rsid w:val="5E055233"/>
    <w:rsid w:val="5E0A2849"/>
    <w:rsid w:val="5E0C4813"/>
    <w:rsid w:val="5E0F1C0D"/>
    <w:rsid w:val="5E162F9C"/>
    <w:rsid w:val="5E231B5D"/>
    <w:rsid w:val="5E251431"/>
    <w:rsid w:val="5E260E6F"/>
    <w:rsid w:val="5E2751A9"/>
    <w:rsid w:val="5E2C27BF"/>
    <w:rsid w:val="5E2C6171"/>
    <w:rsid w:val="5E2F405E"/>
    <w:rsid w:val="5E341674"/>
    <w:rsid w:val="5E345B18"/>
    <w:rsid w:val="5E3478C6"/>
    <w:rsid w:val="5E385608"/>
    <w:rsid w:val="5E3873B6"/>
    <w:rsid w:val="5E3A4CFF"/>
    <w:rsid w:val="5E437B09"/>
    <w:rsid w:val="5E4775F9"/>
    <w:rsid w:val="5E4D2736"/>
    <w:rsid w:val="5E4E6BDA"/>
    <w:rsid w:val="5E5341F0"/>
    <w:rsid w:val="5E543AC4"/>
    <w:rsid w:val="5E623DEC"/>
    <w:rsid w:val="5E6261E1"/>
    <w:rsid w:val="5E693A13"/>
    <w:rsid w:val="5E6C3504"/>
    <w:rsid w:val="5E6D4B86"/>
    <w:rsid w:val="5E6F6B50"/>
    <w:rsid w:val="5E79177D"/>
    <w:rsid w:val="5E79352B"/>
    <w:rsid w:val="5E7B3747"/>
    <w:rsid w:val="5E7F4FE5"/>
    <w:rsid w:val="5E8545C5"/>
    <w:rsid w:val="5E856373"/>
    <w:rsid w:val="5E895E64"/>
    <w:rsid w:val="5E8A5738"/>
    <w:rsid w:val="5E8E5228"/>
    <w:rsid w:val="5E8E6FD6"/>
    <w:rsid w:val="5E9071F2"/>
    <w:rsid w:val="5E9B5B97"/>
    <w:rsid w:val="5EA22A81"/>
    <w:rsid w:val="5EA42C9D"/>
    <w:rsid w:val="5EAE7678"/>
    <w:rsid w:val="5EB10F16"/>
    <w:rsid w:val="5EB804F7"/>
    <w:rsid w:val="5EB822A5"/>
    <w:rsid w:val="5EB86749"/>
    <w:rsid w:val="5EBB1D95"/>
    <w:rsid w:val="5EC073AC"/>
    <w:rsid w:val="5EC56770"/>
    <w:rsid w:val="5ECB022A"/>
    <w:rsid w:val="5ECC5D50"/>
    <w:rsid w:val="5ECE1AC8"/>
    <w:rsid w:val="5ECE3876"/>
    <w:rsid w:val="5ED13367"/>
    <w:rsid w:val="5ED15115"/>
    <w:rsid w:val="5ED74E21"/>
    <w:rsid w:val="5EDB41E5"/>
    <w:rsid w:val="5EE2793A"/>
    <w:rsid w:val="5EE674E7"/>
    <w:rsid w:val="5EE74938"/>
    <w:rsid w:val="5EF157B7"/>
    <w:rsid w:val="5EF62DCD"/>
    <w:rsid w:val="5EF84D97"/>
    <w:rsid w:val="5EFA0B0F"/>
    <w:rsid w:val="5EFC6636"/>
    <w:rsid w:val="5F011D3E"/>
    <w:rsid w:val="5F011E9E"/>
    <w:rsid w:val="5F047298"/>
    <w:rsid w:val="5F0674B4"/>
    <w:rsid w:val="5F076D88"/>
    <w:rsid w:val="5F0D0843"/>
    <w:rsid w:val="5F1A4D0E"/>
    <w:rsid w:val="5F1F40D2"/>
    <w:rsid w:val="5F21609C"/>
    <w:rsid w:val="5F2931A3"/>
    <w:rsid w:val="5F2B2A77"/>
    <w:rsid w:val="5F2B6F1B"/>
    <w:rsid w:val="5F2D4A41"/>
    <w:rsid w:val="5F2E6A0B"/>
    <w:rsid w:val="5F30008D"/>
    <w:rsid w:val="5F3039B6"/>
    <w:rsid w:val="5F304531"/>
    <w:rsid w:val="5F313E05"/>
    <w:rsid w:val="5F385194"/>
    <w:rsid w:val="5F3F6522"/>
    <w:rsid w:val="5F4104EC"/>
    <w:rsid w:val="5F452AD3"/>
    <w:rsid w:val="5F473629"/>
    <w:rsid w:val="5F4D50E3"/>
    <w:rsid w:val="5F5024DD"/>
    <w:rsid w:val="5F555D46"/>
    <w:rsid w:val="5F5A335C"/>
    <w:rsid w:val="5F610B8F"/>
    <w:rsid w:val="5F61293D"/>
    <w:rsid w:val="5F69359F"/>
    <w:rsid w:val="5F6E0BB6"/>
    <w:rsid w:val="5F750196"/>
    <w:rsid w:val="5F7563E8"/>
    <w:rsid w:val="5F781A34"/>
    <w:rsid w:val="5F7E529D"/>
    <w:rsid w:val="5F7F1015"/>
    <w:rsid w:val="5F8108E9"/>
    <w:rsid w:val="5F824661"/>
    <w:rsid w:val="5F8328B3"/>
    <w:rsid w:val="5F990328"/>
    <w:rsid w:val="5F9920D6"/>
    <w:rsid w:val="5F99786C"/>
    <w:rsid w:val="5F9C5723"/>
    <w:rsid w:val="5FA36AB1"/>
    <w:rsid w:val="5FA647F3"/>
    <w:rsid w:val="5FA97E40"/>
    <w:rsid w:val="5FAE5456"/>
    <w:rsid w:val="5FAF36A8"/>
    <w:rsid w:val="5FB011CE"/>
    <w:rsid w:val="5FB46F10"/>
    <w:rsid w:val="5FC353A5"/>
    <w:rsid w:val="5FC52ECB"/>
    <w:rsid w:val="5FD0361E"/>
    <w:rsid w:val="5FD27396"/>
    <w:rsid w:val="5FD70E51"/>
    <w:rsid w:val="5FD96977"/>
    <w:rsid w:val="5FDB26EF"/>
    <w:rsid w:val="5FDC0215"/>
    <w:rsid w:val="5FDC6467"/>
    <w:rsid w:val="5FE01AB3"/>
    <w:rsid w:val="5FE377F5"/>
    <w:rsid w:val="5FE5356E"/>
    <w:rsid w:val="5FE70674"/>
    <w:rsid w:val="5FED41D0"/>
    <w:rsid w:val="5FF13CC0"/>
    <w:rsid w:val="5FF27A39"/>
    <w:rsid w:val="5FFC08B7"/>
    <w:rsid w:val="6005151A"/>
    <w:rsid w:val="60121E89"/>
    <w:rsid w:val="60145C01"/>
    <w:rsid w:val="60163727"/>
    <w:rsid w:val="60206354"/>
    <w:rsid w:val="60251BBC"/>
    <w:rsid w:val="602D281F"/>
    <w:rsid w:val="6031230F"/>
    <w:rsid w:val="603C3DEB"/>
    <w:rsid w:val="6042276E"/>
    <w:rsid w:val="60430294"/>
    <w:rsid w:val="60483AFC"/>
    <w:rsid w:val="604A33D1"/>
    <w:rsid w:val="60554C43"/>
    <w:rsid w:val="6057789C"/>
    <w:rsid w:val="60583D40"/>
    <w:rsid w:val="60597AB8"/>
    <w:rsid w:val="60600E46"/>
    <w:rsid w:val="606E70C0"/>
    <w:rsid w:val="606F78A6"/>
    <w:rsid w:val="607466A0"/>
    <w:rsid w:val="60762418"/>
    <w:rsid w:val="60771CEC"/>
    <w:rsid w:val="60787F3E"/>
    <w:rsid w:val="60795A64"/>
    <w:rsid w:val="60911000"/>
    <w:rsid w:val="6094289E"/>
    <w:rsid w:val="6097198D"/>
    <w:rsid w:val="6098413C"/>
    <w:rsid w:val="609B00D0"/>
    <w:rsid w:val="609B1E7E"/>
    <w:rsid w:val="609E371C"/>
    <w:rsid w:val="609E3F48"/>
    <w:rsid w:val="60A24FBB"/>
    <w:rsid w:val="60A26D69"/>
    <w:rsid w:val="60A56859"/>
    <w:rsid w:val="60A9459B"/>
    <w:rsid w:val="60AE7E03"/>
    <w:rsid w:val="60B116A2"/>
    <w:rsid w:val="60B13450"/>
    <w:rsid w:val="60B3541A"/>
    <w:rsid w:val="60B66CB8"/>
    <w:rsid w:val="60B92304"/>
    <w:rsid w:val="60BB26AF"/>
    <w:rsid w:val="60BB42CE"/>
    <w:rsid w:val="60BB607C"/>
    <w:rsid w:val="60C767CF"/>
    <w:rsid w:val="60C86D4B"/>
    <w:rsid w:val="60C969EB"/>
    <w:rsid w:val="60CC64DC"/>
    <w:rsid w:val="60D31618"/>
    <w:rsid w:val="60DF620F"/>
    <w:rsid w:val="60E07891"/>
    <w:rsid w:val="60E23609"/>
    <w:rsid w:val="60EA36AB"/>
    <w:rsid w:val="60EB4BB4"/>
    <w:rsid w:val="60F5158E"/>
    <w:rsid w:val="60F65306"/>
    <w:rsid w:val="60F90953"/>
    <w:rsid w:val="60FA66B2"/>
    <w:rsid w:val="60FA6BA5"/>
    <w:rsid w:val="60FB291D"/>
    <w:rsid w:val="61007F33"/>
    <w:rsid w:val="61025A59"/>
    <w:rsid w:val="61047A23"/>
    <w:rsid w:val="610876D5"/>
    <w:rsid w:val="610B7637"/>
    <w:rsid w:val="61102019"/>
    <w:rsid w:val="611D0AE5"/>
    <w:rsid w:val="611D461D"/>
    <w:rsid w:val="611F485D"/>
    <w:rsid w:val="61202383"/>
    <w:rsid w:val="61265BEC"/>
    <w:rsid w:val="612956DC"/>
    <w:rsid w:val="61330309"/>
    <w:rsid w:val="613E6FFE"/>
    <w:rsid w:val="61447E20"/>
    <w:rsid w:val="6146003C"/>
    <w:rsid w:val="61493688"/>
    <w:rsid w:val="614B7F86"/>
    <w:rsid w:val="614C4F26"/>
    <w:rsid w:val="615362B5"/>
    <w:rsid w:val="61565DA5"/>
    <w:rsid w:val="61581B1D"/>
    <w:rsid w:val="615D6EDF"/>
    <w:rsid w:val="61616C24"/>
    <w:rsid w:val="6169327F"/>
    <w:rsid w:val="616B1851"/>
    <w:rsid w:val="61706E67"/>
    <w:rsid w:val="61750921"/>
    <w:rsid w:val="61776447"/>
    <w:rsid w:val="617821BF"/>
    <w:rsid w:val="617C1CB0"/>
    <w:rsid w:val="61811074"/>
    <w:rsid w:val="618172C6"/>
    <w:rsid w:val="61826B9A"/>
    <w:rsid w:val="618E553F"/>
    <w:rsid w:val="61907509"/>
    <w:rsid w:val="61910526"/>
    <w:rsid w:val="61930DA7"/>
    <w:rsid w:val="619A0388"/>
    <w:rsid w:val="619C5EAE"/>
    <w:rsid w:val="619F14FA"/>
    <w:rsid w:val="619F774C"/>
    <w:rsid w:val="61A62889"/>
    <w:rsid w:val="61A82AA5"/>
    <w:rsid w:val="61AE798F"/>
    <w:rsid w:val="61B01959"/>
    <w:rsid w:val="61B03707"/>
    <w:rsid w:val="61B256D1"/>
    <w:rsid w:val="61BA27D8"/>
    <w:rsid w:val="61BC0D8B"/>
    <w:rsid w:val="61BC489F"/>
    <w:rsid w:val="61BE5E24"/>
    <w:rsid w:val="61C51E7E"/>
    <w:rsid w:val="61C86CA3"/>
    <w:rsid w:val="61CD250B"/>
    <w:rsid w:val="61CE1DDF"/>
    <w:rsid w:val="61E17D65"/>
    <w:rsid w:val="61E37639"/>
    <w:rsid w:val="61E63B2E"/>
    <w:rsid w:val="61F77588"/>
    <w:rsid w:val="61FB0E26"/>
    <w:rsid w:val="61FE4473"/>
    <w:rsid w:val="61FF7F76"/>
    <w:rsid w:val="62013F63"/>
    <w:rsid w:val="62037CDB"/>
    <w:rsid w:val="62051CA5"/>
    <w:rsid w:val="6211064A"/>
    <w:rsid w:val="621974FF"/>
    <w:rsid w:val="62206ADF"/>
    <w:rsid w:val="622540F5"/>
    <w:rsid w:val="622D4D58"/>
    <w:rsid w:val="622F0AD0"/>
    <w:rsid w:val="62397BA1"/>
    <w:rsid w:val="623B56C7"/>
    <w:rsid w:val="623B7475"/>
    <w:rsid w:val="62405E95"/>
    <w:rsid w:val="62436329"/>
    <w:rsid w:val="62457204"/>
    <w:rsid w:val="62465E1A"/>
    <w:rsid w:val="62481B92"/>
    <w:rsid w:val="624A3B5C"/>
    <w:rsid w:val="624F2F20"/>
    <w:rsid w:val="62570027"/>
    <w:rsid w:val="625978FB"/>
    <w:rsid w:val="625F7870"/>
    <w:rsid w:val="62612C54"/>
    <w:rsid w:val="626A672E"/>
    <w:rsid w:val="626D33A6"/>
    <w:rsid w:val="627209BD"/>
    <w:rsid w:val="62744735"/>
    <w:rsid w:val="62775FD3"/>
    <w:rsid w:val="62782477"/>
    <w:rsid w:val="628A3F58"/>
    <w:rsid w:val="62913539"/>
    <w:rsid w:val="629D0130"/>
    <w:rsid w:val="62A019CE"/>
    <w:rsid w:val="62A25746"/>
    <w:rsid w:val="62A72D5C"/>
    <w:rsid w:val="62AA45FB"/>
    <w:rsid w:val="62AE0E01"/>
    <w:rsid w:val="62B42D58"/>
    <w:rsid w:val="62B64D4D"/>
    <w:rsid w:val="62BD2580"/>
    <w:rsid w:val="62BD432E"/>
    <w:rsid w:val="62C05BCC"/>
    <w:rsid w:val="62C236F2"/>
    <w:rsid w:val="62C456BC"/>
    <w:rsid w:val="62C751AC"/>
    <w:rsid w:val="62C87F95"/>
    <w:rsid w:val="62D6719E"/>
    <w:rsid w:val="62D7000D"/>
    <w:rsid w:val="62D90A3C"/>
    <w:rsid w:val="62DE42A4"/>
    <w:rsid w:val="62E01DCA"/>
    <w:rsid w:val="62E80C7F"/>
    <w:rsid w:val="62EA2C49"/>
    <w:rsid w:val="62EB6873"/>
    <w:rsid w:val="62EC076F"/>
    <w:rsid w:val="62F13FD7"/>
    <w:rsid w:val="62F51D1A"/>
    <w:rsid w:val="62F615EE"/>
    <w:rsid w:val="62FF4946"/>
    <w:rsid w:val="63027F93"/>
    <w:rsid w:val="630A430A"/>
    <w:rsid w:val="63100901"/>
    <w:rsid w:val="63133F4E"/>
    <w:rsid w:val="63147CC6"/>
    <w:rsid w:val="631A22F5"/>
    <w:rsid w:val="631A352E"/>
    <w:rsid w:val="631B1054"/>
    <w:rsid w:val="631B72A6"/>
    <w:rsid w:val="632E0D88"/>
    <w:rsid w:val="63304B00"/>
    <w:rsid w:val="633059CA"/>
    <w:rsid w:val="63312626"/>
    <w:rsid w:val="63381C06"/>
    <w:rsid w:val="633839B4"/>
    <w:rsid w:val="633A597E"/>
    <w:rsid w:val="634265E1"/>
    <w:rsid w:val="6347009B"/>
    <w:rsid w:val="63493E13"/>
    <w:rsid w:val="63497970"/>
    <w:rsid w:val="635527B8"/>
    <w:rsid w:val="63554C8E"/>
    <w:rsid w:val="63556314"/>
    <w:rsid w:val="63620A31"/>
    <w:rsid w:val="63690012"/>
    <w:rsid w:val="63691DC0"/>
    <w:rsid w:val="636B3D8A"/>
    <w:rsid w:val="636B5B38"/>
    <w:rsid w:val="636E387A"/>
    <w:rsid w:val="636E73D6"/>
    <w:rsid w:val="637644DD"/>
    <w:rsid w:val="6377272F"/>
    <w:rsid w:val="63780255"/>
    <w:rsid w:val="63844E4C"/>
    <w:rsid w:val="63860BC4"/>
    <w:rsid w:val="63862972"/>
    <w:rsid w:val="638766EA"/>
    <w:rsid w:val="638D5528"/>
    <w:rsid w:val="638F7399"/>
    <w:rsid w:val="6390559E"/>
    <w:rsid w:val="639114B0"/>
    <w:rsid w:val="639332E1"/>
    <w:rsid w:val="639808F7"/>
    <w:rsid w:val="63A24ED8"/>
    <w:rsid w:val="63A86D8C"/>
    <w:rsid w:val="63AD6150"/>
    <w:rsid w:val="63B219B9"/>
    <w:rsid w:val="63B76FCF"/>
    <w:rsid w:val="63B868A3"/>
    <w:rsid w:val="63C74D38"/>
    <w:rsid w:val="63C94F54"/>
    <w:rsid w:val="63CC234F"/>
    <w:rsid w:val="63D60296"/>
    <w:rsid w:val="63D731CD"/>
    <w:rsid w:val="63DA3BD9"/>
    <w:rsid w:val="63DD455C"/>
    <w:rsid w:val="63DD630A"/>
    <w:rsid w:val="63E31B72"/>
    <w:rsid w:val="63E47698"/>
    <w:rsid w:val="63E853DA"/>
    <w:rsid w:val="63E93C38"/>
    <w:rsid w:val="63EE310F"/>
    <w:rsid w:val="63F0603D"/>
    <w:rsid w:val="63F26259"/>
    <w:rsid w:val="63F41FD1"/>
    <w:rsid w:val="63F518A5"/>
    <w:rsid w:val="63FA3360"/>
    <w:rsid w:val="63FC70D8"/>
    <w:rsid w:val="63FD02BC"/>
    <w:rsid w:val="63FE69AC"/>
    <w:rsid w:val="64021955"/>
    <w:rsid w:val="64030466"/>
    <w:rsid w:val="64061D04"/>
    <w:rsid w:val="64085A7D"/>
    <w:rsid w:val="64095F0C"/>
    <w:rsid w:val="640A35A3"/>
    <w:rsid w:val="640B10C9"/>
    <w:rsid w:val="640B2E77"/>
    <w:rsid w:val="640D3093"/>
    <w:rsid w:val="640D6BEF"/>
    <w:rsid w:val="64124205"/>
    <w:rsid w:val="64155AA4"/>
    <w:rsid w:val="641B57B0"/>
    <w:rsid w:val="6421269A"/>
    <w:rsid w:val="642A7420"/>
    <w:rsid w:val="642B52C7"/>
    <w:rsid w:val="64300B2F"/>
    <w:rsid w:val="643028DD"/>
    <w:rsid w:val="64322AF9"/>
    <w:rsid w:val="64356146"/>
    <w:rsid w:val="64406FC4"/>
    <w:rsid w:val="64414AEB"/>
    <w:rsid w:val="64417CF0"/>
    <w:rsid w:val="64441500"/>
    <w:rsid w:val="644D16E1"/>
    <w:rsid w:val="644D291F"/>
    <w:rsid w:val="644D348F"/>
    <w:rsid w:val="644F0FB6"/>
    <w:rsid w:val="645B3DFE"/>
    <w:rsid w:val="645C7B76"/>
    <w:rsid w:val="6470717E"/>
    <w:rsid w:val="6477675E"/>
    <w:rsid w:val="647C1FC7"/>
    <w:rsid w:val="64803865"/>
    <w:rsid w:val="648A0240"/>
    <w:rsid w:val="648D5F82"/>
    <w:rsid w:val="648F3AA8"/>
    <w:rsid w:val="649317EA"/>
    <w:rsid w:val="64964E36"/>
    <w:rsid w:val="64990483"/>
    <w:rsid w:val="64997931"/>
    <w:rsid w:val="649B244D"/>
    <w:rsid w:val="649B4E22"/>
    <w:rsid w:val="64A37553"/>
    <w:rsid w:val="64B33C3A"/>
    <w:rsid w:val="64B54202"/>
    <w:rsid w:val="64C3035F"/>
    <w:rsid w:val="64C73242"/>
    <w:rsid w:val="64D63485"/>
    <w:rsid w:val="64DD4BD5"/>
    <w:rsid w:val="64DE77A6"/>
    <w:rsid w:val="64E536C8"/>
    <w:rsid w:val="64E9765C"/>
    <w:rsid w:val="64EE4C72"/>
    <w:rsid w:val="64F251BB"/>
    <w:rsid w:val="64FB2EEB"/>
    <w:rsid w:val="64FD39BC"/>
    <w:rsid w:val="64FD41BE"/>
    <w:rsid w:val="64FD6C64"/>
    <w:rsid w:val="650049A6"/>
    <w:rsid w:val="65044496"/>
    <w:rsid w:val="65053D6A"/>
    <w:rsid w:val="650E70C3"/>
    <w:rsid w:val="651C6006"/>
    <w:rsid w:val="651D2E62"/>
    <w:rsid w:val="652341F0"/>
    <w:rsid w:val="652E506F"/>
    <w:rsid w:val="652F0DE7"/>
    <w:rsid w:val="65312DB1"/>
    <w:rsid w:val="65314B5F"/>
    <w:rsid w:val="65362175"/>
    <w:rsid w:val="65366619"/>
    <w:rsid w:val="653D1756"/>
    <w:rsid w:val="653E102A"/>
    <w:rsid w:val="65424FBE"/>
    <w:rsid w:val="65442AE4"/>
    <w:rsid w:val="654622C2"/>
    <w:rsid w:val="65491EA9"/>
    <w:rsid w:val="654A5C21"/>
    <w:rsid w:val="654C3747"/>
    <w:rsid w:val="65510D5D"/>
    <w:rsid w:val="655645C6"/>
    <w:rsid w:val="655B1BDC"/>
    <w:rsid w:val="6569254B"/>
    <w:rsid w:val="656C5B97"/>
    <w:rsid w:val="657038D9"/>
    <w:rsid w:val="657C227E"/>
    <w:rsid w:val="657D1B52"/>
    <w:rsid w:val="65815AE7"/>
    <w:rsid w:val="65841133"/>
    <w:rsid w:val="65847385"/>
    <w:rsid w:val="65876E75"/>
    <w:rsid w:val="65885D21"/>
    <w:rsid w:val="658C6239"/>
    <w:rsid w:val="658E3D60"/>
    <w:rsid w:val="658E5B0E"/>
    <w:rsid w:val="65905D2A"/>
    <w:rsid w:val="65921AA2"/>
    <w:rsid w:val="65931376"/>
    <w:rsid w:val="659F5734"/>
    <w:rsid w:val="65A11CE5"/>
    <w:rsid w:val="65A13A93"/>
    <w:rsid w:val="65A6554D"/>
    <w:rsid w:val="65A73073"/>
    <w:rsid w:val="65AA5B01"/>
    <w:rsid w:val="65AE61B0"/>
    <w:rsid w:val="65B5753E"/>
    <w:rsid w:val="65B65064"/>
    <w:rsid w:val="65CC4888"/>
    <w:rsid w:val="65CE14E2"/>
    <w:rsid w:val="65D06126"/>
    <w:rsid w:val="65D33E68"/>
    <w:rsid w:val="65E87914"/>
    <w:rsid w:val="65EE0CA2"/>
    <w:rsid w:val="65F00576"/>
    <w:rsid w:val="65F067C8"/>
    <w:rsid w:val="65FF6A62"/>
    <w:rsid w:val="66100C18"/>
    <w:rsid w:val="6611264E"/>
    <w:rsid w:val="661C580F"/>
    <w:rsid w:val="662027CF"/>
    <w:rsid w:val="66263F98"/>
    <w:rsid w:val="66291CDA"/>
    <w:rsid w:val="662B5A52"/>
    <w:rsid w:val="66391F1D"/>
    <w:rsid w:val="663C1A0D"/>
    <w:rsid w:val="663C7C5F"/>
    <w:rsid w:val="663F30CF"/>
    <w:rsid w:val="663F505A"/>
    <w:rsid w:val="66482160"/>
    <w:rsid w:val="664B7EA3"/>
    <w:rsid w:val="664D3C1B"/>
    <w:rsid w:val="66524D8D"/>
    <w:rsid w:val="665705F5"/>
    <w:rsid w:val="6659436D"/>
    <w:rsid w:val="665E1984"/>
    <w:rsid w:val="66666A8A"/>
    <w:rsid w:val="666A657B"/>
    <w:rsid w:val="666B22F3"/>
    <w:rsid w:val="666B40A1"/>
    <w:rsid w:val="66747DFB"/>
    <w:rsid w:val="667C1E0A"/>
    <w:rsid w:val="667F18FA"/>
    <w:rsid w:val="66807ADF"/>
    <w:rsid w:val="66807B4C"/>
    <w:rsid w:val="66811B16"/>
    <w:rsid w:val="66860EDB"/>
    <w:rsid w:val="6686712D"/>
    <w:rsid w:val="668C4743"/>
    <w:rsid w:val="668D04BB"/>
    <w:rsid w:val="668F7D8F"/>
    <w:rsid w:val="66967370"/>
    <w:rsid w:val="669C425A"/>
    <w:rsid w:val="66AC63E4"/>
    <w:rsid w:val="66AD290B"/>
    <w:rsid w:val="66B07D06"/>
    <w:rsid w:val="66B15F58"/>
    <w:rsid w:val="66B6356E"/>
    <w:rsid w:val="66BA2932"/>
    <w:rsid w:val="66BC2B4E"/>
    <w:rsid w:val="66BE2423"/>
    <w:rsid w:val="66C20165"/>
    <w:rsid w:val="66CD08B8"/>
    <w:rsid w:val="66D103A8"/>
    <w:rsid w:val="66E005EB"/>
    <w:rsid w:val="66E77BCB"/>
    <w:rsid w:val="66F347C2"/>
    <w:rsid w:val="66F61BBC"/>
    <w:rsid w:val="66F916AD"/>
    <w:rsid w:val="66FB5425"/>
    <w:rsid w:val="67006EDF"/>
    <w:rsid w:val="670562A3"/>
    <w:rsid w:val="670A5668"/>
    <w:rsid w:val="670A6088"/>
    <w:rsid w:val="670D3579"/>
    <w:rsid w:val="671230A7"/>
    <w:rsid w:val="67144738"/>
    <w:rsid w:val="67184229"/>
    <w:rsid w:val="671E1113"/>
    <w:rsid w:val="67204E8B"/>
    <w:rsid w:val="672506F4"/>
    <w:rsid w:val="67254250"/>
    <w:rsid w:val="6726154F"/>
    <w:rsid w:val="672B1A53"/>
    <w:rsid w:val="674548F2"/>
    <w:rsid w:val="67461FC9"/>
    <w:rsid w:val="6747066A"/>
    <w:rsid w:val="674D37A6"/>
    <w:rsid w:val="674E19F8"/>
    <w:rsid w:val="675039C2"/>
    <w:rsid w:val="67582877"/>
    <w:rsid w:val="675863D3"/>
    <w:rsid w:val="6759039D"/>
    <w:rsid w:val="675D7E8D"/>
    <w:rsid w:val="675E7762"/>
    <w:rsid w:val="676440C2"/>
    <w:rsid w:val="676B07FC"/>
    <w:rsid w:val="676B37D6"/>
    <w:rsid w:val="67760F4F"/>
    <w:rsid w:val="6779459B"/>
    <w:rsid w:val="677A27ED"/>
    <w:rsid w:val="67841F6B"/>
    <w:rsid w:val="67874F0A"/>
    <w:rsid w:val="67896ED4"/>
    <w:rsid w:val="678A0557"/>
    <w:rsid w:val="678B49FB"/>
    <w:rsid w:val="678F3DBF"/>
    <w:rsid w:val="679118E5"/>
    <w:rsid w:val="679338AF"/>
    <w:rsid w:val="67980EC5"/>
    <w:rsid w:val="679A2E90"/>
    <w:rsid w:val="679A4C3E"/>
    <w:rsid w:val="679C6C08"/>
    <w:rsid w:val="67A00003"/>
    <w:rsid w:val="67A07D7A"/>
    <w:rsid w:val="67A1421E"/>
    <w:rsid w:val="67A55390"/>
    <w:rsid w:val="67A55468"/>
    <w:rsid w:val="67A96C2F"/>
    <w:rsid w:val="67AE2497"/>
    <w:rsid w:val="67B0620F"/>
    <w:rsid w:val="67B83316"/>
    <w:rsid w:val="67BC1058"/>
    <w:rsid w:val="67BF28F6"/>
    <w:rsid w:val="67C1666E"/>
    <w:rsid w:val="67C65A33"/>
    <w:rsid w:val="67CB129B"/>
    <w:rsid w:val="67CD5013"/>
    <w:rsid w:val="67D068B1"/>
    <w:rsid w:val="67E10ABE"/>
    <w:rsid w:val="67E1286C"/>
    <w:rsid w:val="67E1461B"/>
    <w:rsid w:val="67E22141"/>
    <w:rsid w:val="67E36AB5"/>
    <w:rsid w:val="67E45EB9"/>
    <w:rsid w:val="67F85E08"/>
    <w:rsid w:val="67FF2CF3"/>
    <w:rsid w:val="68024591"/>
    <w:rsid w:val="681C1AF7"/>
    <w:rsid w:val="681C2B17"/>
    <w:rsid w:val="682269E1"/>
    <w:rsid w:val="68232E85"/>
    <w:rsid w:val="68330BEE"/>
    <w:rsid w:val="68356714"/>
    <w:rsid w:val="683641E2"/>
    <w:rsid w:val="683A3D2B"/>
    <w:rsid w:val="683C7AA3"/>
    <w:rsid w:val="6844104D"/>
    <w:rsid w:val="684B418A"/>
    <w:rsid w:val="684D7F02"/>
    <w:rsid w:val="6850354E"/>
    <w:rsid w:val="68512E97"/>
    <w:rsid w:val="68525518"/>
    <w:rsid w:val="68534DEC"/>
    <w:rsid w:val="68541290"/>
    <w:rsid w:val="68570D81"/>
    <w:rsid w:val="68692862"/>
    <w:rsid w:val="68721717"/>
    <w:rsid w:val="68751207"/>
    <w:rsid w:val="68752FB5"/>
    <w:rsid w:val="687A05CB"/>
    <w:rsid w:val="687E455F"/>
    <w:rsid w:val="68875B37"/>
    <w:rsid w:val="688B0A2A"/>
    <w:rsid w:val="68925915"/>
    <w:rsid w:val="6893581B"/>
    <w:rsid w:val="68955405"/>
    <w:rsid w:val="68994EF5"/>
    <w:rsid w:val="689E42BA"/>
    <w:rsid w:val="68A1024E"/>
    <w:rsid w:val="68A35D74"/>
    <w:rsid w:val="68AD09A1"/>
    <w:rsid w:val="68B24209"/>
    <w:rsid w:val="68B25FB7"/>
    <w:rsid w:val="68B27D65"/>
    <w:rsid w:val="68B43ADD"/>
    <w:rsid w:val="68BB130F"/>
    <w:rsid w:val="68BE670A"/>
    <w:rsid w:val="68BF2482"/>
    <w:rsid w:val="68C1444C"/>
    <w:rsid w:val="68C36416"/>
    <w:rsid w:val="68C63810"/>
    <w:rsid w:val="68CB0E27"/>
    <w:rsid w:val="68D128E1"/>
    <w:rsid w:val="68D20407"/>
    <w:rsid w:val="68D4417F"/>
    <w:rsid w:val="68D91796"/>
    <w:rsid w:val="68D93544"/>
    <w:rsid w:val="68E819D9"/>
    <w:rsid w:val="68EC771B"/>
    <w:rsid w:val="68EF0FB9"/>
    <w:rsid w:val="68EF720B"/>
    <w:rsid w:val="68F22857"/>
    <w:rsid w:val="68F24AF6"/>
    <w:rsid w:val="68F640F6"/>
    <w:rsid w:val="68F71C1C"/>
    <w:rsid w:val="68F760C0"/>
    <w:rsid w:val="68FC7232"/>
    <w:rsid w:val="68FE2FAA"/>
    <w:rsid w:val="69054339"/>
    <w:rsid w:val="6907473B"/>
    <w:rsid w:val="69083E29"/>
    <w:rsid w:val="69132EFA"/>
    <w:rsid w:val="69135DB8"/>
    <w:rsid w:val="691B68D3"/>
    <w:rsid w:val="691E364C"/>
    <w:rsid w:val="6922313D"/>
    <w:rsid w:val="69270753"/>
    <w:rsid w:val="692C3FBB"/>
    <w:rsid w:val="692F13B6"/>
    <w:rsid w:val="692F7608"/>
    <w:rsid w:val="69313380"/>
    <w:rsid w:val="693966D8"/>
    <w:rsid w:val="693B41FE"/>
    <w:rsid w:val="6942733B"/>
    <w:rsid w:val="69472BA3"/>
    <w:rsid w:val="694A1418"/>
    <w:rsid w:val="694C01BA"/>
    <w:rsid w:val="69561038"/>
    <w:rsid w:val="69562DE6"/>
    <w:rsid w:val="69564B94"/>
    <w:rsid w:val="6958090C"/>
    <w:rsid w:val="695D6686"/>
    <w:rsid w:val="695E7EED"/>
    <w:rsid w:val="695F3B76"/>
    <w:rsid w:val="696279DD"/>
    <w:rsid w:val="6964442F"/>
    <w:rsid w:val="69670B4F"/>
    <w:rsid w:val="69676DA1"/>
    <w:rsid w:val="696E0130"/>
    <w:rsid w:val="69787200"/>
    <w:rsid w:val="698536CB"/>
    <w:rsid w:val="698639B2"/>
    <w:rsid w:val="698C05B6"/>
    <w:rsid w:val="698C2CAC"/>
    <w:rsid w:val="699F478D"/>
    <w:rsid w:val="69A43B52"/>
    <w:rsid w:val="69A55B1C"/>
    <w:rsid w:val="69AC2A06"/>
    <w:rsid w:val="69AE49D0"/>
    <w:rsid w:val="69C35833"/>
    <w:rsid w:val="69C45FA2"/>
    <w:rsid w:val="69C77840"/>
    <w:rsid w:val="69C97A5C"/>
    <w:rsid w:val="69CA7218"/>
    <w:rsid w:val="69D24F84"/>
    <w:rsid w:val="69D361E5"/>
    <w:rsid w:val="69D81A4D"/>
    <w:rsid w:val="69DA0EE9"/>
    <w:rsid w:val="69DD52B6"/>
    <w:rsid w:val="69E623BC"/>
    <w:rsid w:val="69E93C5A"/>
    <w:rsid w:val="69EB1E6E"/>
    <w:rsid w:val="69F30635"/>
    <w:rsid w:val="69F523FA"/>
    <w:rsid w:val="69F745C9"/>
    <w:rsid w:val="69F820EF"/>
    <w:rsid w:val="69F83E9D"/>
    <w:rsid w:val="69FC398E"/>
    <w:rsid w:val="6A010FA4"/>
    <w:rsid w:val="6A034EC0"/>
    <w:rsid w:val="6A0B3BD1"/>
    <w:rsid w:val="6A0E1913"/>
    <w:rsid w:val="6A0E36C1"/>
    <w:rsid w:val="6A0E546F"/>
    <w:rsid w:val="6A10568B"/>
    <w:rsid w:val="6A162576"/>
    <w:rsid w:val="6A1A2066"/>
    <w:rsid w:val="6A1C5DDE"/>
    <w:rsid w:val="6A1D56B2"/>
    <w:rsid w:val="6A2904FB"/>
    <w:rsid w:val="6A2E3D63"/>
    <w:rsid w:val="6A2E78BF"/>
    <w:rsid w:val="6A31115D"/>
    <w:rsid w:val="6A3C022E"/>
    <w:rsid w:val="6A4609EB"/>
    <w:rsid w:val="6A49294B"/>
    <w:rsid w:val="6A4946F9"/>
    <w:rsid w:val="6A4E1D0F"/>
    <w:rsid w:val="6A503CD9"/>
    <w:rsid w:val="6A5437CA"/>
    <w:rsid w:val="6A545DE7"/>
    <w:rsid w:val="6A564E8E"/>
    <w:rsid w:val="6A570BC4"/>
    <w:rsid w:val="6A590DE0"/>
    <w:rsid w:val="6A5C61DA"/>
    <w:rsid w:val="6A605D12"/>
    <w:rsid w:val="6A621619"/>
    <w:rsid w:val="6A6652AB"/>
    <w:rsid w:val="6A687275"/>
    <w:rsid w:val="6A696B49"/>
    <w:rsid w:val="6A6B28C1"/>
    <w:rsid w:val="6A70612A"/>
    <w:rsid w:val="6A7A0D56"/>
    <w:rsid w:val="6A86594D"/>
    <w:rsid w:val="6A876FCF"/>
    <w:rsid w:val="6A892D47"/>
    <w:rsid w:val="6A9C0CCD"/>
    <w:rsid w:val="6AA162E3"/>
    <w:rsid w:val="6AA67D9D"/>
    <w:rsid w:val="6AA933EA"/>
    <w:rsid w:val="6AB73D58"/>
    <w:rsid w:val="6ABC136F"/>
    <w:rsid w:val="6AC326FD"/>
    <w:rsid w:val="6AC344AB"/>
    <w:rsid w:val="6AC41FD2"/>
    <w:rsid w:val="6AC87D14"/>
    <w:rsid w:val="6AC9176D"/>
    <w:rsid w:val="6AD71D05"/>
    <w:rsid w:val="6ADC37BF"/>
    <w:rsid w:val="6ADE12E5"/>
    <w:rsid w:val="6AE306AA"/>
    <w:rsid w:val="6AE83309"/>
    <w:rsid w:val="6AED1528"/>
    <w:rsid w:val="6AF24D91"/>
    <w:rsid w:val="6AF26B3F"/>
    <w:rsid w:val="6AFC176B"/>
    <w:rsid w:val="6B013226"/>
    <w:rsid w:val="6B014FD4"/>
    <w:rsid w:val="6B0B19AE"/>
    <w:rsid w:val="6B0B7C00"/>
    <w:rsid w:val="6B0C5E52"/>
    <w:rsid w:val="6B1B7DBD"/>
    <w:rsid w:val="6B1E5B86"/>
    <w:rsid w:val="6B1F5419"/>
    <w:rsid w:val="6B2018FE"/>
    <w:rsid w:val="6B20545A"/>
    <w:rsid w:val="6B2111D2"/>
    <w:rsid w:val="6B2573DB"/>
    <w:rsid w:val="6B290FDE"/>
    <w:rsid w:val="6B2C2051"/>
    <w:rsid w:val="6B2D401B"/>
    <w:rsid w:val="6B2D5DC9"/>
    <w:rsid w:val="6B2D7B77"/>
    <w:rsid w:val="6B2F7D93"/>
    <w:rsid w:val="6B347157"/>
    <w:rsid w:val="6B3B6738"/>
    <w:rsid w:val="6B427C02"/>
    <w:rsid w:val="6B4750DC"/>
    <w:rsid w:val="6B4B624F"/>
    <w:rsid w:val="6B4F3F91"/>
    <w:rsid w:val="6B56531F"/>
    <w:rsid w:val="6B5670CE"/>
    <w:rsid w:val="6B581098"/>
    <w:rsid w:val="6B5812B8"/>
    <w:rsid w:val="6B5E5F82"/>
    <w:rsid w:val="6B601CFA"/>
    <w:rsid w:val="6B6317EA"/>
    <w:rsid w:val="6B633598"/>
    <w:rsid w:val="6B6E08BB"/>
    <w:rsid w:val="6B6F4633"/>
    <w:rsid w:val="6B6F63E1"/>
    <w:rsid w:val="6B712159"/>
    <w:rsid w:val="6B726CE1"/>
    <w:rsid w:val="6B737C7F"/>
    <w:rsid w:val="6B785296"/>
    <w:rsid w:val="6B7E4876"/>
    <w:rsid w:val="6B7E6624"/>
    <w:rsid w:val="6B827EC3"/>
    <w:rsid w:val="6B833C3B"/>
    <w:rsid w:val="6B855C05"/>
    <w:rsid w:val="6B8D6867"/>
    <w:rsid w:val="6B9136FA"/>
    <w:rsid w:val="6B945E48"/>
    <w:rsid w:val="6B99345E"/>
    <w:rsid w:val="6B9B71D6"/>
    <w:rsid w:val="6B9D2F4E"/>
    <w:rsid w:val="6B9F44A0"/>
    <w:rsid w:val="6BA047ED"/>
    <w:rsid w:val="6BAA11C7"/>
    <w:rsid w:val="6BAF4A30"/>
    <w:rsid w:val="6BAF67DE"/>
    <w:rsid w:val="6BB169FA"/>
    <w:rsid w:val="6BBA3B00"/>
    <w:rsid w:val="6BBB5183"/>
    <w:rsid w:val="6BBF1117"/>
    <w:rsid w:val="6BC73B27"/>
    <w:rsid w:val="6BC95AF1"/>
    <w:rsid w:val="6BD10E4A"/>
    <w:rsid w:val="6BD821D8"/>
    <w:rsid w:val="6BE0108D"/>
    <w:rsid w:val="6BE04BE9"/>
    <w:rsid w:val="6BE40B7D"/>
    <w:rsid w:val="6BEC7A32"/>
    <w:rsid w:val="6BF568E6"/>
    <w:rsid w:val="6BF80185"/>
    <w:rsid w:val="6BFE3BD0"/>
    <w:rsid w:val="6C07661A"/>
    <w:rsid w:val="6C136D6D"/>
    <w:rsid w:val="6C1F1BB5"/>
    <w:rsid w:val="6C1F3963"/>
    <w:rsid w:val="6C225202"/>
    <w:rsid w:val="6C256AA0"/>
    <w:rsid w:val="6C276CBC"/>
    <w:rsid w:val="6C30791F"/>
    <w:rsid w:val="6C3118E9"/>
    <w:rsid w:val="6C313697"/>
    <w:rsid w:val="6C33740F"/>
    <w:rsid w:val="6C404029"/>
    <w:rsid w:val="6C474C68"/>
    <w:rsid w:val="6C515AE7"/>
    <w:rsid w:val="6C5703CB"/>
    <w:rsid w:val="6C586E75"/>
    <w:rsid w:val="6C6121CE"/>
    <w:rsid w:val="6C635F46"/>
    <w:rsid w:val="6C692E30"/>
    <w:rsid w:val="6C6E48EB"/>
    <w:rsid w:val="6C726189"/>
    <w:rsid w:val="6C727F37"/>
    <w:rsid w:val="6C733CAF"/>
    <w:rsid w:val="6C763D3D"/>
    <w:rsid w:val="6C77554D"/>
    <w:rsid w:val="6C7A3290"/>
    <w:rsid w:val="6C7D068A"/>
    <w:rsid w:val="6C816902"/>
    <w:rsid w:val="6C830396"/>
    <w:rsid w:val="6C8E0AE9"/>
    <w:rsid w:val="6C8F35E7"/>
    <w:rsid w:val="6C9003BD"/>
    <w:rsid w:val="6C951E77"/>
    <w:rsid w:val="6C9C1458"/>
    <w:rsid w:val="6C9C6D62"/>
    <w:rsid w:val="6C9F2CF6"/>
    <w:rsid w:val="6CA34594"/>
    <w:rsid w:val="6CA36342"/>
    <w:rsid w:val="6CA420BB"/>
    <w:rsid w:val="6CAE4CE7"/>
    <w:rsid w:val="6CB22A29"/>
    <w:rsid w:val="6CB542C8"/>
    <w:rsid w:val="6CBA18DE"/>
    <w:rsid w:val="6CBB2E90"/>
    <w:rsid w:val="6CBC7404"/>
    <w:rsid w:val="6CC118C2"/>
    <w:rsid w:val="6CC4450B"/>
    <w:rsid w:val="6CC83FFB"/>
    <w:rsid w:val="6CC91B21"/>
    <w:rsid w:val="6CCB5899"/>
    <w:rsid w:val="6CD26C28"/>
    <w:rsid w:val="6CD40BF2"/>
    <w:rsid w:val="6CD504C6"/>
    <w:rsid w:val="6CD7423E"/>
    <w:rsid w:val="6CDD3B27"/>
    <w:rsid w:val="6CDF30F3"/>
    <w:rsid w:val="6CE8644B"/>
    <w:rsid w:val="6CE95D1F"/>
    <w:rsid w:val="6CEE3336"/>
    <w:rsid w:val="6CF027F1"/>
    <w:rsid w:val="6CF44DF0"/>
    <w:rsid w:val="6CFA59CE"/>
    <w:rsid w:val="6CFC5A53"/>
    <w:rsid w:val="6D0112BB"/>
    <w:rsid w:val="6D090170"/>
    <w:rsid w:val="6D0A4696"/>
    <w:rsid w:val="6D0D4104"/>
    <w:rsid w:val="6D0D7C60"/>
    <w:rsid w:val="6D0F1C2A"/>
    <w:rsid w:val="6D1234C8"/>
    <w:rsid w:val="6D125276"/>
    <w:rsid w:val="6D142D9C"/>
    <w:rsid w:val="6D194857"/>
    <w:rsid w:val="6D1A2E8D"/>
    <w:rsid w:val="6D1B05CF"/>
    <w:rsid w:val="6D1B4127"/>
    <w:rsid w:val="6D2356D5"/>
    <w:rsid w:val="6D254FA9"/>
    <w:rsid w:val="6D266F73"/>
    <w:rsid w:val="6D282CEC"/>
    <w:rsid w:val="6D30394E"/>
    <w:rsid w:val="6D396CA7"/>
    <w:rsid w:val="6D3B7744"/>
    <w:rsid w:val="6D45564C"/>
    <w:rsid w:val="6D462252"/>
    <w:rsid w:val="6D4C69DA"/>
    <w:rsid w:val="6D4D4500"/>
    <w:rsid w:val="6D4F64CA"/>
    <w:rsid w:val="6D527D69"/>
    <w:rsid w:val="6D567859"/>
    <w:rsid w:val="6D6261FE"/>
    <w:rsid w:val="6D65184A"/>
    <w:rsid w:val="6D68758C"/>
    <w:rsid w:val="6D7101EF"/>
    <w:rsid w:val="6D716441"/>
    <w:rsid w:val="6D761CA9"/>
    <w:rsid w:val="6D7777CF"/>
    <w:rsid w:val="6D7A61C9"/>
    <w:rsid w:val="6D82064E"/>
    <w:rsid w:val="6D854A1D"/>
    <w:rsid w:val="6D8A12B0"/>
    <w:rsid w:val="6D8A305E"/>
    <w:rsid w:val="6D8A7502"/>
    <w:rsid w:val="6DA06D26"/>
    <w:rsid w:val="6DA2484C"/>
    <w:rsid w:val="6DA265FA"/>
    <w:rsid w:val="6DA46816"/>
    <w:rsid w:val="6DA560EA"/>
    <w:rsid w:val="6DB602F7"/>
    <w:rsid w:val="6DB93944"/>
    <w:rsid w:val="6DC26C9C"/>
    <w:rsid w:val="6DC742B3"/>
    <w:rsid w:val="6DCC3677"/>
    <w:rsid w:val="6DCE5641"/>
    <w:rsid w:val="6DCF3167"/>
    <w:rsid w:val="6DD16EDF"/>
    <w:rsid w:val="6DD469CF"/>
    <w:rsid w:val="6DD62748"/>
    <w:rsid w:val="6DD864C0"/>
    <w:rsid w:val="6DDB1B0C"/>
    <w:rsid w:val="6DDD15C6"/>
    <w:rsid w:val="6DDD3AD6"/>
    <w:rsid w:val="6DDE33AA"/>
    <w:rsid w:val="6DE05374"/>
    <w:rsid w:val="6DE210EC"/>
    <w:rsid w:val="6DE54739"/>
    <w:rsid w:val="6DE85FD7"/>
    <w:rsid w:val="6DEF3809"/>
    <w:rsid w:val="6DEF55B7"/>
    <w:rsid w:val="6DF130DE"/>
    <w:rsid w:val="6DF57072"/>
    <w:rsid w:val="6DF606F4"/>
    <w:rsid w:val="6DF826BE"/>
    <w:rsid w:val="6DFA6436"/>
    <w:rsid w:val="6DFD7CD4"/>
    <w:rsid w:val="6E005A16"/>
    <w:rsid w:val="6E0754AD"/>
    <w:rsid w:val="6E076DA5"/>
    <w:rsid w:val="6E085B93"/>
    <w:rsid w:val="6E0A23F1"/>
    <w:rsid w:val="6E0F7A08"/>
    <w:rsid w:val="6E160D96"/>
    <w:rsid w:val="6E166FE8"/>
    <w:rsid w:val="6E1F5E9D"/>
    <w:rsid w:val="6E2039C3"/>
    <w:rsid w:val="6E274D51"/>
    <w:rsid w:val="6E296D1B"/>
    <w:rsid w:val="6E3000AA"/>
    <w:rsid w:val="6E386F5E"/>
    <w:rsid w:val="6E427DDD"/>
    <w:rsid w:val="6E4C2A0A"/>
    <w:rsid w:val="6E4C47B8"/>
    <w:rsid w:val="6E4F6056"/>
    <w:rsid w:val="6E557B10"/>
    <w:rsid w:val="6E573888"/>
    <w:rsid w:val="6E5A6ED5"/>
    <w:rsid w:val="6E5D4C17"/>
    <w:rsid w:val="6E7004A6"/>
    <w:rsid w:val="6E755ABD"/>
    <w:rsid w:val="6E8C2E06"/>
    <w:rsid w:val="6E91666F"/>
    <w:rsid w:val="6E922B12"/>
    <w:rsid w:val="6E935777"/>
    <w:rsid w:val="6E95615F"/>
    <w:rsid w:val="6E9817AB"/>
    <w:rsid w:val="6E9A19C7"/>
    <w:rsid w:val="6E9A5523"/>
    <w:rsid w:val="6E9D3265"/>
    <w:rsid w:val="6EA14B04"/>
    <w:rsid w:val="6EA168B2"/>
    <w:rsid w:val="6EA410B2"/>
    <w:rsid w:val="6EA44F40"/>
    <w:rsid w:val="6EA939B8"/>
    <w:rsid w:val="6EAD34A8"/>
    <w:rsid w:val="6EAF2053"/>
    <w:rsid w:val="6EB32A89"/>
    <w:rsid w:val="6EB5235D"/>
    <w:rsid w:val="6EB72579"/>
    <w:rsid w:val="6EBD1212"/>
    <w:rsid w:val="6EBF142E"/>
    <w:rsid w:val="6EBF31DC"/>
    <w:rsid w:val="6EBF4F8A"/>
    <w:rsid w:val="6EC627BC"/>
    <w:rsid w:val="6EC6456A"/>
    <w:rsid w:val="6ECF78C3"/>
    <w:rsid w:val="6ED053E9"/>
    <w:rsid w:val="6ED21161"/>
    <w:rsid w:val="6EDA6267"/>
    <w:rsid w:val="6EDC1FE0"/>
    <w:rsid w:val="6EDC3D8E"/>
    <w:rsid w:val="6EDF73DA"/>
    <w:rsid w:val="6EE64C0C"/>
    <w:rsid w:val="6EED5F9B"/>
    <w:rsid w:val="6EED7D49"/>
    <w:rsid w:val="6EF2535F"/>
    <w:rsid w:val="6EF54E4F"/>
    <w:rsid w:val="6EF966EE"/>
    <w:rsid w:val="6EFF182A"/>
    <w:rsid w:val="6F0155A2"/>
    <w:rsid w:val="6F03131A"/>
    <w:rsid w:val="6F06705D"/>
    <w:rsid w:val="6F0B1F4D"/>
    <w:rsid w:val="6F0D03EB"/>
    <w:rsid w:val="6F0E7CBF"/>
    <w:rsid w:val="6F15104E"/>
    <w:rsid w:val="6F176B74"/>
    <w:rsid w:val="6F196D90"/>
    <w:rsid w:val="6F1C418A"/>
    <w:rsid w:val="6F235519"/>
    <w:rsid w:val="6F285225"/>
    <w:rsid w:val="6F2A7D34"/>
    <w:rsid w:val="6F2D283B"/>
    <w:rsid w:val="6F2D45E9"/>
    <w:rsid w:val="6F3B6D06"/>
    <w:rsid w:val="6F410095"/>
    <w:rsid w:val="6F413BF1"/>
    <w:rsid w:val="6F437969"/>
    <w:rsid w:val="6F4464A7"/>
    <w:rsid w:val="6F457B85"/>
    <w:rsid w:val="6F4831D1"/>
    <w:rsid w:val="6F4A519B"/>
    <w:rsid w:val="6F5222A2"/>
    <w:rsid w:val="6F5778B8"/>
    <w:rsid w:val="6F60676D"/>
    <w:rsid w:val="6F6618A9"/>
    <w:rsid w:val="6F6F69B0"/>
    <w:rsid w:val="6F712728"/>
    <w:rsid w:val="6F72024E"/>
    <w:rsid w:val="6F743FC6"/>
    <w:rsid w:val="6F7476F4"/>
    <w:rsid w:val="6F765F90"/>
    <w:rsid w:val="6F771D08"/>
    <w:rsid w:val="6F7915DC"/>
    <w:rsid w:val="6F7B5355"/>
    <w:rsid w:val="6F7C2E7B"/>
    <w:rsid w:val="6F806E0F"/>
    <w:rsid w:val="6F8166E3"/>
    <w:rsid w:val="6F83245B"/>
    <w:rsid w:val="6F836B40"/>
    <w:rsid w:val="6F863CF9"/>
    <w:rsid w:val="6F8D6E36"/>
    <w:rsid w:val="6F8F0E00"/>
    <w:rsid w:val="6F96218E"/>
    <w:rsid w:val="6F9E1043"/>
    <w:rsid w:val="6FA348AB"/>
    <w:rsid w:val="6FA7439C"/>
    <w:rsid w:val="6FAD572A"/>
    <w:rsid w:val="6FB22D40"/>
    <w:rsid w:val="6FB40867"/>
    <w:rsid w:val="6FB62831"/>
    <w:rsid w:val="6FB72105"/>
    <w:rsid w:val="6FC0545D"/>
    <w:rsid w:val="6FC7059A"/>
    <w:rsid w:val="6FC767EC"/>
    <w:rsid w:val="6FCD1928"/>
    <w:rsid w:val="6FCD36D6"/>
    <w:rsid w:val="6FD40F09"/>
    <w:rsid w:val="6FD64C81"/>
    <w:rsid w:val="6FD72449"/>
    <w:rsid w:val="6FDB2297"/>
    <w:rsid w:val="6FE0165C"/>
    <w:rsid w:val="6FE3419F"/>
    <w:rsid w:val="6FE436A6"/>
    <w:rsid w:val="6FE60AAE"/>
    <w:rsid w:val="6FEA072C"/>
    <w:rsid w:val="6FEE38F0"/>
    <w:rsid w:val="6FF45107"/>
    <w:rsid w:val="6FF46EB5"/>
    <w:rsid w:val="6FF670D1"/>
    <w:rsid w:val="6FF9271D"/>
    <w:rsid w:val="6FFE5F86"/>
    <w:rsid w:val="70016B46"/>
    <w:rsid w:val="7003534A"/>
    <w:rsid w:val="70076BE8"/>
    <w:rsid w:val="70082960"/>
    <w:rsid w:val="70090BB2"/>
    <w:rsid w:val="700E61C9"/>
    <w:rsid w:val="70111815"/>
    <w:rsid w:val="7012558D"/>
    <w:rsid w:val="7016507D"/>
    <w:rsid w:val="7020414E"/>
    <w:rsid w:val="70241CE7"/>
    <w:rsid w:val="70251764"/>
    <w:rsid w:val="702E0619"/>
    <w:rsid w:val="70343755"/>
    <w:rsid w:val="703B0F88"/>
    <w:rsid w:val="703D6AAE"/>
    <w:rsid w:val="704020FA"/>
    <w:rsid w:val="70455963"/>
    <w:rsid w:val="70480FAF"/>
    <w:rsid w:val="704936A5"/>
    <w:rsid w:val="704A2F79"/>
    <w:rsid w:val="70514307"/>
    <w:rsid w:val="705838E8"/>
    <w:rsid w:val="70587444"/>
    <w:rsid w:val="705C33D8"/>
    <w:rsid w:val="7064403B"/>
    <w:rsid w:val="70657DB3"/>
    <w:rsid w:val="706933FF"/>
    <w:rsid w:val="706B369D"/>
    <w:rsid w:val="706F478E"/>
    <w:rsid w:val="7073427E"/>
    <w:rsid w:val="707444ED"/>
    <w:rsid w:val="707A560C"/>
    <w:rsid w:val="707B2A29"/>
    <w:rsid w:val="707D50FC"/>
    <w:rsid w:val="708446DD"/>
    <w:rsid w:val="70910BA8"/>
    <w:rsid w:val="70934920"/>
    <w:rsid w:val="70980188"/>
    <w:rsid w:val="709A7A5C"/>
    <w:rsid w:val="709B37D5"/>
    <w:rsid w:val="709D579F"/>
    <w:rsid w:val="70A02B99"/>
    <w:rsid w:val="70A1528F"/>
    <w:rsid w:val="70A22DB5"/>
    <w:rsid w:val="70B054D2"/>
    <w:rsid w:val="70B2124A"/>
    <w:rsid w:val="70B825D8"/>
    <w:rsid w:val="70C26FB3"/>
    <w:rsid w:val="70C90342"/>
    <w:rsid w:val="70D50A94"/>
    <w:rsid w:val="70D72A5F"/>
    <w:rsid w:val="70DC1E23"/>
    <w:rsid w:val="70DF1913"/>
    <w:rsid w:val="70DF36C1"/>
    <w:rsid w:val="70DF5DB7"/>
    <w:rsid w:val="70E138DD"/>
    <w:rsid w:val="70E17439"/>
    <w:rsid w:val="70E76A1A"/>
    <w:rsid w:val="70EE7DA8"/>
    <w:rsid w:val="70F01D72"/>
    <w:rsid w:val="70F058CE"/>
    <w:rsid w:val="70F25AEA"/>
    <w:rsid w:val="70F4004C"/>
    <w:rsid w:val="70F57389"/>
    <w:rsid w:val="70FA499F"/>
    <w:rsid w:val="70FC4273"/>
    <w:rsid w:val="70FE417A"/>
    <w:rsid w:val="711A0B9D"/>
    <w:rsid w:val="71233EF6"/>
    <w:rsid w:val="712B6906"/>
    <w:rsid w:val="712C58BD"/>
    <w:rsid w:val="712E63F7"/>
    <w:rsid w:val="71333A0D"/>
    <w:rsid w:val="71353C29"/>
    <w:rsid w:val="713734FD"/>
    <w:rsid w:val="713A123F"/>
    <w:rsid w:val="7146022A"/>
    <w:rsid w:val="71463740"/>
    <w:rsid w:val="714D4ACF"/>
    <w:rsid w:val="71593474"/>
    <w:rsid w:val="715948DA"/>
    <w:rsid w:val="715E6CDC"/>
    <w:rsid w:val="715F6247"/>
    <w:rsid w:val="7169409E"/>
    <w:rsid w:val="716A5681"/>
    <w:rsid w:val="716B13F9"/>
    <w:rsid w:val="71744751"/>
    <w:rsid w:val="71752277"/>
    <w:rsid w:val="71754026"/>
    <w:rsid w:val="71775FF0"/>
    <w:rsid w:val="717C1858"/>
    <w:rsid w:val="71836742"/>
    <w:rsid w:val="718A4B54"/>
    <w:rsid w:val="718A5D23"/>
    <w:rsid w:val="71956476"/>
    <w:rsid w:val="719B7F30"/>
    <w:rsid w:val="719C7804"/>
    <w:rsid w:val="71A1306D"/>
    <w:rsid w:val="71A861A9"/>
    <w:rsid w:val="71AD1A11"/>
    <w:rsid w:val="71AD7C63"/>
    <w:rsid w:val="71B20DD6"/>
    <w:rsid w:val="71B7463E"/>
    <w:rsid w:val="71BC7EA6"/>
    <w:rsid w:val="71C01745"/>
    <w:rsid w:val="71C07997"/>
    <w:rsid w:val="71C1726B"/>
    <w:rsid w:val="71C31235"/>
    <w:rsid w:val="71C72AD3"/>
    <w:rsid w:val="71CA611F"/>
    <w:rsid w:val="71CD3E62"/>
    <w:rsid w:val="71CD5C10"/>
    <w:rsid w:val="71CF7BDA"/>
    <w:rsid w:val="71D23226"/>
    <w:rsid w:val="71D46F9E"/>
    <w:rsid w:val="71D945B4"/>
    <w:rsid w:val="71DC1368"/>
    <w:rsid w:val="71DC5B81"/>
    <w:rsid w:val="71DE1BCB"/>
    <w:rsid w:val="71DE606F"/>
    <w:rsid w:val="71E242CC"/>
    <w:rsid w:val="71E371E1"/>
    <w:rsid w:val="71E52F59"/>
    <w:rsid w:val="71E6168F"/>
    <w:rsid w:val="71E76CD1"/>
    <w:rsid w:val="71ED62B2"/>
    <w:rsid w:val="71F25676"/>
    <w:rsid w:val="71F950A9"/>
    <w:rsid w:val="71FB277D"/>
    <w:rsid w:val="71FC2C99"/>
    <w:rsid w:val="7205184D"/>
    <w:rsid w:val="720553A9"/>
    <w:rsid w:val="72077373"/>
    <w:rsid w:val="720C6738"/>
    <w:rsid w:val="720F447A"/>
    <w:rsid w:val="72135D18"/>
    <w:rsid w:val="721675B7"/>
    <w:rsid w:val="72181581"/>
    <w:rsid w:val="72192C03"/>
    <w:rsid w:val="721970A7"/>
    <w:rsid w:val="721E646B"/>
    <w:rsid w:val="72231CD3"/>
    <w:rsid w:val="72281098"/>
    <w:rsid w:val="722D66AE"/>
    <w:rsid w:val="723058B0"/>
    <w:rsid w:val="72331F17"/>
    <w:rsid w:val="7238577F"/>
    <w:rsid w:val="723A39CB"/>
    <w:rsid w:val="723F63AD"/>
    <w:rsid w:val="724203AC"/>
    <w:rsid w:val="724265FE"/>
    <w:rsid w:val="72435ED2"/>
    <w:rsid w:val="72442376"/>
    <w:rsid w:val="72492030"/>
    <w:rsid w:val="72507332"/>
    <w:rsid w:val="72516841"/>
    <w:rsid w:val="72556331"/>
    <w:rsid w:val="725B76BF"/>
    <w:rsid w:val="725E2D0C"/>
    <w:rsid w:val="726227FC"/>
    <w:rsid w:val="7265409A"/>
    <w:rsid w:val="72695938"/>
    <w:rsid w:val="726A345E"/>
    <w:rsid w:val="727164DC"/>
    <w:rsid w:val="727A7B45"/>
    <w:rsid w:val="727B1B10"/>
    <w:rsid w:val="727B3360"/>
    <w:rsid w:val="727D7636"/>
    <w:rsid w:val="72850298"/>
    <w:rsid w:val="728564EA"/>
    <w:rsid w:val="72895FDA"/>
    <w:rsid w:val="728F2AD0"/>
    <w:rsid w:val="72914E8F"/>
    <w:rsid w:val="72916007"/>
    <w:rsid w:val="72916C3D"/>
    <w:rsid w:val="729624A5"/>
    <w:rsid w:val="729D55E2"/>
    <w:rsid w:val="72A61BB4"/>
    <w:rsid w:val="72A9042B"/>
    <w:rsid w:val="72AA7CFF"/>
    <w:rsid w:val="72AE3C93"/>
    <w:rsid w:val="72B56DCF"/>
    <w:rsid w:val="72B8241C"/>
    <w:rsid w:val="72C47013"/>
    <w:rsid w:val="72CE1C3F"/>
    <w:rsid w:val="72D059B7"/>
    <w:rsid w:val="72DC25AE"/>
    <w:rsid w:val="72DF209E"/>
    <w:rsid w:val="72EC6569"/>
    <w:rsid w:val="72F62F44"/>
    <w:rsid w:val="72F86CBC"/>
    <w:rsid w:val="72FB055A"/>
    <w:rsid w:val="72FC67AC"/>
    <w:rsid w:val="72FD42D3"/>
    <w:rsid w:val="730218E9"/>
    <w:rsid w:val="730438B3"/>
    <w:rsid w:val="73087218"/>
    <w:rsid w:val="73102258"/>
    <w:rsid w:val="73171838"/>
    <w:rsid w:val="731A6C33"/>
    <w:rsid w:val="731B6FCC"/>
    <w:rsid w:val="73263829"/>
    <w:rsid w:val="732D2E0A"/>
    <w:rsid w:val="733046A8"/>
    <w:rsid w:val="73334198"/>
    <w:rsid w:val="73353A6C"/>
    <w:rsid w:val="73373C88"/>
    <w:rsid w:val="73397A01"/>
    <w:rsid w:val="733C304D"/>
    <w:rsid w:val="73497518"/>
    <w:rsid w:val="734D44BC"/>
    <w:rsid w:val="735465E8"/>
    <w:rsid w:val="735F0AE9"/>
    <w:rsid w:val="73610D05"/>
    <w:rsid w:val="73655314"/>
    <w:rsid w:val="736600CA"/>
    <w:rsid w:val="736D1458"/>
    <w:rsid w:val="73724D47"/>
    <w:rsid w:val="73734595"/>
    <w:rsid w:val="73816CB2"/>
    <w:rsid w:val="7386251A"/>
    <w:rsid w:val="73893DB8"/>
    <w:rsid w:val="738B5D82"/>
    <w:rsid w:val="738D1AFA"/>
    <w:rsid w:val="73992DD8"/>
    <w:rsid w:val="739F35DC"/>
    <w:rsid w:val="73A40BF2"/>
    <w:rsid w:val="73AB1F81"/>
    <w:rsid w:val="73B07597"/>
    <w:rsid w:val="73B40E35"/>
    <w:rsid w:val="73B452D9"/>
    <w:rsid w:val="73B9469D"/>
    <w:rsid w:val="73BC23E0"/>
    <w:rsid w:val="73BC5E5C"/>
    <w:rsid w:val="73C03C7E"/>
    <w:rsid w:val="73CF5C6F"/>
    <w:rsid w:val="73D72D76"/>
    <w:rsid w:val="73DC038C"/>
    <w:rsid w:val="73E060CE"/>
    <w:rsid w:val="73E3796C"/>
    <w:rsid w:val="73EA2E5D"/>
    <w:rsid w:val="73F12089"/>
    <w:rsid w:val="73F27BAF"/>
    <w:rsid w:val="73F73418"/>
    <w:rsid w:val="73F97190"/>
    <w:rsid w:val="7400407A"/>
    <w:rsid w:val="74025A20"/>
    <w:rsid w:val="74055B35"/>
    <w:rsid w:val="740F250F"/>
    <w:rsid w:val="74123DAE"/>
    <w:rsid w:val="74161AF0"/>
    <w:rsid w:val="74171A19"/>
    <w:rsid w:val="7420296E"/>
    <w:rsid w:val="742064CB"/>
    <w:rsid w:val="74213FF1"/>
    <w:rsid w:val="74237D69"/>
    <w:rsid w:val="742835D1"/>
    <w:rsid w:val="742E508B"/>
    <w:rsid w:val="742F4960"/>
    <w:rsid w:val="743B50B2"/>
    <w:rsid w:val="743D2F56"/>
    <w:rsid w:val="74416441"/>
    <w:rsid w:val="74422EB3"/>
    <w:rsid w:val="744321B9"/>
    <w:rsid w:val="74452F75"/>
    <w:rsid w:val="74485A21"/>
    <w:rsid w:val="744877CF"/>
    <w:rsid w:val="744A79EB"/>
    <w:rsid w:val="744F0B5E"/>
    <w:rsid w:val="74534AF2"/>
    <w:rsid w:val="74546174"/>
    <w:rsid w:val="745B25CA"/>
    <w:rsid w:val="745B5755"/>
    <w:rsid w:val="74604B19"/>
    <w:rsid w:val="746464FE"/>
    <w:rsid w:val="74650381"/>
    <w:rsid w:val="74675EA7"/>
    <w:rsid w:val="74694588"/>
    <w:rsid w:val="746960C4"/>
    <w:rsid w:val="746C5BB4"/>
    <w:rsid w:val="747131CA"/>
    <w:rsid w:val="7476258E"/>
    <w:rsid w:val="747800B5"/>
    <w:rsid w:val="74795BDB"/>
    <w:rsid w:val="747E1950"/>
    <w:rsid w:val="748051BB"/>
    <w:rsid w:val="74844CAB"/>
    <w:rsid w:val="7487654A"/>
    <w:rsid w:val="748C7A8E"/>
    <w:rsid w:val="748E78D8"/>
    <w:rsid w:val="749173C8"/>
    <w:rsid w:val="74940C67"/>
    <w:rsid w:val="74A25132"/>
    <w:rsid w:val="74A52E74"/>
    <w:rsid w:val="74A92964"/>
    <w:rsid w:val="74A94712"/>
    <w:rsid w:val="74AC4202"/>
    <w:rsid w:val="74B60BDD"/>
    <w:rsid w:val="74B82BA7"/>
    <w:rsid w:val="74BA06CD"/>
    <w:rsid w:val="74BA691F"/>
    <w:rsid w:val="74C01A5C"/>
    <w:rsid w:val="74C23A26"/>
    <w:rsid w:val="74C257D4"/>
    <w:rsid w:val="74D13C69"/>
    <w:rsid w:val="74DF0134"/>
    <w:rsid w:val="74E25E76"/>
    <w:rsid w:val="74E27C24"/>
    <w:rsid w:val="74EA5665"/>
    <w:rsid w:val="74EC2851"/>
    <w:rsid w:val="74F00593"/>
    <w:rsid w:val="74F57957"/>
    <w:rsid w:val="74F6722B"/>
    <w:rsid w:val="74F811F5"/>
    <w:rsid w:val="74F82FA3"/>
    <w:rsid w:val="74FB2A94"/>
    <w:rsid w:val="74FC0CE6"/>
    <w:rsid w:val="74FF07D6"/>
    <w:rsid w:val="74FF4332"/>
    <w:rsid w:val="750202C6"/>
    <w:rsid w:val="75093403"/>
    <w:rsid w:val="750951B1"/>
    <w:rsid w:val="75096F5F"/>
    <w:rsid w:val="7513602F"/>
    <w:rsid w:val="75153B55"/>
    <w:rsid w:val="751A5610"/>
    <w:rsid w:val="751D0C5C"/>
    <w:rsid w:val="752244C4"/>
    <w:rsid w:val="75226272"/>
    <w:rsid w:val="75265D63"/>
    <w:rsid w:val="75271ADB"/>
    <w:rsid w:val="752B15CB"/>
    <w:rsid w:val="752B56FD"/>
    <w:rsid w:val="752C70F1"/>
    <w:rsid w:val="75324707"/>
    <w:rsid w:val="7538447B"/>
    <w:rsid w:val="75412B9C"/>
    <w:rsid w:val="7541494A"/>
    <w:rsid w:val="75491A51"/>
    <w:rsid w:val="754B57C9"/>
    <w:rsid w:val="75502DDF"/>
    <w:rsid w:val="75530B22"/>
    <w:rsid w:val="75575F1C"/>
    <w:rsid w:val="755F74C6"/>
    <w:rsid w:val="75610B49"/>
    <w:rsid w:val="757271FA"/>
    <w:rsid w:val="75735A9C"/>
    <w:rsid w:val="75742F72"/>
    <w:rsid w:val="757D16FB"/>
    <w:rsid w:val="758111EB"/>
    <w:rsid w:val="75842A89"/>
    <w:rsid w:val="75862CA5"/>
    <w:rsid w:val="75894543"/>
    <w:rsid w:val="75907B95"/>
    <w:rsid w:val="7595133B"/>
    <w:rsid w:val="759929D8"/>
    <w:rsid w:val="759A405B"/>
    <w:rsid w:val="759D7927"/>
    <w:rsid w:val="75A03D67"/>
    <w:rsid w:val="75A153E9"/>
    <w:rsid w:val="75A20E0D"/>
    <w:rsid w:val="75A44ED9"/>
    <w:rsid w:val="75A60C51"/>
    <w:rsid w:val="75AD1FE0"/>
    <w:rsid w:val="75AE7B06"/>
    <w:rsid w:val="75B0387E"/>
    <w:rsid w:val="75B570E6"/>
    <w:rsid w:val="75B90985"/>
    <w:rsid w:val="75C17839"/>
    <w:rsid w:val="75C4732A"/>
    <w:rsid w:val="75C612F4"/>
    <w:rsid w:val="75CD61DE"/>
    <w:rsid w:val="75CF3B98"/>
    <w:rsid w:val="75D25EEA"/>
    <w:rsid w:val="75D43A11"/>
    <w:rsid w:val="75D4756D"/>
    <w:rsid w:val="75D51537"/>
    <w:rsid w:val="75D634B1"/>
    <w:rsid w:val="75D92DD5"/>
    <w:rsid w:val="75DA08FB"/>
    <w:rsid w:val="75E1612D"/>
    <w:rsid w:val="75E35A02"/>
    <w:rsid w:val="75E63744"/>
    <w:rsid w:val="75E8126A"/>
    <w:rsid w:val="75ED6880"/>
    <w:rsid w:val="75F220E9"/>
    <w:rsid w:val="75F25C45"/>
    <w:rsid w:val="75F45E61"/>
    <w:rsid w:val="75FC6AC3"/>
    <w:rsid w:val="76037EB7"/>
    <w:rsid w:val="760836BA"/>
    <w:rsid w:val="7610431D"/>
    <w:rsid w:val="761402B1"/>
    <w:rsid w:val="76164029"/>
    <w:rsid w:val="761B280C"/>
    <w:rsid w:val="761B33ED"/>
    <w:rsid w:val="762027B2"/>
    <w:rsid w:val="76206C56"/>
    <w:rsid w:val="762229CE"/>
    <w:rsid w:val="7625601A"/>
    <w:rsid w:val="76261D92"/>
    <w:rsid w:val="76263B40"/>
    <w:rsid w:val="762878B8"/>
    <w:rsid w:val="762A14A4"/>
    <w:rsid w:val="76326989"/>
    <w:rsid w:val="76360227"/>
    <w:rsid w:val="763C579C"/>
    <w:rsid w:val="764A010C"/>
    <w:rsid w:val="764C7A4B"/>
    <w:rsid w:val="76515061"/>
    <w:rsid w:val="765456F6"/>
    <w:rsid w:val="766D176F"/>
    <w:rsid w:val="766F725C"/>
    <w:rsid w:val="7671300D"/>
    <w:rsid w:val="767174B1"/>
    <w:rsid w:val="767825EE"/>
    <w:rsid w:val="76795419"/>
    <w:rsid w:val="767E1BCE"/>
    <w:rsid w:val="769211D6"/>
    <w:rsid w:val="76960CC6"/>
    <w:rsid w:val="76AE6010"/>
    <w:rsid w:val="76BB24DB"/>
    <w:rsid w:val="76BD44A5"/>
    <w:rsid w:val="76C75323"/>
    <w:rsid w:val="76C92E49"/>
    <w:rsid w:val="76CD220E"/>
    <w:rsid w:val="76CE0460"/>
    <w:rsid w:val="76D67314"/>
    <w:rsid w:val="76D90BB3"/>
    <w:rsid w:val="76DB492B"/>
    <w:rsid w:val="76E00193"/>
    <w:rsid w:val="76E23F0B"/>
    <w:rsid w:val="76E71522"/>
    <w:rsid w:val="76EC4D8A"/>
    <w:rsid w:val="76F1414E"/>
    <w:rsid w:val="76FE0619"/>
    <w:rsid w:val="770C0F88"/>
    <w:rsid w:val="770C71DA"/>
    <w:rsid w:val="7715608F"/>
    <w:rsid w:val="77183DD1"/>
    <w:rsid w:val="771F6F0D"/>
    <w:rsid w:val="77204A34"/>
    <w:rsid w:val="77274014"/>
    <w:rsid w:val="77297D8C"/>
    <w:rsid w:val="772C33D8"/>
    <w:rsid w:val="772E7150"/>
    <w:rsid w:val="773109EF"/>
    <w:rsid w:val="77316C41"/>
    <w:rsid w:val="77324E93"/>
    <w:rsid w:val="773329B9"/>
    <w:rsid w:val="77356731"/>
    <w:rsid w:val="773D17AA"/>
    <w:rsid w:val="77422BFC"/>
    <w:rsid w:val="774249AA"/>
    <w:rsid w:val="77476464"/>
    <w:rsid w:val="774921DC"/>
    <w:rsid w:val="774B1AB0"/>
    <w:rsid w:val="774C5829"/>
    <w:rsid w:val="774D3A7A"/>
    <w:rsid w:val="7750356B"/>
    <w:rsid w:val="77512E3F"/>
    <w:rsid w:val="77536BB7"/>
    <w:rsid w:val="775546DD"/>
    <w:rsid w:val="775748F9"/>
    <w:rsid w:val="775D7A36"/>
    <w:rsid w:val="77617526"/>
    <w:rsid w:val="7762504C"/>
    <w:rsid w:val="77626DFA"/>
    <w:rsid w:val="77640DC4"/>
    <w:rsid w:val="77664B3C"/>
    <w:rsid w:val="776942B0"/>
    <w:rsid w:val="776B3F01"/>
    <w:rsid w:val="776D5ECB"/>
    <w:rsid w:val="776E0334"/>
    <w:rsid w:val="77862AE9"/>
    <w:rsid w:val="778E5E41"/>
    <w:rsid w:val="77935205"/>
    <w:rsid w:val="779C055E"/>
    <w:rsid w:val="77A25449"/>
    <w:rsid w:val="77A411C1"/>
    <w:rsid w:val="77A45665"/>
    <w:rsid w:val="77A86F03"/>
    <w:rsid w:val="77AE0291"/>
    <w:rsid w:val="77B27D81"/>
    <w:rsid w:val="77BA09E4"/>
    <w:rsid w:val="77BD2282"/>
    <w:rsid w:val="77C47AB5"/>
    <w:rsid w:val="77C74EAF"/>
    <w:rsid w:val="77C90C27"/>
    <w:rsid w:val="77CA0A7C"/>
    <w:rsid w:val="77CB0E43"/>
    <w:rsid w:val="77CD0717"/>
    <w:rsid w:val="77D221D2"/>
    <w:rsid w:val="77D23F80"/>
    <w:rsid w:val="77D334A8"/>
    <w:rsid w:val="77D5581E"/>
    <w:rsid w:val="77D575CC"/>
    <w:rsid w:val="77D73344"/>
    <w:rsid w:val="77DA1086"/>
    <w:rsid w:val="77E3618D"/>
    <w:rsid w:val="77E45A61"/>
    <w:rsid w:val="77E617D9"/>
    <w:rsid w:val="77E65C7D"/>
    <w:rsid w:val="77ED2B68"/>
    <w:rsid w:val="77EE068E"/>
    <w:rsid w:val="77F00652"/>
    <w:rsid w:val="77F35CA4"/>
    <w:rsid w:val="77F739E6"/>
    <w:rsid w:val="77F75794"/>
    <w:rsid w:val="77FA7033"/>
    <w:rsid w:val="77FC724F"/>
    <w:rsid w:val="78000AED"/>
    <w:rsid w:val="780954C8"/>
    <w:rsid w:val="78112CFA"/>
    <w:rsid w:val="78113211"/>
    <w:rsid w:val="78191BAF"/>
    <w:rsid w:val="781B5927"/>
    <w:rsid w:val="781C344D"/>
    <w:rsid w:val="781E5417"/>
    <w:rsid w:val="7820118F"/>
    <w:rsid w:val="78202F3D"/>
    <w:rsid w:val="78210A63"/>
    <w:rsid w:val="78216CB5"/>
    <w:rsid w:val="78236589"/>
    <w:rsid w:val="78241686"/>
    <w:rsid w:val="7826607A"/>
    <w:rsid w:val="78281497"/>
    <w:rsid w:val="782F13D2"/>
    <w:rsid w:val="783B1B25"/>
    <w:rsid w:val="783E1615"/>
    <w:rsid w:val="783E7867"/>
    <w:rsid w:val="7840103E"/>
    <w:rsid w:val="78414C61"/>
    <w:rsid w:val="7842203E"/>
    <w:rsid w:val="784D7AAA"/>
    <w:rsid w:val="7851759A"/>
    <w:rsid w:val="7855070D"/>
    <w:rsid w:val="78574485"/>
    <w:rsid w:val="785E5813"/>
    <w:rsid w:val="7860333A"/>
    <w:rsid w:val="786170B2"/>
    <w:rsid w:val="78650950"/>
    <w:rsid w:val="786D6FBC"/>
    <w:rsid w:val="78711EC5"/>
    <w:rsid w:val="78730E6C"/>
    <w:rsid w:val="78764386"/>
    <w:rsid w:val="787B0173"/>
    <w:rsid w:val="78852DA0"/>
    <w:rsid w:val="78856643"/>
    <w:rsid w:val="78874D6A"/>
    <w:rsid w:val="788A485A"/>
    <w:rsid w:val="788C05D2"/>
    <w:rsid w:val="788F00C3"/>
    <w:rsid w:val="78961451"/>
    <w:rsid w:val="78A3591C"/>
    <w:rsid w:val="78A41DE7"/>
    <w:rsid w:val="78A53442"/>
    <w:rsid w:val="78A551F0"/>
    <w:rsid w:val="78AA0A59"/>
    <w:rsid w:val="78AC657F"/>
    <w:rsid w:val="78B10039"/>
    <w:rsid w:val="78B35B5F"/>
    <w:rsid w:val="78B638A1"/>
    <w:rsid w:val="78B83176"/>
    <w:rsid w:val="78B96EEE"/>
    <w:rsid w:val="78BB2C66"/>
    <w:rsid w:val="78BD69DE"/>
    <w:rsid w:val="78C22246"/>
    <w:rsid w:val="78C2422D"/>
    <w:rsid w:val="78C53AE4"/>
    <w:rsid w:val="78C7160B"/>
    <w:rsid w:val="78C733B9"/>
    <w:rsid w:val="78D15FE5"/>
    <w:rsid w:val="78D6243B"/>
    <w:rsid w:val="78DB7BA9"/>
    <w:rsid w:val="78E75809"/>
    <w:rsid w:val="78F148D9"/>
    <w:rsid w:val="78F41CD4"/>
    <w:rsid w:val="78F47F26"/>
    <w:rsid w:val="78F9553C"/>
    <w:rsid w:val="78FA19E0"/>
    <w:rsid w:val="790068CB"/>
    <w:rsid w:val="79044717"/>
    <w:rsid w:val="79091C23"/>
    <w:rsid w:val="790F4D60"/>
    <w:rsid w:val="79181E66"/>
    <w:rsid w:val="791A5BDE"/>
    <w:rsid w:val="791B3704"/>
    <w:rsid w:val="7924080B"/>
    <w:rsid w:val="792425B9"/>
    <w:rsid w:val="79272682"/>
    <w:rsid w:val="79273E57"/>
    <w:rsid w:val="792C3B64"/>
    <w:rsid w:val="792E168A"/>
    <w:rsid w:val="79312F28"/>
    <w:rsid w:val="79343F01"/>
    <w:rsid w:val="7936053E"/>
    <w:rsid w:val="793B5B55"/>
    <w:rsid w:val="79490272"/>
    <w:rsid w:val="794C5FB4"/>
    <w:rsid w:val="79503A9F"/>
    <w:rsid w:val="795310F0"/>
    <w:rsid w:val="79554E68"/>
    <w:rsid w:val="7961380D"/>
    <w:rsid w:val="796230E1"/>
    <w:rsid w:val="796B4D55"/>
    <w:rsid w:val="796E5F2A"/>
    <w:rsid w:val="79701CA2"/>
    <w:rsid w:val="79703A50"/>
    <w:rsid w:val="797177C8"/>
    <w:rsid w:val="79752E15"/>
    <w:rsid w:val="797C0647"/>
    <w:rsid w:val="79892D64"/>
    <w:rsid w:val="798E3ED6"/>
    <w:rsid w:val="799139C7"/>
    <w:rsid w:val="79951709"/>
    <w:rsid w:val="799D05BD"/>
    <w:rsid w:val="79A04937"/>
    <w:rsid w:val="79A100AE"/>
    <w:rsid w:val="79A25BD4"/>
    <w:rsid w:val="79A951B4"/>
    <w:rsid w:val="79AC0800"/>
    <w:rsid w:val="79AE0B68"/>
    <w:rsid w:val="79B31B8F"/>
    <w:rsid w:val="79B7342D"/>
    <w:rsid w:val="79B778D1"/>
    <w:rsid w:val="79B871A5"/>
    <w:rsid w:val="79BD2A0E"/>
    <w:rsid w:val="79BF6786"/>
    <w:rsid w:val="79C618C2"/>
    <w:rsid w:val="79C7027F"/>
    <w:rsid w:val="79C97604"/>
    <w:rsid w:val="79CC49FF"/>
    <w:rsid w:val="79D42231"/>
    <w:rsid w:val="79D73ACF"/>
    <w:rsid w:val="79D97847"/>
    <w:rsid w:val="79DD6C0C"/>
    <w:rsid w:val="79DE4E5E"/>
    <w:rsid w:val="79F135F8"/>
    <w:rsid w:val="79F44681"/>
    <w:rsid w:val="79F47307"/>
    <w:rsid w:val="79FC31D0"/>
    <w:rsid w:val="7A044199"/>
    <w:rsid w:val="7A0D5743"/>
    <w:rsid w:val="7A170370"/>
    <w:rsid w:val="7A1B7E60"/>
    <w:rsid w:val="7A205476"/>
    <w:rsid w:val="7A230AC3"/>
    <w:rsid w:val="7A252A8D"/>
    <w:rsid w:val="7A28432B"/>
    <w:rsid w:val="7A2A00A3"/>
    <w:rsid w:val="7A2F56B9"/>
    <w:rsid w:val="7A304F8E"/>
    <w:rsid w:val="7A342CD0"/>
    <w:rsid w:val="7A356A48"/>
    <w:rsid w:val="7A37631C"/>
    <w:rsid w:val="7A3B0AF1"/>
    <w:rsid w:val="7A3F1373"/>
    <w:rsid w:val="7A41363F"/>
    <w:rsid w:val="7A4153ED"/>
    <w:rsid w:val="7A475776"/>
    <w:rsid w:val="7A4A24F3"/>
    <w:rsid w:val="7A4A42A1"/>
    <w:rsid w:val="7A4B5428"/>
    <w:rsid w:val="7A540C7C"/>
    <w:rsid w:val="7A552C46"/>
    <w:rsid w:val="7A5B64AE"/>
    <w:rsid w:val="7A652E89"/>
    <w:rsid w:val="7A6D7F90"/>
    <w:rsid w:val="7A6F3D08"/>
    <w:rsid w:val="7A747570"/>
    <w:rsid w:val="7A792DD8"/>
    <w:rsid w:val="7A796935"/>
    <w:rsid w:val="7A7C01D3"/>
    <w:rsid w:val="7A7C6425"/>
    <w:rsid w:val="7A805F15"/>
    <w:rsid w:val="7A835A05"/>
    <w:rsid w:val="7A886B78"/>
    <w:rsid w:val="7A94551C"/>
    <w:rsid w:val="7A951295"/>
    <w:rsid w:val="7AA02113"/>
    <w:rsid w:val="7AA8721A"/>
    <w:rsid w:val="7AA977A4"/>
    <w:rsid w:val="7AAC4F5C"/>
    <w:rsid w:val="7AAC6D0A"/>
    <w:rsid w:val="7AB45BBF"/>
    <w:rsid w:val="7AB67B89"/>
    <w:rsid w:val="7AB7745D"/>
    <w:rsid w:val="7AC5601E"/>
    <w:rsid w:val="7AC8166A"/>
    <w:rsid w:val="7AC878BC"/>
    <w:rsid w:val="7ACD0A2E"/>
    <w:rsid w:val="7ACD6C80"/>
    <w:rsid w:val="7ADD3367"/>
    <w:rsid w:val="7ADE49EA"/>
    <w:rsid w:val="7AE621E7"/>
    <w:rsid w:val="7AE71AF0"/>
    <w:rsid w:val="7AE75F94"/>
    <w:rsid w:val="7AEF309B"/>
    <w:rsid w:val="7AF24215"/>
    <w:rsid w:val="7AF27D45"/>
    <w:rsid w:val="7AF741CD"/>
    <w:rsid w:val="7AFD7566"/>
    <w:rsid w:val="7AFE508C"/>
    <w:rsid w:val="7B0703E4"/>
    <w:rsid w:val="7B0A57DF"/>
    <w:rsid w:val="7B0F7299"/>
    <w:rsid w:val="7B11461F"/>
    <w:rsid w:val="7B14665D"/>
    <w:rsid w:val="7B193C74"/>
    <w:rsid w:val="7B1A0118"/>
    <w:rsid w:val="7B1B5C3E"/>
    <w:rsid w:val="7B226FCC"/>
    <w:rsid w:val="7B234AF2"/>
    <w:rsid w:val="7B256ABC"/>
    <w:rsid w:val="7B271F47"/>
    <w:rsid w:val="7B29035B"/>
    <w:rsid w:val="7B2E3BC3"/>
    <w:rsid w:val="7B2E5971"/>
    <w:rsid w:val="7B2F514A"/>
    <w:rsid w:val="7B3E36DA"/>
    <w:rsid w:val="7B3F192C"/>
    <w:rsid w:val="7B4464CB"/>
    <w:rsid w:val="7B446F42"/>
    <w:rsid w:val="7B452CBB"/>
    <w:rsid w:val="7B4B6523"/>
    <w:rsid w:val="7B4C5DF7"/>
    <w:rsid w:val="7B4E6013"/>
    <w:rsid w:val="7B4F162E"/>
    <w:rsid w:val="7B5B24DE"/>
    <w:rsid w:val="7B6475E5"/>
    <w:rsid w:val="7B694BFB"/>
    <w:rsid w:val="7B6C46EB"/>
    <w:rsid w:val="7B705F89"/>
    <w:rsid w:val="7B762E74"/>
    <w:rsid w:val="7B7A2964"/>
    <w:rsid w:val="7B7B048A"/>
    <w:rsid w:val="7B827A6B"/>
    <w:rsid w:val="7B8C6B3B"/>
    <w:rsid w:val="7B914152"/>
    <w:rsid w:val="7B95154C"/>
    <w:rsid w:val="7B9652C4"/>
    <w:rsid w:val="7B9A36F9"/>
    <w:rsid w:val="7B9A4DB4"/>
    <w:rsid w:val="7BAC4AE8"/>
    <w:rsid w:val="7BB404C8"/>
    <w:rsid w:val="7BB51BEE"/>
    <w:rsid w:val="7BBA7205"/>
    <w:rsid w:val="7BBC11CF"/>
    <w:rsid w:val="7BBD6CF5"/>
    <w:rsid w:val="7BC02341"/>
    <w:rsid w:val="7BC167E5"/>
    <w:rsid w:val="7BC2430B"/>
    <w:rsid w:val="7BC63DFB"/>
    <w:rsid w:val="7BCE7A18"/>
    <w:rsid w:val="7BD209F2"/>
    <w:rsid w:val="7BD76009"/>
    <w:rsid w:val="7BD83B2F"/>
    <w:rsid w:val="7BE20509"/>
    <w:rsid w:val="7BE44282"/>
    <w:rsid w:val="7BE95D3C"/>
    <w:rsid w:val="7BEB5610"/>
    <w:rsid w:val="7BEC1388"/>
    <w:rsid w:val="7BF22E42"/>
    <w:rsid w:val="7BF73FB5"/>
    <w:rsid w:val="7BFA1CF7"/>
    <w:rsid w:val="7BFD5343"/>
    <w:rsid w:val="7C016BE2"/>
    <w:rsid w:val="7C042B76"/>
    <w:rsid w:val="7C09018C"/>
    <w:rsid w:val="7C0E12FE"/>
    <w:rsid w:val="7C0E57A2"/>
    <w:rsid w:val="7C0F47D6"/>
    <w:rsid w:val="7C105077"/>
    <w:rsid w:val="7C174657"/>
    <w:rsid w:val="7C1A5EF5"/>
    <w:rsid w:val="7C1E59E5"/>
    <w:rsid w:val="7C1F350C"/>
    <w:rsid w:val="7C2B3C5E"/>
    <w:rsid w:val="7C2D5C29"/>
    <w:rsid w:val="7C317189"/>
    <w:rsid w:val="7C336FB7"/>
    <w:rsid w:val="7C3945CD"/>
    <w:rsid w:val="7C3A6597"/>
    <w:rsid w:val="7C3C5E6C"/>
    <w:rsid w:val="7C3E1BE4"/>
    <w:rsid w:val="7C3F770A"/>
    <w:rsid w:val="7C417926"/>
    <w:rsid w:val="7C43544C"/>
    <w:rsid w:val="7C4371FA"/>
    <w:rsid w:val="7C484810"/>
    <w:rsid w:val="7C492337"/>
    <w:rsid w:val="7C4D1E27"/>
    <w:rsid w:val="7C546CA9"/>
    <w:rsid w:val="7C56738F"/>
    <w:rsid w:val="7C570EF7"/>
    <w:rsid w:val="7C596A1E"/>
    <w:rsid w:val="7C63789C"/>
    <w:rsid w:val="7C66113B"/>
    <w:rsid w:val="7C662EE9"/>
    <w:rsid w:val="7C683105"/>
    <w:rsid w:val="7C6B04FF"/>
    <w:rsid w:val="7C6D4277"/>
    <w:rsid w:val="7C6F1666"/>
    <w:rsid w:val="7C701FB9"/>
    <w:rsid w:val="7C703D67"/>
    <w:rsid w:val="7C7750F6"/>
    <w:rsid w:val="7C790E6E"/>
    <w:rsid w:val="7C7970C0"/>
    <w:rsid w:val="7C80044E"/>
    <w:rsid w:val="7C833A9B"/>
    <w:rsid w:val="7C8D4919"/>
    <w:rsid w:val="7C8F243F"/>
    <w:rsid w:val="7C9061B7"/>
    <w:rsid w:val="7C907F65"/>
    <w:rsid w:val="7C9C690A"/>
    <w:rsid w:val="7C9E6B26"/>
    <w:rsid w:val="7C9F63FA"/>
    <w:rsid w:val="7CA0464C"/>
    <w:rsid w:val="7CA12173"/>
    <w:rsid w:val="7CB43C54"/>
    <w:rsid w:val="7CB63E70"/>
    <w:rsid w:val="7CBA4FE2"/>
    <w:rsid w:val="7CBE0F77"/>
    <w:rsid w:val="7CC04CEF"/>
    <w:rsid w:val="7CC61BD9"/>
    <w:rsid w:val="7CC63900"/>
    <w:rsid w:val="7CC77E2B"/>
    <w:rsid w:val="7CCC5441"/>
    <w:rsid w:val="7CCD740C"/>
    <w:rsid w:val="7CD10CAA"/>
    <w:rsid w:val="7CD24A22"/>
    <w:rsid w:val="7CD26A60"/>
    <w:rsid w:val="7CD61CB4"/>
    <w:rsid w:val="7CD73DE6"/>
    <w:rsid w:val="7CD95DB0"/>
    <w:rsid w:val="7CDC31AB"/>
    <w:rsid w:val="7CE36030"/>
    <w:rsid w:val="7CEC5AE4"/>
    <w:rsid w:val="7CF14EA8"/>
    <w:rsid w:val="7CF624BE"/>
    <w:rsid w:val="7CF77FE5"/>
    <w:rsid w:val="7CFE75C5"/>
    <w:rsid w:val="7D032E2D"/>
    <w:rsid w:val="7D091BB4"/>
    <w:rsid w:val="7D140B97"/>
    <w:rsid w:val="7D146DE8"/>
    <w:rsid w:val="7D1961AD"/>
    <w:rsid w:val="7D1A6F58"/>
    <w:rsid w:val="7D20578D"/>
    <w:rsid w:val="7D2232B3"/>
    <w:rsid w:val="7D2A03BA"/>
    <w:rsid w:val="7D2F59D0"/>
    <w:rsid w:val="7D382AD7"/>
    <w:rsid w:val="7D3D00ED"/>
    <w:rsid w:val="7D474AC8"/>
    <w:rsid w:val="7D496A92"/>
    <w:rsid w:val="7D4E22FA"/>
    <w:rsid w:val="7D4E40A8"/>
    <w:rsid w:val="7D4F6073"/>
    <w:rsid w:val="7D586CD5"/>
    <w:rsid w:val="7D5E1E12"/>
    <w:rsid w:val="7D5F62B6"/>
    <w:rsid w:val="7D697134"/>
    <w:rsid w:val="7D6E474B"/>
    <w:rsid w:val="7D717D97"/>
    <w:rsid w:val="7D7D673C"/>
    <w:rsid w:val="7D847ACA"/>
    <w:rsid w:val="7D851A94"/>
    <w:rsid w:val="7D87580C"/>
    <w:rsid w:val="7D8A2C07"/>
    <w:rsid w:val="7D9046C1"/>
    <w:rsid w:val="7D9121E7"/>
    <w:rsid w:val="7D935485"/>
    <w:rsid w:val="7D935F5F"/>
    <w:rsid w:val="7D985324"/>
    <w:rsid w:val="7D99109C"/>
    <w:rsid w:val="7D9B3066"/>
    <w:rsid w:val="7DA261A2"/>
    <w:rsid w:val="7DA97531"/>
    <w:rsid w:val="7DAC5273"/>
    <w:rsid w:val="7DAE4B47"/>
    <w:rsid w:val="7DB3215D"/>
    <w:rsid w:val="7DB61C4E"/>
    <w:rsid w:val="7DB639FC"/>
    <w:rsid w:val="7DB87774"/>
    <w:rsid w:val="7DBA173E"/>
    <w:rsid w:val="7DBB1012"/>
    <w:rsid w:val="7DBD4C18"/>
    <w:rsid w:val="7DC62B4A"/>
    <w:rsid w:val="7DC91981"/>
    <w:rsid w:val="7DCE3981"/>
    <w:rsid w:val="7DD547CA"/>
    <w:rsid w:val="7DD86068"/>
    <w:rsid w:val="7DDA3B8E"/>
    <w:rsid w:val="7DDB3462"/>
    <w:rsid w:val="7DDD367E"/>
    <w:rsid w:val="7DE22A43"/>
    <w:rsid w:val="7DE70059"/>
    <w:rsid w:val="7DE71E07"/>
    <w:rsid w:val="7DE93453"/>
    <w:rsid w:val="7DEC566F"/>
    <w:rsid w:val="7DED1B13"/>
    <w:rsid w:val="7DF05160"/>
    <w:rsid w:val="7DF2712A"/>
    <w:rsid w:val="7DF32EA2"/>
    <w:rsid w:val="7DF54524"/>
    <w:rsid w:val="7DF664EA"/>
    <w:rsid w:val="7DF93280"/>
    <w:rsid w:val="7DFB58B2"/>
    <w:rsid w:val="7DFD162B"/>
    <w:rsid w:val="7E040C0B"/>
    <w:rsid w:val="7E0724A9"/>
    <w:rsid w:val="7E097FCF"/>
    <w:rsid w:val="7E112F58"/>
    <w:rsid w:val="7E154BC6"/>
    <w:rsid w:val="7E1626EC"/>
    <w:rsid w:val="7E176B90"/>
    <w:rsid w:val="7E1846B6"/>
    <w:rsid w:val="7E1A042F"/>
    <w:rsid w:val="7E1C7D03"/>
    <w:rsid w:val="7E1D1CCD"/>
    <w:rsid w:val="7E266DD3"/>
    <w:rsid w:val="7E292420"/>
    <w:rsid w:val="7E2B263C"/>
    <w:rsid w:val="7E2D0162"/>
    <w:rsid w:val="7E2D1F10"/>
    <w:rsid w:val="7E355268"/>
    <w:rsid w:val="7E47313E"/>
    <w:rsid w:val="7E4B4A8C"/>
    <w:rsid w:val="7E4D4360"/>
    <w:rsid w:val="7E4F1952"/>
    <w:rsid w:val="7E4F632A"/>
    <w:rsid w:val="7E576F8D"/>
    <w:rsid w:val="7E5A082B"/>
    <w:rsid w:val="7E5F22E5"/>
    <w:rsid w:val="7E5F5E41"/>
    <w:rsid w:val="7E617E0B"/>
    <w:rsid w:val="7E620A5F"/>
    <w:rsid w:val="7E663674"/>
    <w:rsid w:val="7E694F12"/>
    <w:rsid w:val="7E6D67B0"/>
    <w:rsid w:val="7E70004F"/>
    <w:rsid w:val="7E722019"/>
    <w:rsid w:val="7E7222F3"/>
    <w:rsid w:val="7E745D91"/>
    <w:rsid w:val="7E7E2495"/>
    <w:rsid w:val="7E8104AE"/>
    <w:rsid w:val="7E861620"/>
    <w:rsid w:val="7E8671C3"/>
    <w:rsid w:val="7E873365"/>
    <w:rsid w:val="7E891110"/>
    <w:rsid w:val="7E8F2BCB"/>
    <w:rsid w:val="7E9E2E0E"/>
    <w:rsid w:val="7E9E696A"/>
    <w:rsid w:val="7E9F26E2"/>
    <w:rsid w:val="7EA85A3A"/>
    <w:rsid w:val="7EAA17B2"/>
    <w:rsid w:val="7EAD12A3"/>
    <w:rsid w:val="7EAD4DFF"/>
    <w:rsid w:val="7EAF5E4B"/>
    <w:rsid w:val="7EB443DF"/>
    <w:rsid w:val="7EBC7738"/>
    <w:rsid w:val="7EC00FD6"/>
    <w:rsid w:val="7EC5039A"/>
    <w:rsid w:val="7EC65EC0"/>
    <w:rsid w:val="7EC87E8B"/>
    <w:rsid w:val="7ECA3C03"/>
    <w:rsid w:val="7ECF746B"/>
    <w:rsid w:val="7ED4682F"/>
    <w:rsid w:val="7ED71E7C"/>
    <w:rsid w:val="7ED92098"/>
    <w:rsid w:val="7ED94253"/>
    <w:rsid w:val="7EDC56E4"/>
    <w:rsid w:val="7EE03426"/>
    <w:rsid w:val="7EE12CFA"/>
    <w:rsid w:val="7EEF18BB"/>
    <w:rsid w:val="7EEF3862"/>
    <w:rsid w:val="7EF173E1"/>
    <w:rsid w:val="7EF7251E"/>
    <w:rsid w:val="7F016EF9"/>
    <w:rsid w:val="7F0A2251"/>
    <w:rsid w:val="7F183EFE"/>
    <w:rsid w:val="7F1C1F84"/>
    <w:rsid w:val="7F21759B"/>
    <w:rsid w:val="7F2257ED"/>
    <w:rsid w:val="7F2C666B"/>
    <w:rsid w:val="7F302185"/>
    <w:rsid w:val="7F3379FA"/>
    <w:rsid w:val="7F341F96"/>
    <w:rsid w:val="7F345520"/>
    <w:rsid w:val="7F390D88"/>
    <w:rsid w:val="7F427C3D"/>
    <w:rsid w:val="7F460DAF"/>
    <w:rsid w:val="7F482D79"/>
    <w:rsid w:val="7F4D0390"/>
    <w:rsid w:val="7F547970"/>
    <w:rsid w:val="7F565496"/>
    <w:rsid w:val="7F5C05D3"/>
    <w:rsid w:val="7F5F07EF"/>
    <w:rsid w:val="7F625BE9"/>
    <w:rsid w:val="7F65392B"/>
    <w:rsid w:val="7F6C4CBA"/>
    <w:rsid w:val="7F756F15"/>
    <w:rsid w:val="7F765B38"/>
    <w:rsid w:val="7F792F33"/>
    <w:rsid w:val="7F7B314F"/>
    <w:rsid w:val="7F7E679B"/>
    <w:rsid w:val="7F8813C8"/>
    <w:rsid w:val="7F8A15E4"/>
    <w:rsid w:val="7F8A3392"/>
    <w:rsid w:val="7F8C2C66"/>
    <w:rsid w:val="7F8D69DE"/>
    <w:rsid w:val="7F8E4C30"/>
    <w:rsid w:val="7F9179F1"/>
    <w:rsid w:val="7F923FF5"/>
    <w:rsid w:val="7F9904D1"/>
    <w:rsid w:val="7F9E2999"/>
    <w:rsid w:val="7FA977A8"/>
    <w:rsid w:val="7FA97CBC"/>
    <w:rsid w:val="7FAA57E2"/>
    <w:rsid w:val="7FAA7590"/>
    <w:rsid w:val="7FAC3308"/>
    <w:rsid w:val="7FAF1655"/>
    <w:rsid w:val="7FC20D7E"/>
    <w:rsid w:val="7FC5261C"/>
    <w:rsid w:val="7FC93EBA"/>
    <w:rsid w:val="7FCC5758"/>
    <w:rsid w:val="7FCE327F"/>
    <w:rsid w:val="7FD01E42"/>
    <w:rsid w:val="7FD12D6F"/>
    <w:rsid w:val="7FD34D39"/>
    <w:rsid w:val="7FD8234F"/>
    <w:rsid w:val="7FDE63E7"/>
    <w:rsid w:val="7FEB2083"/>
    <w:rsid w:val="7FF151BF"/>
    <w:rsid w:val="7FF32CE5"/>
    <w:rsid w:val="7FFB65D7"/>
    <w:rsid w:val="7FFD3B64"/>
    <w:rsid w:val="7FFD61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next w:val="1"/>
    <w:semiHidden/>
    <w:unhideWhenUsed/>
    <w:qFormat/>
    <w:uiPriority w:val="0"/>
    <w:pPr>
      <w:widowControl w:val="0"/>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next w:val="1"/>
    <w:semiHidden/>
    <w:unhideWhenUsed/>
    <w:qFormat/>
    <w:uiPriority w:val="0"/>
    <w:pPr>
      <w:widowControl w:val="0"/>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Normal (Web)"/>
    <w:qFormat/>
    <w:uiPriority w:val="0"/>
    <w:pPr>
      <w:widowControl w:val="0"/>
      <w:spacing w:before="0" w:beforeAutospacing="1" w:after="0" w:afterAutospacing="1"/>
      <w:ind w:left="0" w:right="0"/>
      <w:jc w:val="left"/>
    </w:pPr>
    <w:rPr>
      <w:rFonts w:asciiTheme="minorHAnsi" w:hAnsiTheme="minorHAnsi" w:eastAsiaTheme="minorEastAsia" w:cstheme="minorBidi"/>
      <w:kern w:val="0"/>
      <w:sz w:val="24"/>
      <w:szCs w:val="22"/>
      <w:lang w:val="en-US" w:eastAsia="zh-CN" w:bidi="ar"/>
    </w:rPr>
  </w:style>
  <w:style w:type="table" w:styleId="7">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0"/>
    <w:rPr>
      <w:b/>
    </w:rPr>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jpeg"/><Relationship Id="rId7" Type="http://schemas.openxmlformats.org/officeDocument/2006/relationships/image" Target="media/image4.tiff"/><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31</Pages>
  <Words>4976</Words>
  <Characters>29927</Characters>
  <Lines>0</Lines>
  <Paragraphs>0</Paragraphs>
  <TotalTime>18</TotalTime>
  <ScaleCrop>false</ScaleCrop>
  <LinksUpToDate>false</LinksUpToDate>
  <CharactersWithSpaces>34251</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2025-05-06T08:21:00Z</dcterms:created>
  <dc:creator>bigyang</dc:creator>
  <cp:lastModifiedBy>Bigyang1413296984</cp:lastModifiedBy>
  <dcterms:modified xsi:type="dcterms:W3CDTF">2026-06-07T01:45:07Z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KSOTemplateDocerSaveRecord">
    <vt:lpwstr>eyJoZGlkIjoiM2YwYjEwZjJmYjA5NTYwNDc2MGZmYjNkMmNmNmQ1YTIiLCJ1c2VySWQiOiIyMzA3MzU5NiJ9</vt:lpwstr>
  </property>
  <property fmtid="{D5CDD505-2E9C-101B-9397-08002B2CF9AE}" pid="4" name="ICV">
    <vt:lpwstr>F37A9019D07749CCBAFE19FF1CE96737_13</vt:lpwstr>
  </property>
</Properties>
</file>