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E2BDC" w14:textId="72B4F903" w:rsidR="0005221A" w:rsidRDefault="0005221A" w:rsidP="0005221A">
      <w:pPr>
        <w:rPr>
          <w:rFonts w:ascii="Times New Roman" w:hAnsi="Times New Roman" w:cs="Times New Roman"/>
          <w:sz w:val="24"/>
        </w:rPr>
      </w:pPr>
      <w:r w:rsidRPr="00536C30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S</w:t>
      </w:r>
      <w:r w:rsidR="004830ED">
        <w:rPr>
          <w:rFonts w:ascii="Times New Roman" w:hAnsi="Times New Roman" w:cs="Times New Roman" w:hint="eastAsia"/>
          <w:sz w:val="24"/>
        </w:rPr>
        <w:t>7</w:t>
      </w:r>
      <w:r w:rsidRPr="00536C30">
        <w:rPr>
          <w:rFonts w:ascii="Times New Roman" w:hAnsi="Times New Roman" w:cs="Times New Roman"/>
          <w:sz w:val="24"/>
        </w:rPr>
        <w:t>. Representative biomarker-defined pCR probability states identified by the model</w:t>
      </w:r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285"/>
        <w:gridCol w:w="3369"/>
        <w:gridCol w:w="3605"/>
      </w:tblGrid>
      <w:tr w:rsidR="0005221A" w14:paraId="1540A061" w14:textId="77777777" w:rsidTr="003902A7">
        <w:tc>
          <w:tcPr>
            <w:tcW w:w="2689" w:type="dxa"/>
            <w:tcBorders>
              <w:top w:val="single" w:sz="12" w:space="0" w:color="auto"/>
              <w:bottom w:val="single" w:sz="8" w:space="0" w:color="auto"/>
            </w:tcBorders>
          </w:tcPr>
          <w:p w14:paraId="0AE4422A" w14:textId="40364879" w:rsidR="0005221A" w:rsidRPr="0005221A" w:rsidRDefault="0005221A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221A">
              <w:rPr>
                <w:rFonts w:ascii="Times New Roman" w:hAnsi="Times New Roman" w:cs="Times New Roman"/>
                <w:sz w:val="20"/>
                <w:szCs w:val="20"/>
              </w:rPr>
              <w:t>Probability state</w:t>
            </w:r>
          </w:p>
        </w:tc>
        <w:tc>
          <w:tcPr>
            <w:tcW w:w="4285" w:type="dxa"/>
            <w:tcBorders>
              <w:top w:val="single" w:sz="12" w:space="0" w:color="auto"/>
              <w:bottom w:val="single" w:sz="8" w:space="0" w:color="auto"/>
            </w:tcBorders>
          </w:tcPr>
          <w:p w14:paraId="71CB0804" w14:textId="310B9A15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Representative biomarker pattern</w:t>
            </w:r>
          </w:p>
        </w:tc>
        <w:tc>
          <w:tcPr>
            <w:tcW w:w="3369" w:type="dxa"/>
            <w:tcBorders>
              <w:top w:val="single" w:sz="12" w:space="0" w:color="auto"/>
              <w:bottom w:val="single" w:sz="8" w:space="0" w:color="auto"/>
            </w:tcBorders>
          </w:tcPr>
          <w:p w14:paraId="14FF7B97" w14:textId="2834B70B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Typical predicted pCR probability</w:t>
            </w:r>
          </w:p>
        </w:tc>
        <w:tc>
          <w:tcPr>
            <w:tcW w:w="3605" w:type="dxa"/>
            <w:tcBorders>
              <w:top w:val="single" w:sz="12" w:space="0" w:color="auto"/>
              <w:bottom w:val="single" w:sz="8" w:space="0" w:color="auto"/>
            </w:tcBorders>
          </w:tcPr>
          <w:p w14:paraId="28350655" w14:textId="5DCAA752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Potential research implication</w:t>
            </w:r>
          </w:p>
        </w:tc>
      </w:tr>
      <w:tr w:rsidR="0005221A" w14:paraId="5E1C71B9" w14:textId="77777777" w:rsidTr="003902A7">
        <w:tc>
          <w:tcPr>
            <w:tcW w:w="2689" w:type="dxa"/>
            <w:tcBorders>
              <w:top w:val="single" w:sz="8" w:space="0" w:color="auto"/>
            </w:tcBorders>
          </w:tcPr>
          <w:p w14:paraId="6B55773C" w14:textId="5C6491A3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High-probability state</w:t>
            </w:r>
          </w:p>
        </w:tc>
        <w:tc>
          <w:tcPr>
            <w:tcW w:w="4285" w:type="dxa"/>
            <w:tcBorders>
              <w:top w:val="single" w:sz="8" w:space="0" w:color="auto"/>
            </w:tcBorders>
          </w:tcPr>
          <w:p w14:paraId="48CC3C5F" w14:textId="3EC6F552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ER &lt;10%, PR &lt;10%, HER2 IHC 3+</w:t>
            </w:r>
          </w:p>
        </w:tc>
        <w:tc>
          <w:tcPr>
            <w:tcW w:w="3369" w:type="dxa"/>
            <w:tcBorders>
              <w:top w:val="single" w:sz="8" w:space="0" w:color="auto"/>
            </w:tcBorders>
          </w:tcPr>
          <w:p w14:paraId="5E34E0DA" w14:textId="6472A028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&gt;75% with THP; &gt;80% with TCbHP</w:t>
            </w:r>
          </w:p>
        </w:tc>
        <w:tc>
          <w:tcPr>
            <w:tcW w:w="3605" w:type="dxa"/>
            <w:tcBorders>
              <w:top w:val="single" w:sz="8" w:space="0" w:color="auto"/>
            </w:tcBorders>
          </w:tcPr>
          <w:p w14:paraId="2DA2EAF5" w14:textId="098B380E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May represent a population for prospective</w:t>
            </w:r>
            <w:r w:rsidR="003902A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treatment de-escalation studies</w:t>
            </w:r>
          </w:p>
        </w:tc>
      </w:tr>
      <w:tr w:rsidR="0005221A" w14:paraId="1FE70267" w14:textId="77777777" w:rsidTr="003902A7">
        <w:tc>
          <w:tcPr>
            <w:tcW w:w="2689" w:type="dxa"/>
          </w:tcPr>
          <w:p w14:paraId="0443B34E" w14:textId="593EE102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Intermediate-probability state</w:t>
            </w:r>
          </w:p>
        </w:tc>
        <w:tc>
          <w:tcPr>
            <w:tcW w:w="4285" w:type="dxa"/>
          </w:tcPr>
          <w:p w14:paraId="34427CCC" w14:textId="4CB057D3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ER 10-50% with higher Ki-67 expression</w:t>
            </w:r>
          </w:p>
        </w:tc>
        <w:tc>
          <w:tcPr>
            <w:tcW w:w="3369" w:type="dxa"/>
          </w:tcPr>
          <w:p w14:paraId="75BA6031" w14:textId="7EA434B5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Intermediate probability range, varying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across treatment contexts</w:t>
            </w:r>
          </w:p>
        </w:tc>
        <w:tc>
          <w:tcPr>
            <w:tcW w:w="3605" w:type="dxa"/>
          </w:tcPr>
          <w:p w14:paraId="0A093FF3" w14:textId="3CF21667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May represent a population for regimen</w:t>
            </w:r>
            <w:r w:rsidR="003902A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optimization and response-adapted studies</w:t>
            </w:r>
          </w:p>
        </w:tc>
      </w:tr>
      <w:tr w:rsidR="0005221A" w14:paraId="36038D84" w14:textId="77777777" w:rsidTr="003902A7">
        <w:tc>
          <w:tcPr>
            <w:tcW w:w="2689" w:type="dxa"/>
          </w:tcPr>
          <w:p w14:paraId="7C53FAF0" w14:textId="046346FD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Low-probability state</w:t>
            </w:r>
          </w:p>
        </w:tc>
        <w:tc>
          <w:tcPr>
            <w:tcW w:w="4285" w:type="dxa"/>
          </w:tcPr>
          <w:p w14:paraId="3CCEBB01" w14:textId="25874800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High ER/PR expression, low Ki-67 expression,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particularly HER2 IHC 2+/ISH-positive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3369" w:type="dxa"/>
          </w:tcPr>
          <w:p w14:paraId="61E8EBE7" w14:textId="73331E05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Frequently &lt;30-40%</w:t>
            </w:r>
          </w:p>
        </w:tc>
        <w:tc>
          <w:tcPr>
            <w:tcW w:w="3605" w:type="dxa"/>
          </w:tcPr>
          <w:p w14:paraId="3FAEF541" w14:textId="2E52326E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May represent a population for evaluation of</w:t>
            </w:r>
            <w:r w:rsidR="003902A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alternative therapeutic strategies</w:t>
            </w:r>
          </w:p>
        </w:tc>
      </w:tr>
      <w:tr w:rsidR="0005221A" w14:paraId="4B2B200E" w14:textId="77777777" w:rsidTr="003902A7">
        <w:tc>
          <w:tcPr>
            <w:tcW w:w="2689" w:type="dxa"/>
          </w:tcPr>
          <w:p w14:paraId="4158BEB2" w14:textId="002BD994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Nodal-response state</w:t>
            </w:r>
          </w:p>
        </w:tc>
        <w:tc>
          <w:tcPr>
            <w:tcW w:w="4285" w:type="dxa"/>
          </w:tcPr>
          <w:p w14:paraId="04987FEB" w14:textId="0B3547ED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Baseline node-positive patients achieving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breast pCR</w:t>
            </w:r>
          </w:p>
        </w:tc>
        <w:tc>
          <w:tcPr>
            <w:tcW w:w="3369" w:type="dxa"/>
          </w:tcPr>
          <w:p w14:paraId="69701842" w14:textId="2895EAB8" w:rsidR="0005221A" w:rsidRPr="0005221A" w:rsidRDefault="0066385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57">
              <w:rPr>
                <w:rFonts w:ascii="Times New Roman" w:hAnsi="Times New Roman" w:cs="Times New Roman"/>
                <w:sz w:val="20"/>
                <w:szCs w:val="20"/>
              </w:rPr>
              <w:t>Low frequency of residual nodal disease</w:t>
            </w:r>
          </w:p>
        </w:tc>
        <w:tc>
          <w:tcPr>
            <w:tcW w:w="3605" w:type="dxa"/>
          </w:tcPr>
          <w:p w14:paraId="0C5F9D88" w14:textId="2265649A" w:rsidR="0005221A" w:rsidRPr="0005221A" w:rsidRDefault="003902A7" w:rsidP="00052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2A7">
              <w:rPr>
                <w:rFonts w:ascii="Times New Roman" w:hAnsi="Times New Roman" w:cs="Times New Roman"/>
                <w:sz w:val="20"/>
                <w:szCs w:val="20"/>
              </w:rPr>
              <w:t>Supports further investigation of surgical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902A7">
              <w:rPr>
                <w:rFonts w:ascii="Times New Roman" w:hAnsi="Times New Roman" w:cs="Times New Roman"/>
                <w:sz w:val="20"/>
                <w:szCs w:val="20"/>
              </w:rPr>
              <w:t>de-escalation strategies</w:t>
            </w:r>
          </w:p>
        </w:tc>
      </w:tr>
    </w:tbl>
    <w:p w14:paraId="425EEEF9" w14:textId="38DAA95B" w:rsidR="003B0871" w:rsidRPr="003902A7" w:rsidRDefault="003902A7" w:rsidP="003902A7">
      <w:pPr>
        <w:rPr>
          <w:rFonts w:ascii="Times New Roman" w:hAnsi="Times New Roman" w:cs="Times New Roman"/>
          <w:sz w:val="20"/>
          <w:szCs w:val="20"/>
        </w:rPr>
      </w:pPr>
      <w:r w:rsidRPr="003902A7">
        <w:rPr>
          <w:rFonts w:ascii="Times New Roman" w:hAnsi="Times New Roman" w:cs="Times New Roman"/>
          <w:sz w:val="20"/>
          <w:szCs w:val="20"/>
        </w:rPr>
        <w:t>Footnote: Biomarker patterns shown are representative examples derived from the probab</w:t>
      </w:r>
      <w:r>
        <w:rPr>
          <w:rFonts w:ascii="Times New Roman" w:hAnsi="Times New Roman" w:cs="Times New Roman" w:hint="eastAsia"/>
          <w:sz w:val="20"/>
          <w:szCs w:val="20"/>
        </w:rPr>
        <w:t>i</w:t>
      </w:r>
      <w:r w:rsidRPr="003902A7">
        <w:rPr>
          <w:rFonts w:ascii="Times New Roman" w:hAnsi="Times New Roman" w:cs="Times New Roman"/>
          <w:sz w:val="20"/>
          <w:szCs w:val="20"/>
        </w:rPr>
        <w:t>lity landscapes and are intended for descriptive interpretation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902A7">
        <w:rPr>
          <w:rFonts w:ascii="Times New Roman" w:hAnsi="Times New Roman" w:cs="Times New Roman"/>
          <w:sz w:val="20"/>
          <w:szCs w:val="20"/>
        </w:rPr>
        <w:t>only.ER, PR, and Ki-67 were modeled as continuous variables in the machine-learning framework. The categories presented here should not be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902A7">
        <w:rPr>
          <w:rFonts w:ascii="Times New Roman" w:hAnsi="Times New Roman" w:cs="Times New Roman"/>
          <w:sz w:val="20"/>
          <w:szCs w:val="20"/>
        </w:rPr>
        <w:t>interpreted as recommended clinical cutoffs or treatment-decision thresholds.</w:t>
      </w:r>
    </w:p>
    <w:p w14:paraId="4931A58B" w14:textId="25516F9F" w:rsidR="0005221A" w:rsidRPr="0005221A" w:rsidRDefault="0005221A" w:rsidP="0005221A"/>
    <w:sectPr w:rsidR="0005221A" w:rsidRPr="0005221A" w:rsidSect="0005221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440B" w14:textId="77777777" w:rsidR="00E90169" w:rsidRDefault="00E90169" w:rsidP="004830ED">
      <w:r>
        <w:separator/>
      </w:r>
    </w:p>
  </w:endnote>
  <w:endnote w:type="continuationSeparator" w:id="0">
    <w:p w14:paraId="194A4B28" w14:textId="77777777" w:rsidR="00E90169" w:rsidRDefault="00E90169" w:rsidP="00483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0A93D" w14:textId="77777777" w:rsidR="00E90169" w:rsidRDefault="00E90169" w:rsidP="004830ED">
      <w:r>
        <w:separator/>
      </w:r>
    </w:p>
  </w:footnote>
  <w:footnote w:type="continuationSeparator" w:id="0">
    <w:p w14:paraId="0C848872" w14:textId="77777777" w:rsidR="00E90169" w:rsidRDefault="00E90169" w:rsidP="00483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1C"/>
    <w:rsid w:val="00006806"/>
    <w:rsid w:val="0005221A"/>
    <w:rsid w:val="000E69CD"/>
    <w:rsid w:val="00114253"/>
    <w:rsid w:val="0019005E"/>
    <w:rsid w:val="001C18A7"/>
    <w:rsid w:val="002B54E4"/>
    <w:rsid w:val="002D3906"/>
    <w:rsid w:val="002E4F31"/>
    <w:rsid w:val="002F4BF8"/>
    <w:rsid w:val="00313BE3"/>
    <w:rsid w:val="00334AF0"/>
    <w:rsid w:val="003627D8"/>
    <w:rsid w:val="003858BD"/>
    <w:rsid w:val="003902A7"/>
    <w:rsid w:val="00397819"/>
    <w:rsid w:val="003B0871"/>
    <w:rsid w:val="003B2695"/>
    <w:rsid w:val="003C4087"/>
    <w:rsid w:val="00411028"/>
    <w:rsid w:val="00413A03"/>
    <w:rsid w:val="00414150"/>
    <w:rsid w:val="00436256"/>
    <w:rsid w:val="004830ED"/>
    <w:rsid w:val="004B0172"/>
    <w:rsid w:val="004C51B9"/>
    <w:rsid w:val="004E50C8"/>
    <w:rsid w:val="004F34B4"/>
    <w:rsid w:val="00552E7D"/>
    <w:rsid w:val="00663857"/>
    <w:rsid w:val="00663B46"/>
    <w:rsid w:val="0068082E"/>
    <w:rsid w:val="006934FA"/>
    <w:rsid w:val="006B34ED"/>
    <w:rsid w:val="006C29B9"/>
    <w:rsid w:val="00722E49"/>
    <w:rsid w:val="00730F25"/>
    <w:rsid w:val="00772FC7"/>
    <w:rsid w:val="00780764"/>
    <w:rsid w:val="00790F3A"/>
    <w:rsid w:val="007A0705"/>
    <w:rsid w:val="007D4D74"/>
    <w:rsid w:val="007E662F"/>
    <w:rsid w:val="007E7A1A"/>
    <w:rsid w:val="00842315"/>
    <w:rsid w:val="0088691D"/>
    <w:rsid w:val="0089611C"/>
    <w:rsid w:val="008A462A"/>
    <w:rsid w:val="008E6979"/>
    <w:rsid w:val="00922670"/>
    <w:rsid w:val="00941D5E"/>
    <w:rsid w:val="00943C38"/>
    <w:rsid w:val="009652BE"/>
    <w:rsid w:val="0099552E"/>
    <w:rsid w:val="00A91C1C"/>
    <w:rsid w:val="00AF2306"/>
    <w:rsid w:val="00B42348"/>
    <w:rsid w:val="00B53789"/>
    <w:rsid w:val="00B604C4"/>
    <w:rsid w:val="00B77223"/>
    <w:rsid w:val="00BC2E7E"/>
    <w:rsid w:val="00BE7380"/>
    <w:rsid w:val="00C3013A"/>
    <w:rsid w:val="00C44AF9"/>
    <w:rsid w:val="00C622A9"/>
    <w:rsid w:val="00C80298"/>
    <w:rsid w:val="00C9283D"/>
    <w:rsid w:val="00CD5793"/>
    <w:rsid w:val="00CE5B4D"/>
    <w:rsid w:val="00DF20DD"/>
    <w:rsid w:val="00E0225B"/>
    <w:rsid w:val="00E03225"/>
    <w:rsid w:val="00E032F9"/>
    <w:rsid w:val="00E55A68"/>
    <w:rsid w:val="00E61250"/>
    <w:rsid w:val="00E77873"/>
    <w:rsid w:val="00E85EDE"/>
    <w:rsid w:val="00E90169"/>
    <w:rsid w:val="00EA0267"/>
    <w:rsid w:val="00EF13EE"/>
    <w:rsid w:val="00F07835"/>
    <w:rsid w:val="00F70DA2"/>
    <w:rsid w:val="00F80232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1FC53C"/>
  <w15:chartTrackingRefBased/>
  <w15:docId w15:val="{2A4EE362-5E36-4901-80C6-A9CFA3E9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21A"/>
    <w:pPr>
      <w:widowControl w:val="0"/>
      <w:spacing w:after="0" w:line="240" w:lineRule="auto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A91C1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C1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C1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C1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C1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C1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C1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C1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C1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C1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1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1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1C1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1C1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91C1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1C1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1C1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1C1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1C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91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C1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91C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1C1C"/>
    <w:pPr>
      <w:spacing w:before="160" w:after="160" w:line="278" w:lineRule="auto"/>
      <w:jc w:val="center"/>
    </w:pPr>
    <w:rPr>
      <w:i/>
      <w:iCs/>
      <w:color w:val="404040" w:themeColor="text1" w:themeTint="BF"/>
      <w:sz w:val="22"/>
    </w:rPr>
  </w:style>
  <w:style w:type="character" w:customStyle="1" w:styleId="a8">
    <w:name w:val="引用 字符"/>
    <w:basedOn w:val="a0"/>
    <w:link w:val="a7"/>
    <w:uiPriority w:val="29"/>
    <w:rsid w:val="00A91C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1C1C"/>
    <w:pPr>
      <w:spacing w:after="160" w:line="278" w:lineRule="auto"/>
      <w:ind w:left="720"/>
      <w:contextualSpacing/>
      <w:jc w:val="left"/>
    </w:pPr>
    <w:rPr>
      <w:sz w:val="22"/>
    </w:rPr>
  </w:style>
  <w:style w:type="character" w:styleId="aa">
    <w:name w:val="Intense Emphasis"/>
    <w:basedOn w:val="a0"/>
    <w:uiPriority w:val="21"/>
    <w:qFormat/>
    <w:rsid w:val="00A91C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1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</w:rPr>
  </w:style>
  <w:style w:type="character" w:customStyle="1" w:styleId="ac">
    <w:name w:val="明显引用 字符"/>
    <w:basedOn w:val="a0"/>
    <w:link w:val="ab"/>
    <w:uiPriority w:val="30"/>
    <w:rsid w:val="00A91C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1C1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52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830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830E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83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830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沂诺 李</dc:creator>
  <cp:keywords/>
  <dc:description/>
  <cp:lastModifiedBy>e11084</cp:lastModifiedBy>
  <cp:revision>2</cp:revision>
  <dcterms:created xsi:type="dcterms:W3CDTF">2026-06-14T09:49:00Z</dcterms:created>
  <dcterms:modified xsi:type="dcterms:W3CDTF">2026-06-14T09:49:00Z</dcterms:modified>
</cp:coreProperties>
</file>