
<file path=[Content_Types].xml><?xml version="1.0" encoding="utf-8"?>
<Types xmlns="http://schemas.openxmlformats.org/package/2006/content-types">
  <Default Extension="jpeg" ContentType="image/jpeg"/>
  <Default Extension="JPG" ContentType="image/.jp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DF03F">
      <w:pPr>
        <w:spacing w:line="480" w:lineRule="auto"/>
        <w:jc w:val="left"/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>Supplementary material</w:t>
      </w:r>
      <w:bookmarkStart w:id="0" w:name="_GoBack"/>
      <w:bookmarkEnd w:id="0"/>
    </w:p>
    <w:p w14:paraId="60F2649C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Supplementary Table 1. </w:t>
      </w:r>
      <w:r>
        <w:rPr>
          <w:rFonts w:hint="eastAsia"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CT scanning parameters for </w:t>
      </w:r>
      <w:r>
        <w:rPr>
          <w:rFonts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hint="eastAsia"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>different scanners used in</w:t>
      </w:r>
      <w:r>
        <w:rPr>
          <w:rFonts w:hint="eastAsia" w:ascii="Times New Roman" w:hAnsi="Times New Roman" w:cs="Times New Roman"/>
          <w:color w:val="000000" w:themeColor="text1"/>
          <w:sz w:val="24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>this study.</w:t>
      </w:r>
    </w:p>
    <w:tbl>
      <w:tblPr>
        <w:tblStyle w:val="4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3"/>
        <w:gridCol w:w="2347"/>
        <w:gridCol w:w="2080"/>
        <w:gridCol w:w="2522"/>
      </w:tblGrid>
      <w:tr w14:paraId="08F28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22" w:type="dxa"/>
            <w:gridSpan w:val="4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0AA1EB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249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4F4A69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Parameter</w:t>
            </w:r>
          </w:p>
        </w:tc>
        <w:tc>
          <w:tcPr>
            <w:tcW w:w="234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43629F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CT 1</w:t>
            </w:r>
          </w:p>
          <w:p w14:paraId="0249EA20">
            <w:pPr>
              <w:snapToGrid w:val="0"/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 = 1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3B8BCC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CT 2</w:t>
            </w:r>
          </w:p>
          <w:p w14:paraId="24E34138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n =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522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243E3D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CT 3</w:t>
            </w:r>
          </w:p>
          <w:p w14:paraId="79746A72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 = 1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06441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F9243B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CT version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EFDA55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256-row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spiral CT 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Dual-energy Revolution CT, GE Healthcare, USA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97B2C4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64-row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spiral CT (LightSpeedVCT,</w:t>
            </w:r>
          </w:p>
          <w:p w14:paraId="2DB1D269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GE Healthcare,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USA)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E1CB62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64-row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spiral CT (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Somatom Definition AS, Siemens Healthcare, Germany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1DC6A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EAB5CC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ube voltage (kVp)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4D53C3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80/140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933509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6661E7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</w:tr>
      <w:tr w14:paraId="1104B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0BDF6D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ube current (mAs)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73EE1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Auto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83EEE4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Auto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7080A9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Auto</w:t>
            </w:r>
          </w:p>
        </w:tc>
      </w:tr>
      <w:tr w14:paraId="21CCF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4B3363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Rotation time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(s)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FF4929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A68ED4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C201D5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  <w:tr w14:paraId="7D4FF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6B0C48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Image matrix pixel spacing (mm)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C301CB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512×512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28A835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512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512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C9BC77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512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512</w:t>
            </w:r>
          </w:p>
        </w:tc>
      </w:tr>
      <w:tr w14:paraId="609C3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73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FB17BC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Slice thickness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(mm)</w:t>
            </w:r>
          </w:p>
        </w:tc>
        <w:tc>
          <w:tcPr>
            <w:tcW w:w="2347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CA7DE8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1.25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4D1BCE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1.25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305E3D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</w:tr>
    </w:tbl>
    <w:p w14:paraId="221361D4">
      <w:pPr>
        <w:snapToGrid w:val="0"/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</w:p>
    <w:p w14:paraId="5C9CCF0A">
      <w:pPr>
        <w:snapToGrid w:val="0"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Supplementary Table 2 </w:t>
      </w:r>
      <w:r>
        <w:rPr>
          <w:rFonts w:hint="eastAsia"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Comparison of CECT characteristics of the lymph node with the highest Node-RADS score between pN− and pN+ patients.</w:t>
      </w:r>
    </w:p>
    <w:tbl>
      <w:tblPr>
        <w:tblStyle w:val="3"/>
        <w:tblpPr w:leftFromText="180" w:rightFromText="180" w:vertAnchor="text" w:horzAnchor="margin" w:tblpXSpec="center" w:tblpY="125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49"/>
        <w:gridCol w:w="484"/>
        <w:gridCol w:w="1938"/>
        <w:gridCol w:w="1825"/>
        <w:gridCol w:w="1398"/>
      </w:tblGrid>
      <w:tr w14:paraId="01AA1F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gridSpan w:val="5"/>
            <w:tcBorders>
              <w:left w:val="nil"/>
              <w:bottom w:val="single" w:color="auto" w:sz="6" w:space="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06BFA8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2F90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single" w:color="auto" w:sz="6" w:space="0"/>
              <w:left w:val="nil"/>
              <w:bottom w:val="single" w:color="auto" w:sz="8" w:space="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880C3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Characteristics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8" w:space="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490D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8" w:space="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93AD4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pN-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8" w:space="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6BC24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pN+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8" w:space="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09FC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116CDB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D8B02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Size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EA243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7BB18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56BC0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77F13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7C12E2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3898F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Normal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5037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5EF3A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56 (45.2%)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B731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 (9.4%)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E48D7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789E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822FF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Enlarged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7638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755FA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68 (54.8%)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E2B14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58 (90.6%)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B6D79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2EF2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546A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Bulk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906EF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FEC9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95B09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A35CE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DA7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083C5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Configuration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0036E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47904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7651B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29276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3174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9DA0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Texture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1EE1C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C8C4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26118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7B2B1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7BC3FA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3F62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Homogeneous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B4D7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B746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116 (93.5%)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0677A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23 (35.9%)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29E85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D90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67010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Heterogeneous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9EDF9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F4048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 (4.8%)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5ED87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31 (48.4%)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A2C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6195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1A791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Focal necrosis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A5292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295C8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 (1.6%)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CF247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 (12.5%)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B7EF3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6CB5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A3060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Gross necrosis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2A273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2FFE9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46BF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 (3.1%)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3B9FC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1904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8B7CB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Border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3C66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42820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830F4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EEBEC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&lt; 0.001</w:t>
            </w:r>
          </w:p>
        </w:tc>
      </w:tr>
      <w:tr w14:paraId="4FAE56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D7FF4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Smooth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695C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1168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120 (96.8%)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D226E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36 (56.3%)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2B0D6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F7CE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357E6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Irregular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3F8F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80AA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 (3.2%)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1D77F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28 (43.8%)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90040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02A2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AC4B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Shape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D7EEE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F498C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964FC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807B2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0.067</w:t>
            </w:r>
          </w:p>
        </w:tc>
      </w:tr>
      <w:tr w14:paraId="69E038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2A701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Oval*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1A57F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ACF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41 (33.1%)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98C9C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13 (20.3%)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827C1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1E13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EB44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Spherical**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AAF6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C1A41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83 (66.9%)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BFEB0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51 (79.7%)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A856F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7EC6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0" w:type="auto"/>
            <w:gridSpan w:val="5"/>
            <w:tcBorders>
              <w:top w:val="single" w:color="auto" w:sz="6" w:space="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ED9521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*Any shape with a preserved fatty hilum, a kidney-bean-like shape, or oval without a fatty hilum. **Spherical without a fatty hilum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</w:tbl>
    <w:p w14:paraId="3685156C">
      <w:pPr>
        <w:spacing w:line="480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32D289E">
      <w:pPr>
        <w:spacing w:line="480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60CF4AE">
      <w:pPr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2172335"/>
            <wp:effectExtent l="0" t="0" r="8890" b="12065"/>
            <wp:docPr id="147915989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159898" name="图片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2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26542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>Supplementary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 Figure 1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Representative examples of Node-RADS categorization in rectal cancer patients.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(a) A lymph node (short-axis diameter, 11.2 mm) shows morphologic features of shape (1 point), texture (1 point), and border (1 point), corresponding to Node-RADS category 5. Patient outcome: systemic progression at 35.3 months with multi-organ metastases;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overall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survival time 42.4 months.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(b) A lymph node (short-axis diameter, 6.7 mm) demonstrates shape (1 point), texture (0 point), and border (0 point), classified as Node-RADS category 3. Patient outcome: no evidence of disease at 82.2 months follow-up.</w:t>
      </w:r>
    </w:p>
    <w:p w14:paraId="77B7C3D8">
      <w:pPr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</w:p>
    <w:p w14:paraId="4C778A5A">
      <w:pPr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2452370"/>
            <wp:effectExtent l="0" t="0" r="8890" b="11430"/>
            <wp:docPr id="11165767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576790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393BF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>Supplementary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 Figure 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等线" w:cs="Times New Roman"/>
          <w:color w:val="000000"/>
          <w:sz w:val="24"/>
          <w:szCs w:val="20"/>
        </w:rPr>
        <w:t>Kaplan‒Meier</w:t>
      </w:r>
      <w:r>
        <w:rPr>
          <w:rFonts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 survival curves for </w:t>
      </w:r>
      <w:r>
        <w:rPr>
          <w:rFonts w:hint="eastAsia"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Node-RADS </w:t>
      </w:r>
      <w:r>
        <w:rPr>
          <w:rFonts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category </w:t>
      </w:r>
      <w:r>
        <w:rPr>
          <w:rFonts w:hint="eastAsia"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4 and 5 </w:t>
      </w:r>
      <w:r>
        <w:rPr>
          <w:rFonts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>patients</w:t>
      </w:r>
      <w:r>
        <w:rPr>
          <w:rFonts w:hint="eastAsia"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. (a) Overall survival and (b) </w:t>
      </w:r>
      <w:r>
        <w:rPr>
          <w:rFonts w:ascii="Times New Roman" w:hAnsi="Times New Roman" w:eastAsia="等线" w:cs="Times New Roman"/>
          <w:color w:val="000000"/>
          <w:sz w:val="24"/>
          <w:szCs w:val="20"/>
        </w:rPr>
        <w:t>recurrence</w:t>
      </w:r>
      <w:r>
        <w:rPr>
          <w:rFonts w:hint="eastAsia"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-free survival curves. </w:t>
      </w:r>
      <w:r>
        <w:rPr>
          <w:rFonts w:hint="eastAsia" w:ascii="Times New Roman" w:hAnsi="Times New Roman" w:cs="Times New Roman"/>
          <w:i/>
          <w:i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P </w:t>
      </w:r>
      <w:r>
        <w:rPr>
          <w:rFonts w:hint="eastAsia"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values were calculated </w:t>
      </w:r>
      <w:r>
        <w:rPr>
          <w:rFonts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with </w:t>
      </w:r>
      <w:r>
        <w:rPr>
          <w:rFonts w:ascii="Times New Roman" w:hAnsi="Times New Roman" w:eastAsia="等线" w:cs="Times New Roman"/>
          <w:color w:val="000000"/>
          <w:sz w:val="24"/>
          <w:szCs w:val="20"/>
        </w:rPr>
        <w:t>the log</w:t>
      </w:r>
      <w:r>
        <w:rPr>
          <w:rFonts w:hint="eastAsia"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>-rank test.</w:t>
      </w:r>
    </w:p>
    <w:p w14:paraId="7A97D31C"/>
    <w:p w14:paraId="60D708FD"/>
    <w:p w14:paraId="31A92864"/>
    <w:p w14:paraId="0B0CD729">
      <w:pPr>
        <w:jc w:val="center"/>
      </w:pPr>
      <w:r>
        <w:rPr>
          <w:rFonts w:hint="eastAsia"/>
        </w:rPr>
        <w:drawing>
          <wp:inline distT="0" distB="0" distL="114300" distR="114300">
            <wp:extent cx="6011545" cy="2759075"/>
            <wp:effectExtent l="0" t="0" r="8255" b="9525"/>
            <wp:docPr id="2" name="图片 2" descr="SF3byzzj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F3byzzj_画板 1"/>
                    <pic:cNvPicPr>
                      <a:picLocks noChangeAspect="1"/>
                    </pic:cNvPicPr>
                  </pic:nvPicPr>
                  <pic:blipFill>
                    <a:blip r:embed="rId6"/>
                    <a:srcRect l="6119" t="5084" r="9160" b="16921"/>
                    <a:stretch>
                      <a:fillRect/>
                    </a:stretch>
                  </pic:blipFill>
                  <pic:spPr>
                    <a:xfrm>
                      <a:off x="0" y="0"/>
                      <a:ext cx="6011545" cy="275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60E16">
      <w:pPr>
        <w:spacing w:line="480" w:lineRule="auto"/>
        <w:jc w:val="left"/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>Supplementary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 Figure 3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Kaplan–Meier curves for overall survival (a) and  recurrence-free survival (b) according to postoperative adjuvant chemotherapy status in patients with Node-RADS category 4–5. </w:t>
      </w:r>
      <w:r>
        <w:rPr>
          <w:rFonts w:hint="eastAsia" w:ascii="Times New Roman" w:hAnsi="Times New Roman" w:cs="Times New Roman"/>
          <w:i/>
          <w:iCs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 values were calculated </w:t>
      </w:r>
      <w:r>
        <w:rPr>
          <w:rFonts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with </w:t>
      </w:r>
      <w:r>
        <w:rPr>
          <w:rFonts w:ascii="Times New Roman" w:hAnsi="Times New Roman" w:eastAsia="等线" w:cs="Times New Roman"/>
          <w:color w:val="000000"/>
          <w:sz w:val="24"/>
          <w:szCs w:val="20"/>
        </w:rPr>
        <w:t>the log</w:t>
      </w:r>
      <w:r>
        <w:rPr>
          <w:rFonts w:hint="eastAsia" w:ascii="Times New Roman" w:hAnsi="Times New Roman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>-rank test.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E0C9D"/>
    <w:rsid w:val="1C4E0C9D"/>
    <w:rsid w:val="22A2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GB" w:eastAsia="zh-CN" w:bidi="ar-SA"/>
      <w14:ligatures w14:val="standardContextual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tiff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360</Words>
  <Characters>1958</Characters>
  <Lines>0</Lines>
  <Paragraphs>0</Paragraphs>
  <TotalTime>0</TotalTime>
  <ScaleCrop>false</ScaleCrop>
  <LinksUpToDate>false</LinksUpToDate>
  <CharactersWithSpaces>2274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2026-05-21T07:42:00Z</dcterms:created>
  <dc:creator>庄子健</dc:creator>
  <cp:lastModifiedBy>庄子健</cp:lastModifiedBy>
  <dcterms:modified xsi:type="dcterms:W3CDTF">2026-05-21T07:43:14Z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95F4BD110CA54690975637872E4DB3A2_13</vt:lpwstr>
  </property>
  <property fmtid="{D5CDD505-2E9C-101B-9397-08002B2CF9AE}" pid="4" name="KSOTemplateDocerSaveRecord">
    <vt:lpwstr>eyJoZGlkIjoiYWU3MGU4ZTk2YjU2NTQ3ZGM2Mzk1YjlkYzU3YTE1MDIiLCJ1c2VySWQiOiIxMzQxNTA5In0=</vt:lpwstr>
  </property>
</Properties>
</file>