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0882C7">
      <w:pPr>
        <w:jc w:val="left"/>
        <w:rPr>
          <w:rFonts w:hint="default" w:ascii="Times New Roman" w:hAnsi="Times New Roman" w:eastAsia="Arial" w:cs="Times New Roman"/>
          <w:color w:val="000000"/>
          <w:szCs w:val="21"/>
        </w:rPr>
      </w:pPr>
    </w:p>
    <w:p w14:paraId="79777720">
      <w:pPr>
        <w:jc w:val="left"/>
        <w:rPr>
          <w:rFonts w:hint="default" w:ascii="Times New Roman" w:hAnsi="Times New Roman" w:eastAsia="宋体" w:cs="Times New Roman"/>
          <w:b/>
          <w:bCs/>
          <w:color w:val="00000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Supplementary Table</w:t>
      </w:r>
      <w:r>
        <w:rPr>
          <w:rFonts w:hint="default" w:ascii="Times New Roman" w:hAnsi="Times New Roman" w:eastAsia="宋体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1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 w:eastAsia="zh-CN"/>
        </w:rPr>
        <w:t>Characteristics in the r</w:t>
      </w:r>
      <w:r>
        <w:rPr>
          <w:rFonts w:hint="default" w:ascii="Times New Roman" w:hAnsi="Times New Roman" w:eastAsia="Arial" w:cs="Times New Roman"/>
          <w:b/>
          <w:bCs/>
          <w:color w:val="000000"/>
          <w:sz w:val="24"/>
          <w:szCs w:val="24"/>
        </w:rPr>
        <w:t>echallenge</w:t>
      </w:r>
      <w:r>
        <w:rPr>
          <w:rFonts w:hint="default" w:ascii="Times New Roman" w:hAnsi="Times New Roman" w:eastAsia="宋体" w:cs="Times New Roman"/>
          <w:b/>
          <w:bCs/>
          <w:color w:val="000000"/>
          <w:sz w:val="24"/>
          <w:szCs w:val="24"/>
          <w:lang w:val="en-US" w:eastAsia="zh-CN"/>
        </w:rPr>
        <w:t>d treatment group</w:t>
      </w:r>
    </w:p>
    <w:p w14:paraId="6163D9E1">
      <w:pPr>
        <w:jc w:val="left"/>
        <w:rPr>
          <w:rFonts w:hint="default" w:ascii="Times New Roman" w:hAnsi="Times New Roman" w:eastAsia="宋体" w:cs="Times New Roman"/>
          <w:color w:val="000000"/>
          <w:sz w:val="24"/>
          <w:szCs w:val="24"/>
          <w:lang w:val="en-US" w:eastAsia="zh-CN"/>
        </w:rPr>
      </w:pPr>
    </w:p>
    <w:tbl>
      <w:tblPr>
        <w:tblStyle w:val="3"/>
        <w:tblpPr w:leftFromText="180" w:rightFromText="180" w:vertAnchor="page" w:horzAnchor="page" w:tblpX="1886" w:tblpY="2382"/>
        <w:tblOverlap w:val="never"/>
        <w:tblW w:w="8506" w:type="dxa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84"/>
        <w:gridCol w:w="2076"/>
        <w:gridCol w:w="1632"/>
        <w:gridCol w:w="1464"/>
        <w:gridCol w:w="850"/>
      </w:tblGrid>
      <w:tr w14:paraId="5AFF9ED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484" w:type="dxa"/>
            <w:tcBorders>
              <w:bottom w:val="single" w:color="auto" w:sz="8" w:space="0"/>
            </w:tcBorders>
            <w:vAlign w:val="center"/>
          </w:tcPr>
          <w:p w14:paraId="195358A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  <w:t>Characteristics</w:t>
            </w:r>
          </w:p>
        </w:tc>
        <w:tc>
          <w:tcPr>
            <w:tcW w:w="2076" w:type="dxa"/>
            <w:tcBorders>
              <w:bottom w:val="single" w:color="auto" w:sz="8" w:space="0"/>
            </w:tcBorders>
            <w:vAlign w:val="center"/>
          </w:tcPr>
          <w:p w14:paraId="069D812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</w:pPr>
          </w:p>
        </w:tc>
        <w:tc>
          <w:tcPr>
            <w:tcW w:w="1632" w:type="dxa"/>
            <w:tcBorders>
              <w:bottom w:val="single" w:color="auto" w:sz="8" w:space="0"/>
            </w:tcBorders>
            <w:vAlign w:val="center"/>
          </w:tcPr>
          <w:p w14:paraId="1E02F51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PFS＜6 months)</w:t>
            </w:r>
          </w:p>
        </w:tc>
        <w:tc>
          <w:tcPr>
            <w:tcW w:w="1464" w:type="dxa"/>
            <w:tcBorders>
              <w:bottom w:val="single" w:color="auto" w:sz="8" w:space="0"/>
            </w:tcBorders>
            <w:vAlign w:val="center"/>
          </w:tcPr>
          <w:p w14:paraId="4B4767C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PFS≥6 months</w:t>
            </w:r>
          </w:p>
        </w:tc>
        <w:tc>
          <w:tcPr>
            <w:tcW w:w="850" w:type="dxa"/>
            <w:tcBorders>
              <w:bottom w:val="single" w:color="auto" w:sz="8" w:space="0"/>
            </w:tcBorders>
            <w:vAlign w:val="center"/>
          </w:tcPr>
          <w:p w14:paraId="6CC2661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P</w:t>
            </w:r>
          </w:p>
        </w:tc>
      </w:tr>
      <w:tr w14:paraId="64F5EAF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484" w:type="dxa"/>
            <w:tcBorders>
              <w:top w:val="single" w:color="auto" w:sz="8" w:space="0"/>
            </w:tcBorders>
            <w:vAlign w:val="center"/>
          </w:tcPr>
          <w:p w14:paraId="7ABA9FD8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  <w:t>Gender</w:t>
            </w:r>
          </w:p>
        </w:tc>
        <w:tc>
          <w:tcPr>
            <w:tcW w:w="2076" w:type="dxa"/>
            <w:tcBorders>
              <w:top w:val="single" w:color="auto" w:sz="8" w:space="0"/>
            </w:tcBorders>
            <w:vAlign w:val="center"/>
          </w:tcPr>
          <w:p w14:paraId="768BBFD9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  <w:t>Male</w:t>
            </w:r>
          </w:p>
        </w:tc>
        <w:tc>
          <w:tcPr>
            <w:tcW w:w="1632" w:type="dxa"/>
            <w:tcBorders>
              <w:top w:val="single" w:color="auto" w:sz="8" w:space="0"/>
            </w:tcBorders>
            <w:vAlign w:val="center"/>
          </w:tcPr>
          <w:p w14:paraId="4D6FD2E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16</w:t>
            </w:r>
          </w:p>
        </w:tc>
        <w:tc>
          <w:tcPr>
            <w:tcW w:w="1464" w:type="dxa"/>
            <w:tcBorders>
              <w:top w:val="single" w:color="auto" w:sz="8" w:space="0"/>
            </w:tcBorders>
            <w:vAlign w:val="center"/>
          </w:tcPr>
          <w:p w14:paraId="7A18829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850" w:type="dxa"/>
            <w:tcBorders>
              <w:top w:val="single" w:color="auto" w:sz="8" w:space="0"/>
            </w:tcBorders>
            <w:vAlign w:val="center"/>
          </w:tcPr>
          <w:p w14:paraId="39FE5FD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0.372</w:t>
            </w:r>
          </w:p>
        </w:tc>
      </w:tr>
      <w:tr w14:paraId="56228AA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484" w:type="dxa"/>
            <w:vAlign w:val="center"/>
          </w:tcPr>
          <w:p w14:paraId="6C7E52EF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</w:pPr>
          </w:p>
        </w:tc>
        <w:tc>
          <w:tcPr>
            <w:tcW w:w="2076" w:type="dxa"/>
            <w:vAlign w:val="center"/>
          </w:tcPr>
          <w:p w14:paraId="6A3D654B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  <w:t>Female</w:t>
            </w:r>
          </w:p>
        </w:tc>
        <w:tc>
          <w:tcPr>
            <w:tcW w:w="1632" w:type="dxa"/>
            <w:vAlign w:val="center"/>
          </w:tcPr>
          <w:p w14:paraId="3792950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1464" w:type="dxa"/>
            <w:vAlign w:val="center"/>
          </w:tcPr>
          <w:p w14:paraId="35820A6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850" w:type="dxa"/>
            <w:vAlign w:val="center"/>
          </w:tcPr>
          <w:p w14:paraId="3A8E58B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 w14:paraId="4F589EE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484" w:type="dxa"/>
            <w:shd w:val="clear" w:color="auto" w:fill="auto"/>
            <w:vAlign w:val="center"/>
          </w:tcPr>
          <w:p w14:paraId="4E778592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  <w:t>Age</w:t>
            </w:r>
          </w:p>
        </w:tc>
        <w:tc>
          <w:tcPr>
            <w:tcW w:w="2076" w:type="dxa"/>
            <w:shd w:val="clear" w:color="auto" w:fill="auto"/>
            <w:vAlign w:val="center"/>
          </w:tcPr>
          <w:p w14:paraId="178506C5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＜</w:t>
            </w:r>
            <w:r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  <w:t>60</w:t>
            </w:r>
          </w:p>
        </w:tc>
        <w:tc>
          <w:tcPr>
            <w:tcW w:w="1632" w:type="dxa"/>
            <w:shd w:val="clear" w:color="auto" w:fill="auto"/>
            <w:vAlign w:val="center"/>
          </w:tcPr>
          <w:p w14:paraId="25BCBE5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11</w:t>
            </w:r>
          </w:p>
        </w:tc>
        <w:tc>
          <w:tcPr>
            <w:tcW w:w="1464" w:type="dxa"/>
            <w:shd w:val="clear" w:color="auto" w:fill="auto"/>
            <w:vAlign w:val="center"/>
          </w:tcPr>
          <w:p w14:paraId="7525F9C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14</w:t>
            </w:r>
          </w:p>
        </w:tc>
        <w:tc>
          <w:tcPr>
            <w:tcW w:w="850" w:type="dxa"/>
            <w:vAlign w:val="center"/>
          </w:tcPr>
          <w:p w14:paraId="2BDCB10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FF0000"/>
                <w:sz w:val="21"/>
                <w:szCs w:val="21"/>
              </w:rPr>
              <w:t>0.013</w:t>
            </w:r>
          </w:p>
        </w:tc>
      </w:tr>
      <w:tr w14:paraId="3699C0F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484" w:type="dxa"/>
            <w:shd w:val="clear" w:color="auto" w:fill="auto"/>
            <w:vAlign w:val="center"/>
          </w:tcPr>
          <w:p w14:paraId="59914BF1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</w:pPr>
          </w:p>
        </w:tc>
        <w:tc>
          <w:tcPr>
            <w:tcW w:w="2076" w:type="dxa"/>
            <w:shd w:val="clear" w:color="auto" w:fill="auto"/>
            <w:vAlign w:val="center"/>
          </w:tcPr>
          <w:p w14:paraId="41D17BAD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  <w:t>≥60</w:t>
            </w:r>
          </w:p>
        </w:tc>
        <w:tc>
          <w:tcPr>
            <w:tcW w:w="1632" w:type="dxa"/>
            <w:shd w:val="clear" w:color="auto" w:fill="auto"/>
            <w:vAlign w:val="center"/>
          </w:tcPr>
          <w:p w14:paraId="7334A1C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1464" w:type="dxa"/>
            <w:shd w:val="clear" w:color="auto" w:fill="auto"/>
            <w:vAlign w:val="center"/>
          </w:tcPr>
          <w:p w14:paraId="72BEA07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850" w:type="dxa"/>
            <w:vAlign w:val="center"/>
          </w:tcPr>
          <w:p w14:paraId="03A11FA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 w14:paraId="1DEE953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484" w:type="dxa"/>
            <w:shd w:val="clear" w:color="auto" w:fill="auto"/>
            <w:vAlign w:val="center"/>
          </w:tcPr>
          <w:p w14:paraId="15728C53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lang w:val="en-US" w:eastAsia="zh-CN" w:bidi="ar"/>
              </w:rPr>
              <w:t>ECOG score</w:t>
            </w:r>
          </w:p>
        </w:tc>
        <w:tc>
          <w:tcPr>
            <w:tcW w:w="2076" w:type="dxa"/>
            <w:shd w:val="clear" w:color="auto" w:fill="auto"/>
            <w:vAlign w:val="center"/>
          </w:tcPr>
          <w:p w14:paraId="310CE19E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632" w:type="dxa"/>
            <w:shd w:val="clear" w:color="auto" w:fill="auto"/>
            <w:vAlign w:val="center"/>
          </w:tcPr>
          <w:p w14:paraId="3EB31EE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464" w:type="dxa"/>
            <w:shd w:val="clear" w:color="auto" w:fill="auto"/>
            <w:vAlign w:val="center"/>
          </w:tcPr>
          <w:p w14:paraId="5FFA5E0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14</w:t>
            </w:r>
          </w:p>
        </w:tc>
        <w:tc>
          <w:tcPr>
            <w:tcW w:w="850" w:type="dxa"/>
            <w:vAlign w:val="center"/>
          </w:tcPr>
          <w:p w14:paraId="195FD6F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0.154</w:t>
            </w:r>
          </w:p>
        </w:tc>
      </w:tr>
      <w:tr w14:paraId="0315977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484" w:type="dxa"/>
            <w:shd w:val="clear" w:color="auto" w:fill="auto"/>
            <w:vAlign w:val="center"/>
          </w:tcPr>
          <w:p w14:paraId="015766DC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</w:p>
        </w:tc>
        <w:tc>
          <w:tcPr>
            <w:tcW w:w="2076" w:type="dxa"/>
            <w:shd w:val="clear" w:color="auto" w:fill="auto"/>
            <w:vAlign w:val="center"/>
          </w:tcPr>
          <w:p w14:paraId="7575AFBE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1632" w:type="dxa"/>
            <w:shd w:val="clear" w:color="auto" w:fill="auto"/>
            <w:vAlign w:val="center"/>
          </w:tcPr>
          <w:p w14:paraId="0DD13DA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1464" w:type="dxa"/>
            <w:shd w:val="clear" w:color="auto" w:fill="auto"/>
            <w:vAlign w:val="center"/>
          </w:tcPr>
          <w:p w14:paraId="1A369DE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850" w:type="dxa"/>
            <w:vAlign w:val="center"/>
          </w:tcPr>
          <w:p w14:paraId="46BAF96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 w14:paraId="2BAE1E5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484" w:type="dxa"/>
            <w:shd w:val="clear" w:color="auto" w:fill="auto"/>
            <w:vAlign w:val="center"/>
          </w:tcPr>
          <w:p w14:paraId="0B7606E8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  <w:t>Primary lesion</w:t>
            </w:r>
          </w:p>
        </w:tc>
        <w:tc>
          <w:tcPr>
            <w:tcW w:w="2076" w:type="dxa"/>
            <w:shd w:val="clear" w:color="auto" w:fill="auto"/>
            <w:vAlign w:val="center"/>
          </w:tcPr>
          <w:p w14:paraId="78DC67C7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  <w:t>Rectum</w:t>
            </w:r>
          </w:p>
        </w:tc>
        <w:tc>
          <w:tcPr>
            <w:tcW w:w="1632" w:type="dxa"/>
            <w:shd w:val="clear" w:color="auto" w:fill="auto"/>
            <w:vAlign w:val="center"/>
          </w:tcPr>
          <w:p w14:paraId="4AD8559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464" w:type="dxa"/>
            <w:shd w:val="clear" w:color="auto" w:fill="auto"/>
            <w:vAlign w:val="center"/>
          </w:tcPr>
          <w:p w14:paraId="7913FE2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850" w:type="dxa"/>
            <w:vAlign w:val="center"/>
          </w:tcPr>
          <w:p w14:paraId="15D1563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0.262</w:t>
            </w:r>
          </w:p>
        </w:tc>
      </w:tr>
      <w:tr w14:paraId="4C59EEE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484" w:type="dxa"/>
            <w:shd w:val="clear" w:color="auto" w:fill="auto"/>
            <w:vAlign w:val="center"/>
          </w:tcPr>
          <w:p w14:paraId="64198100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</w:pPr>
          </w:p>
        </w:tc>
        <w:tc>
          <w:tcPr>
            <w:tcW w:w="2076" w:type="dxa"/>
            <w:shd w:val="clear" w:color="auto" w:fill="auto"/>
            <w:vAlign w:val="center"/>
          </w:tcPr>
          <w:p w14:paraId="6E783D5C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  <w:t>colon</w:t>
            </w:r>
          </w:p>
        </w:tc>
        <w:tc>
          <w:tcPr>
            <w:tcW w:w="1632" w:type="dxa"/>
            <w:shd w:val="clear" w:color="auto" w:fill="auto"/>
            <w:vAlign w:val="center"/>
          </w:tcPr>
          <w:p w14:paraId="1AA688B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464" w:type="dxa"/>
            <w:shd w:val="clear" w:color="auto" w:fill="auto"/>
            <w:vAlign w:val="center"/>
          </w:tcPr>
          <w:p w14:paraId="768D47A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850" w:type="dxa"/>
            <w:vAlign w:val="center"/>
          </w:tcPr>
          <w:p w14:paraId="1D15B1A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 w14:paraId="7B7FD45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484" w:type="dxa"/>
            <w:shd w:val="clear" w:color="auto" w:fill="FFFFFF"/>
            <w:vAlign w:val="center"/>
          </w:tcPr>
          <w:p w14:paraId="2457C9E6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  <w:t>Metastasis</w:t>
            </w:r>
          </w:p>
        </w:tc>
        <w:tc>
          <w:tcPr>
            <w:tcW w:w="2076" w:type="dxa"/>
            <w:vAlign w:val="center"/>
          </w:tcPr>
          <w:p w14:paraId="249E14B2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Liver only</w:t>
            </w:r>
          </w:p>
        </w:tc>
        <w:tc>
          <w:tcPr>
            <w:tcW w:w="1632" w:type="dxa"/>
            <w:vAlign w:val="center"/>
          </w:tcPr>
          <w:p w14:paraId="209D4D2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1464" w:type="dxa"/>
            <w:vAlign w:val="center"/>
          </w:tcPr>
          <w:p w14:paraId="09EF9D0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850" w:type="dxa"/>
            <w:vAlign w:val="center"/>
          </w:tcPr>
          <w:p w14:paraId="4147C72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0.957</w:t>
            </w:r>
          </w:p>
        </w:tc>
      </w:tr>
      <w:tr w14:paraId="21CA8A3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484" w:type="dxa"/>
            <w:shd w:val="clear" w:color="auto" w:fill="FFFFFF"/>
            <w:vAlign w:val="center"/>
          </w:tcPr>
          <w:p w14:paraId="3509B7F2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76" w:type="dxa"/>
            <w:vAlign w:val="center"/>
          </w:tcPr>
          <w:p w14:paraId="1A567D0A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Liver and extrahepatic</w:t>
            </w:r>
          </w:p>
        </w:tc>
        <w:tc>
          <w:tcPr>
            <w:tcW w:w="1632" w:type="dxa"/>
            <w:vAlign w:val="center"/>
          </w:tcPr>
          <w:p w14:paraId="3066E0B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11</w:t>
            </w:r>
          </w:p>
        </w:tc>
        <w:tc>
          <w:tcPr>
            <w:tcW w:w="1464" w:type="dxa"/>
            <w:vAlign w:val="center"/>
          </w:tcPr>
          <w:p w14:paraId="316A1C4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850" w:type="dxa"/>
            <w:vAlign w:val="center"/>
          </w:tcPr>
          <w:p w14:paraId="1FEDB57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 w14:paraId="4BD307D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484" w:type="dxa"/>
            <w:shd w:val="clear" w:color="auto" w:fill="FFFFFF"/>
            <w:vAlign w:val="center"/>
          </w:tcPr>
          <w:p w14:paraId="1784098C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76" w:type="dxa"/>
            <w:vAlign w:val="center"/>
          </w:tcPr>
          <w:p w14:paraId="3389F157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Other</w:t>
            </w:r>
          </w:p>
        </w:tc>
        <w:tc>
          <w:tcPr>
            <w:tcW w:w="1632" w:type="dxa"/>
            <w:vAlign w:val="center"/>
          </w:tcPr>
          <w:p w14:paraId="136E964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1464" w:type="dxa"/>
            <w:vAlign w:val="center"/>
          </w:tcPr>
          <w:p w14:paraId="088763D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4</w:t>
            </w:r>
          </w:p>
        </w:tc>
        <w:tc>
          <w:tcPr>
            <w:tcW w:w="850" w:type="dxa"/>
            <w:vAlign w:val="center"/>
          </w:tcPr>
          <w:p w14:paraId="13D448F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 w14:paraId="6C64736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484" w:type="dxa"/>
            <w:shd w:val="clear" w:color="auto" w:fill="FFFFFF"/>
            <w:vAlign w:val="center"/>
          </w:tcPr>
          <w:p w14:paraId="3C70A4C9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Effency of first line</w:t>
            </w:r>
          </w:p>
        </w:tc>
        <w:tc>
          <w:tcPr>
            <w:tcW w:w="2076" w:type="dxa"/>
            <w:vAlign w:val="center"/>
          </w:tcPr>
          <w:p w14:paraId="11D01426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PR</w:t>
            </w:r>
          </w:p>
        </w:tc>
        <w:tc>
          <w:tcPr>
            <w:tcW w:w="1632" w:type="dxa"/>
            <w:vAlign w:val="center"/>
          </w:tcPr>
          <w:p w14:paraId="75BDC31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1464" w:type="dxa"/>
            <w:vAlign w:val="center"/>
          </w:tcPr>
          <w:p w14:paraId="77CCF81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850" w:type="dxa"/>
            <w:vAlign w:val="center"/>
          </w:tcPr>
          <w:p w14:paraId="2A197BD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0.344</w:t>
            </w:r>
          </w:p>
        </w:tc>
      </w:tr>
      <w:tr w14:paraId="2C8D2BA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484" w:type="dxa"/>
            <w:shd w:val="clear" w:color="auto" w:fill="FFFFFF"/>
            <w:vAlign w:val="center"/>
          </w:tcPr>
          <w:p w14:paraId="038E7EC5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76" w:type="dxa"/>
            <w:vAlign w:val="center"/>
          </w:tcPr>
          <w:p w14:paraId="3345D132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SD</w:t>
            </w:r>
          </w:p>
        </w:tc>
        <w:tc>
          <w:tcPr>
            <w:tcW w:w="1632" w:type="dxa"/>
            <w:vAlign w:val="center"/>
          </w:tcPr>
          <w:p w14:paraId="6FC6B12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15</w:t>
            </w:r>
          </w:p>
        </w:tc>
        <w:tc>
          <w:tcPr>
            <w:tcW w:w="1464" w:type="dxa"/>
            <w:vAlign w:val="center"/>
          </w:tcPr>
          <w:p w14:paraId="753FFE4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850" w:type="dxa"/>
            <w:vAlign w:val="center"/>
          </w:tcPr>
          <w:p w14:paraId="50C954C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 w14:paraId="53816AD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484" w:type="dxa"/>
            <w:shd w:val="clear" w:color="auto" w:fill="FFFFFF"/>
            <w:vAlign w:val="center"/>
          </w:tcPr>
          <w:p w14:paraId="7400A889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Cetuximab-free interval</w:t>
            </w:r>
          </w:p>
        </w:tc>
        <w:tc>
          <w:tcPr>
            <w:tcW w:w="2076" w:type="dxa"/>
            <w:vAlign w:val="center"/>
          </w:tcPr>
          <w:p w14:paraId="31E69459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≤</w:t>
            </w:r>
            <w:r>
              <w:rPr>
                <w:rFonts w:hint="eastAsia" w:ascii="Times New Roman" w:hAnsi="Times New Roman" w:cs="Times New Roman"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12 months</w:t>
            </w:r>
          </w:p>
        </w:tc>
        <w:tc>
          <w:tcPr>
            <w:tcW w:w="1632" w:type="dxa"/>
            <w:vAlign w:val="center"/>
          </w:tcPr>
          <w:p w14:paraId="2E83962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18</w:t>
            </w:r>
          </w:p>
        </w:tc>
        <w:tc>
          <w:tcPr>
            <w:tcW w:w="1464" w:type="dxa"/>
            <w:vAlign w:val="center"/>
          </w:tcPr>
          <w:p w14:paraId="5CD554C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5</w:t>
            </w:r>
          </w:p>
        </w:tc>
        <w:tc>
          <w:tcPr>
            <w:tcW w:w="850" w:type="dxa"/>
            <w:vAlign w:val="center"/>
          </w:tcPr>
          <w:p w14:paraId="6B2CB4B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color w:val="FF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FF0000"/>
                <w:sz w:val="21"/>
                <w:szCs w:val="21"/>
              </w:rPr>
              <w:t>0.001</w:t>
            </w:r>
          </w:p>
        </w:tc>
      </w:tr>
      <w:tr w14:paraId="1084626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484" w:type="dxa"/>
            <w:shd w:val="clear" w:color="auto" w:fill="FFFFFF"/>
            <w:vAlign w:val="center"/>
          </w:tcPr>
          <w:p w14:paraId="4CE6C0EA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76" w:type="dxa"/>
            <w:vAlign w:val="center"/>
          </w:tcPr>
          <w:p w14:paraId="160D887E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＞12 months</w:t>
            </w:r>
          </w:p>
        </w:tc>
        <w:tc>
          <w:tcPr>
            <w:tcW w:w="1632" w:type="dxa"/>
            <w:vAlign w:val="center"/>
          </w:tcPr>
          <w:p w14:paraId="45CED06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2</w:t>
            </w:r>
          </w:p>
        </w:tc>
        <w:tc>
          <w:tcPr>
            <w:tcW w:w="1464" w:type="dxa"/>
            <w:vAlign w:val="center"/>
          </w:tcPr>
          <w:p w14:paraId="4938195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10</w:t>
            </w:r>
          </w:p>
        </w:tc>
        <w:tc>
          <w:tcPr>
            <w:tcW w:w="850" w:type="dxa"/>
            <w:vAlign w:val="center"/>
          </w:tcPr>
          <w:p w14:paraId="077E011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 w14:paraId="729ED3C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484" w:type="dxa"/>
            <w:shd w:val="clear" w:color="auto" w:fill="FFFFFF"/>
            <w:vAlign w:val="center"/>
          </w:tcPr>
          <w:p w14:paraId="1C0609C0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maintenance treatment</w:t>
            </w:r>
          </w:p>
        </w:tc>
        <w:tc>
          <w:tcPr>
            <w:tcW w:w="2076" w:type="dxa"/>
            <w:vAlign w:val="center"/>
          </w:tcPr>
          <w:p w14:paraId="7629BC7A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Received</w:t>
            </w:r>
          </w:p>
        </w:tc>
        <w:tc>
          <w:tcPr>
            <w:tcW w:w="1632" w:type="dxa"/>
            <w:vAlign w:val="center"/>
          </w:tcPr>
          <w:p w14:paraId="51A3112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12</w:t>
            </w:r>
          </w:p>
        </w:tc>
        <w:tc>
          <w:tcPr>
            <w:tcW w:w="1464" w:type="dxa"/>
            <w:vAlign w:val="center"/>
          </w:tcPr>
          <w:p w14:paraId="0FF2B67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850" w:type="dxa"/>
            <w:vAlign w:val="center"/>
          </w:tcPr>
          <w:p w14:paraId="5EEF990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0.637</w:t>
            </w:r>
          </w:p>
        </w:tc>
      </w:tr>
      <w:tr w14:paraId="7E403A5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484" w:type="dxa"/>
            <w:shd w:val="clear" w:color="auto" w:fill="FFFFFF"/>
            <w:vAlign w:val="center"/>
          </w:tcPr>
          <w:p w14:paraId="3762A348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76" w:type="dxa"/>
            <w:vAlign w:val="center"/>
          </w:tcPr>
          <w:p w14:paraId="1FD0CF20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Un-received</w:t>
            </w:r>
          </w:p>
        </w:tc>
        <w:tc>
          <w:tcPr>
            <w:tcW w:w="1632" w:type="dxa"/>
            <w:vAlign w:val="center"/>
          </w:tcPr>
          <w:p w14:paraId="06BFD4A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1464" w:type="dxa"/>
            <w:vAlign w:val="center"/>
          </w:tcPr>
          <w:p w14:paraId="5413984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6</w:t>
            </w:r>
          </w:p>
        </w:tc>
        <w:tc>
          <w:tcPr>
            <w:tcW w:w="850" w:type="dxa"/>
            <w:vAlign w:val="center"/>
          </w:tcPr>
          <w:p w14:paraId="22A92C6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 w14:paraId="36F249F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484" w:type="dxa"/>
            <w:shd w:val="clear" w:color="auto" w:fill="FFFFFF"/>
            <w:vAlign w:val="center"/>
          </w:tcPr>
          <w:p w14:paraId="1DB4CD98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primary</w:t>
            </w:r>
            <w:r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  <w:t xml:space="preserve"> lesion</w:t>
            </w:r>
          </w:p>
        </w:tc>
        <w:tc>
          <w:tcPr>
            <w:tcW w:w="2076" w:type="dxa"/>
            <w:vAlign w:val="center"/>
          </w:tcPr>
          <w:p w14:paraId="55E70CF3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Removed</w:t>
            </w:r>
          </w:p>
        </w:tc>
        <w:tc>
          <w:tcPr>
            <w:tcW w:w="1632" w:type="dxa"/>
            <w:vAlign w:val="center"/>
          </w:tcPr>
          <w:p w14:paraId="39C1BDB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11</w:t>
            </w:r>
          </w:p>
        </w:tc>
        <w:tc>
          <w:tcPr>
            <w:tcW w:w="1464" w:type="dxa"/>
            <w:vAlign w:val="center"/>
          </w:tcPr>
          <w:p w14:paraId="007D603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15</w:t>
            </w:r>
          </w:p>
        </w:tc>
        <w:tc>
          <w:tcPr>
            <w:tcW w:w="850" w:type="dxa"/>
            <w:vAlign w:val="center"/>
          </w:tcPr>
          <w:p w14:paraId="7CCAE9B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FF0000"/>
                <w:sz w:val="21"/>
                <w:szCs w:val="21"/>
              </w:rPr>
              <w:t>0.002</w:t>
            </w:r>
          </w:p>
        </w:tc>
      </w:tr>
      <w:tr w14:paraId="13D567E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484" w:type="dxa"/>
            <w:vAlign w:val="center"/>
          </w:tcPr>
          <w:p w14:paraId="650E4D38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</w:pPr>
          </w:p>
        </w:tc>
        <w:tc>
          <w:tcPr>
            <w:tcW w:w="2076" w:type="dxa"/>
            <w:vAlign w:val="center"/>
          </w:tcPr>
          <w:p w14:paraId="03ED9380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Un-treated</w:t>
            </w:r>
          </w:p>
        </w:tc>
        <w:tc>
          <w:tcPr>
            <w:tcW w:w="1632" w:type="dxa"/>
            <w:vAlign w:val="center"/>
          </w:tcPr>
          <w:p w14:paraId="3C2F6A8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1464" w:type="dxa"/>
            <w:vAlign w:val="center"/>
          </w:tcPr>
          <w:p w14:paraId="53CB53E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850" w:type="dxa"/>
            <w:vAlign w:val="center"/>
          </w:tcPr>
          <w:p w14:paraId="216A43D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 w14:paraId="3D375D2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484" w:type="dxa"/>
            <w:vAlign w:val="center"/>
          </w:tcPr>
          <w:p w14:paraId="1A8E9036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  <w:t>metastatic lesions</w:t>
            </w:r>
          </w:p>
        </w:tc>
        <w:tc>
          <w:tcPr>
            <w:tcW w:w="2076" w:type="dxa"/>
            <w:vAlign w:val="center"/>
          </w:tcPr>
          <w:p w14:paraId="57F24A70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  <w:t>local treatment</w:t>
            </w:r>
          </w:p>
        </w:tc>
        <w:tc>
          <w:tcPr>
            <w:tcW w:w="1632" w:type="dxa"/>
            <w:vAlign w:val="center"/>
          </w:tcPr>
          <w:p w14:paraId="3CD2845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11</w:t>
            </w:r>
          </w:p>
        </w:tc>
        <w:tc>
          <w:tcPr>
            <w:tcW w:w="1464" w:type="dxa"/>
            <w:vAlign w:val="center"/>
          </w:tcPr>
          <w:p w14:paraId="037945A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13</w:t>
            </w:r>
          </w:p>
        </w:tc>
        <w:tc>
          <w:tcPr>
            <w:tcW w:w="850" w:type="dxa"/>
            <w:vAlign w:val="center"/>
          </w:tcPr>
          <w:p w14:paraId="23A7EC0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FF0000"/>
                <w:sz w:val="21"/>
                <w:szCs w:val="21"/>
              </w:rPr>
              <w:t>0.046</w:t>
            </w:r>
          </w:p>
        </w:tc>
      </w:tr>
      <w:tr w14:paraId="708EB55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484" w:type="dxa"/>
            <w:vAlign w:val="center"/>
          </w:tcPr>
          <w:p w14:paraId="57B4B772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</w:pPr>
          </w:p>
        </w:tc>
        <w:tc>
          <w:tcPr>
            <w:tcW w:w="2076" w:type="dxa"/>
            <w:vAlign w:val="center"/>
          </w:tcPr>
          <w:p w14:paraId="69900D0F">
            <w:pPr>
              <w:keepNext w:val="0"/>
              <w:keepLines w:val="0"/>
              <w:suppressLineNumbers w:val="0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</w:pBdr>
              <w:spacing w:before="100" w:beforeAutospacing="0" w:after="100" w:afterAutospacing="0"/>
              <w:ind w:left="100" w:right="100"/>
              <w:jc w:val="center"/>
              <w:rPr>
                <w:rFonts w:hint="default" w:ascii="Times New Roman" w:hAnsi="Times New Roman" w:eastAsia="Arial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1"/>
                <w:szCs w:val="21"/>
              </w:rPr>
              <w:t>Un-treated</w:t>
            </w:r>
          </w:p>
        </w:tc>
        <w:tc>
          <w:tcPr>
            <w:tcW w:w="1632" w:type="dxa"/>
            <w:vAlign w:val="center"/>
          </w:tcPr>
          <w:p w14:paraId="642E663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9</w:t>
            </w:r>
          </w:p>
        </w:tc>
        <w:tc>
          <w:tcPr>
            <w:tcW w:w="1464" w:type="dxa"/>
            <w:vAlign w:val="center"/>
          </w:tcPr>
          <w:p w14:paraId="4DCD2D2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850" w:type="dxa"/>
            <w:vAlign w:val="center"/>
          </w:tcPr>
          <w:p w14:paraId="57D84AA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</w:tbl>
    <w:p w14:paraId="1B59D6DC">
      <w:pPr>
        <w:rPr>
          <w:rFonts w:hint="default" w:ascii="Times New Roman" w:hAnsi="Times New Roman" w:cs="Times New Roman" w:eastAsiaTheme="minorEastAsia"/>
          <w:b/>
          <w:bCs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cs="Times New Roman" w:eastAsiaTheme="minorEastAsia"/>
          <w:b/>
          <w:bCs/>
          <w:lang w:val="en-US" w:eastAsia="zh-CN"/>
        </w:rPr>
        <w:t>A chi-square test assessed PFS under 6 months versus PFS of 6 months or more in the rechallenge treatment group. A P-value less than 0.05 denoted statistical significance.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496D0A"/>
    <w:rsid w:val="16D64B56"/>
    <w:rsid w:val="1EEF6E24"/>
    <w:rsid w:val="464551FF"/>
    <w:rsid w:val="4B566133"/>
    <w:rsid w:val="53CA0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152</Words>
  <Characters>647</Characters>
  <Lines>0</Lines>
  <Paragraphs>0</Paragraphs>
  <TotalTime>2</TotalTime>
  <ScaleCrop>false</ScaleCrop>
  <LinksUpToDate>false</LinksUpToDate>
  <CharactersWithSpaces>704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2025-04-27T02:32:00Z</dcterms:created>
  <dc:creator>MAC</dc:creator>
  <cp:lastModifiedBy>selection</cp:lastModifiedBy>
  <dcterms:modified xsi:type="dcterms:W3CDTF">2025-09-01T15:03:57Z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eyJoZGlkIjoiMzQ4NTE2YjExYmZkMWM3ODc2Y2FhMGEzNGY5NzIwMTgiLCJ1c2VySWQiOiI1ODA4MDQzMTYifQ==</vt:lpwstr>
  </property>
  <property fmtid="{D5CDD505-2E9C-101B-9397-08002B2CF9AE}" pid="4" name="ICV">
    <vt:lpwstr>59E527BE961548A5BA6A64299FBD585C_12</vt:lpwstr>
  </property>
</Properties>
</file>