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5A88AE" w14:textId="1E8E6BA9" w:rsidR="000F4C12" w:rsidRPr="00D54A09" w:rsidRDefault="00C23797" w:rsidP="000F4C12">
      <w:pPr>
        <w:pStyle w:val="isselectedend"/>
        <w:spacing w:before="0" w:beforeAutospacing="0" w:after="0" w:afterAutospacing="0" w:line="480" w:lineRule="auto"/>
        <w:jc w:val="both"/>
        <w:rPr>
          <w:b/>
          <w:bCs/>
          <w:color w:val="000000" w:themeColor="text1"/>
          <w:spacing w:val="2"/>
          <w:lang w:val="en-US"/>
        </w:rPr>
      </w:pPr>
      <w:r>
        <w:rPr>
          <w:b/>
          <w:bCs/>
          <w:color w:val="222222"/>
          <w:spacing w:val="2"/>
        </w:rPr>
        <w:t xml:space="preserve">Additional File </w:t>
      </w:r>
      <w:r w:rsidR="00673B2D">
        <w:rPr>
          <w:b/>
          <w:bCs/>
          <w:color w:val="222222"/>
          <w:spacing w:val="2"/>
        </w:rPr>
        <w:t>3</w:t>
      </w:r>
      <w:r w:rsidR="000F4C12" w:rsidRPr="00D54A09">
        <w:rPr>
          <w:b/>
          <w:bCs/>
          <w:color w:val="222222"/>
          <w:spacing w:val="2"/>
        </w:rPr>
        <w:t>. Chemotherapy utilization and regimen distribution among patients with HR-negative</w:t>
      </w:r>
      <w:r w:rsidR="000F4C12" w:rsidRPr="00D54A09">
        <w:rPr>
          <w:b/>
          <w:bCs/>
          <w:color w:val="000000" w:themeColor="text1"/>
          <w:spacing w:val="2"/>
        </w:rPr>
        <w:t>/HER2-low/Ki-67 &lt;20% tumors</w:t>
      </w:r>
    </w:p>
    <w:tbl>
      <w:tblPr>
        <w:tblStyle w:val="TableGrid"/>
        <w:tblW w:w="6374" w:type="dxa"/>
        <w:jc w:val="center"/>
        <w:tblCellMar>
          <w:left w:w="0" w:type="dxa"/>
          <w:right w:w="0" w:type="dxa"/>
        </w:tblCellMar>
        <w:tblLook w:val="04A0" w:firstRow="1" w:lastRow="0" w:firstColumn="1" w:lastColumn="0" w:noHBand="0" w:noVBand="1"/>
      </w:tblPr>
      <w:tblGrid>
        <w:gridCol w:w="4815"/>
        <w:gridCol w:w="1559"/>
      </w:tblGrid>
      <w:tr w:rsidR="000F4C12" w:rsidRPr="00D54A09" w14:paraId="655C0EC3" w14:textId="77777777" w:rsidTr="000F4C12">
        <w:trPr>
          <w:trHeight w:val="281"/>
          <w:jc w:val="center"/>
        </w:trPr>
        <w:tc>
          <w:tcPr>
            <w:tcW w:w="4815" w:type="dxa"/>
          </w:tcPr>
          <w:p w14:paraId="3A3A6875" w14:textId="77777777" w:rsidR="000F4C12" w:rsidRPr="00D54A09" w:rsidRDefault="000F4C12" w:rsidP="00211FE1">
            <w:pPr>
              <w:spacing w:line="360" w:lineRule="auto"/>
              <w:jc w:val="center"/>
              <w:rPr>
                <w:rFonts w:ascii="Times New Roman" w:hAnsi="Times New Roman" w:cs="Times New Roman"/>
                <w:b/>
                <w:bCs/>
                <w:color w:val="000000" w:themeColor="text1"/>
                <w:sz w:val="22"/>
                <w:szCs w:val="22"/>
              </w:rPr>
            </w:pPr>
            <w:r w:rsidRPr="00D54A09">
              <w:rPr>
                <w:rFonts w:ascii="Times New Roman" w:hAnsi="Times New Roman" w:cs="Times New Roman"/>
                <w:b/>
                <w:bCs/>
                <w:color w:val="000000" w:themeColor="text1"/>
                <w:sz w:val="22"/>
                <w:szCs w:val="22"/>
              </w:rPr>
              <w:t>Variable</w:t>
            </w:r>
          </w:p>
        </w:tc>
        <w:tc>
          <w:tcPr>
            <w:tcW w:w="1559" w:type="dxa"/>
          </w:tcPr>
          <w:p w14:paraId="6DC623E6" w14:textId="77777777" w:rsidR="000F4C12" w:rsidRPr="00D54A09" w:rsidRDefault="000F4C12" w:rsidP="00211FE1">
            <w:pPr>
              <w:spacing w:line="360" w:lineRule="auto"/>
              <w:jc w:val="center"/>
              <w:rPr>
                <w:rFonts w:ascii="Times New Roman" w:hAnsi="Times New Roman" w:cs="Times New Roman"/>
                <w:b/>
                <w:bCs/>
                <w:color w:val="000000" w:themeColor="text1"/>
                <w:sz w:val="22"/>
                <w:szCs w:val="22"/>
              </w:rPr>
            </w:pPr>
            <w:r w:rsidRPr="00D54A09">
              <w:rPr>
                <w:rFonts w:ascii="Times New Roman" w:hAnsi="Times New Roman" w:cs="Times New Roman"/>
                <w:b/>
                <w:bCs/>
                <w:color w:val="000000" w:themeColor="text1"/>
                <w:sz w:val="22"/>
                <w:szCs w:val="22"/>
              </w:rPr>
              <w:t>n (%)</w:t>
            </w:r>
          </w:p>
        </w:tc>
      </w:tr>
      <w:tr w:rsidR="000F4C12" w:rsidRPr="00D54A09" w14:paraId="771DEECE" w14:textId="77777777" w:rsidTr="000F4C12">
        <w:trPr>
          <w:trHeight w:val="293"/>
          <w:jc w:val="center"/>
        </w:trPr>
        <w:tc>
          <w:tcPr>
            <w:tcW w:w="4815" w:type="dxa"/>
          </w:tcPr>
          <w:p w14:paraId="17AF3160" w14:textId="77777777" w:rsidR="000F4C12" w:rsidRPr="00D54A09" w:rsidRDefault="000F4C12" w:rsidP="00211FE1">
            <w:pPr>
              <w:spacing w:line="360" w:lineRule="auto"/>
              <w:rPr>
                <w:rFonts w:ascii="Times New Roman" w:hAnsi="Times New Roman" w:cs="Times New Roman"/>
                <w:b/>
                <w:bCs/>
                <w:color w:val="000000" w:themeColor="text1"/>
                <w:sz w:val="22"/>
                <w:szCs w:val="22"/>
              </w:rPr>
            </w:pPr>
            <w:r w:rsidRPr="00D54A09">
              <w:rPr>
                <w:rFonts w:ascii="Times New Roman" w:hAnsi="Times New Roman" w:cs="Times New Roman"/>
                <w:b/>
                <w:bCs/>
                <w:color w:val="000000" w:themeColor="text1"/>
                <w:sz w:val="22"/>
                <w:szCs w:val="22"/>
              </w:rPr>
              <w:t>Chemotherapy administration (</w:t>
            </w:r>
            <w:r>
              <w:rPr>
                <w:rFonts w:ascii="Times New Roman" w:hAnsi="Times New Roman" w:cs="Times New Roman"/>
                <w:b/>
                <w:bCs/>
                <w:color w:val="000000" w:themeColor="text1"/>
                <w:sz w:val="22"/>
                <w:szCs w:val="22"/>
              </w:rPr>
              <w:t>n</w:t>
            </w:r>
            <w:r w:rsidRPr="00D54A09">
              <w:rPr>
                <w:rFonts w:ascii="Times New Roman" w:hAnsi="Times New Roman" w:cs="Times New Roman"/>
                <w:b/>
                <w:bCs/>
                <w:color w:val="000000" w:themeColor="text1"/>
                <w:sz w:val="22"/>
                <w:szCs w:val="22"/>
              </w:rPr>
              <w:t xml:space="preserve"> = 99)</w:t>
            </w:r>
          </w:p>
        </w:tc>
        <w:tc>
          <w:tcPr>
            <w:tcW w:w="1559" w:type="dxa"/>
          </w:tcPr>
          <w:p w14:paraId="3705DDE2" w14:textId="77777777" w:rsidR="000F4C12" w:rsidRPr="00D54A09" w:rsidRDefault="000F4C12" w:rsidP="00211FE1">
            <w:pPr>
              <w:spacing w:line="360" w:lineRule="auto"/>
              <w:rPr>
                <w:rFonts w:ascii="Times New Roman" w:hAnsi="Times New Roman" w:cs="Times New Roman"/>
                <w:color w:val="000000" w:themeColor="text1"/>
                <w:sz w:val="22"/>
                <w:szCs w:val="22"/>
              </w:rPr>
            </w:pPr>
          </w:p>
        </w:tc>
      </w:tr>
      <w:tr w:rsidR="000F4C12" w:rsidRPr="00D54A09" w14:paraId="0EFEB73E" w14:textId="77777777" w:rsidTr="000F4C12">
        <w:trPr>
          <w:trHeight w:val="281"/>
          <w:jc w:val="center"/>
        </w:trPr>
        <w:tc>
          <w:tcPr>
            <w:tcW w:w="4815" w:type="dxa"/>
          </w:tcPr>
          <w:p w14:paraId="525F4E85" w14:textId="77777777" w:rsidR="000F4C12" w:rsidRPr="00D54A09" w:rsidRDefault="000F4C12" w:rsidP="00211FE1">
            <w:pPr>
              <w:spacing w:line="360" w:lineRule="auto"/>
              <w:ind w:firstLine="284"/>
              <w:rPr>
                <w:rFonts w:ascii="Times New Roman" w:hAnsi="Times New Roman" w:cs="Times New Roman"/>
                <w:color w:val="000000" w:themeColor="text1"/>
                <w:sz w:val="22"/>
                <w:szCs w:val="22"/>
              </w:rPr>
            </w:pPr>
            <w:r w:rsidRPr="00D54A09">
              <w:rPr>
                <w:rFonts w:ascii="Times New Roman" w:hAnsi="Times New Roman" w:cs="Times New Roman"/>
                <w:color w:val="000000" w:themeColor="text1"/>
                <w:sz w:val="22"/>
                <w:szCs w:val="22"/>
              </w:rPr>
              <w:t>Received adjuvant chemotherapy</w:t>
            </w:r>
          </w:p>
        </w:tc>
        <w:tc>
          <w:tcPr>
            <w:tcW w:w="1559" w:type="dxa"/>
          </w:tcPr>
          <w:p w14:paraId="2D541D8F" w14:textId="77777777" w:rsidR="000F4C12" w:rsidRPr="00D54A09" w:rsidRDefault="000F4C12" w:rsidP="00211FE1">
            <w:pPr>
              <w:spacing w:line="360" w:lineRule="auto"/>
              <w:jc w:val="center"/>
              <w:rPr>
                <w:rFonts w:ascii="Times New Roman" w:hAnsi="Times New Roman" w:cs="Times New Roman"/>
                <w:color w:val="000000" w:themeColor="text1"/>
                <w:sz w:val="22"/>
                <w:szCs w:val="22"/>
              </w:rPr>
            </w:pPr>
            <w:r w:rsidRPr="00D54A09">
              <w:rPr>
                <w:rFonts w:ascii="Times New Roman" w:hAnsi="Times New Roman" w:cs="Times New Roman"/>
                <w:color w:val="000000" w:themeColor="text1"/>
                <w:sz w:val="22"/>
                <w:szCs w:val="22"/>
              </w:rPr>
              <w:t>77 (77.8)</w:t>
            </w:r>
          </w:p>
        </w:tc>
      </w:tr>
      <w:tr w:rsidR="000F4C12" w:rsidRPr="00D54A09" w14:paraId="5E1C4A67" w14:textId="77777777" w:rsidTr="000F4C12">
        <w:trPr>
          <w:trHeight w:val="281"/>
          <w:jc w:val="center"/>
        </w:trPr>
        <w:tc>
          <w:tcPr>
            <w:tcW w:w="4815" w:type="dxa"/>
          </w:tcPr>
          <w:p w14:paraId="5CC87327" w14:textId="77777777" w:rsidR="000F4C12" w:rsidRPr="00D54A09" w:rsidRDefault="000F4C12" w:rsidP="00211FE1">
            <w:pPr>
              <w:spacing w:line="360" w:lineRule="auto"/>
              <w:ind w:firstLine="284"/>
              <w:rPr>
                <w:rFonts w:ascii="Times New Roman" w:hAnsi="Times New Roman" w:cs="Times New Roman"/>
                <w:color w:val="000000" w:themeColor="text1"/>
                <w:sz w:val="22"/>
                <w:szCs w:val="22"/>
              </w:rPr>
            </w:pPr>
            <w:r w:rsidRPr="00D54A09">
              <w:rPr>
                <w:rFonts w:ascii="Times New Roman" w:hAnsi="Times New Roman" w:cs="Times New Roman"/>
                <w:color w:val="000000" w:themeColor="text1"/>
                <w:sz w:val="22"/>
                <w:szCs w:val="22"/>
              </w:rPr>
              <w:t>No adjuvant chemotherapy</w:t>
            </w:r>
          </w:p>
        </w:tc>
        <w:tc>
          <w:tcPr>
            <w:tcW w:w="1559" w:type="dxa"/>
          </w:tcPr>
          <w:p w14:paraId="10F690C3" w14:textId="77777777" w:rsidR="000F4C12" w:rsidRPr="00D54A09" w:rsidRDefault="000F4C12" w:rsidP="00211FE1">
            <w:pPr>
              <w:spacing w:line="360" w:lineRule="auto"/>
              <w:jc w:val="center"/>
              <w:rPr>
                <w:rFonts w:ascii="Times New Roman" w:hAnsi="Times New Roman" w:cs="Times New Roman"/>
                <w:color w:val="000000" w:themeColor="text1"/>
                <w:sz w:val="22"/>
                <w:szCs w:val="22"/>
              </w:rPr>
            </w:pPr>
            <w:r w:rsidRPr="00D54A09">
              <w:rPr>
                <w:rFonts w:ascii="Times New Roman" w:hAnsi="Times New Roman" w:cs="Times New Roman"/>
                <w:color w:val="000000" w:themeColor="text1"/>
                <w:sz w:val="22"/>
                <w:szCs w:val="22"/>
              </w:rPr>
              <w:t>22 (22.2)</w:t>
            </w:r>
          </w:p>
        </w:tc>
      </w:tr>
      <w:tr w:rsidR="000F4C12" w:rsidRPr="00D54A09" w14:paraId="23AC78EB" w14:textId="77777777" w:rsidTr="000F4C12">
        <w:trPr>
          <w:trHeight w:val="281"/>
          <w:jc w:val="center"/>
        </w:trPr>
        <w:tc>
          <w:tcPr>
            <w:tcW w:w="6374" w:type="dxa"/>
            <w:gridSpan w:val="2"/>
          </w:tcPr>
          <w:p w14:paraId="7E5F28C8" w14:textId="77777777" w:rsidR="000F4C12" w:rsidRPr="00D54A09" w:rsidRDefault="000F4C12" w:rsidP="00211FE1">
            <w:pPr>
              <w:spacing w:line="360" w:lineRule="auto"/>
              <w:jc w:val="center"/>
              <w:rPr>
                <w:rFonts w:ascii="Times New Roman" w:hAnsi="Times New Roman" w:cs="Times New Roman"/>
                <w:color w:val="000000" w:themeColor="text1"/>
                <w:sz w:val="22"/>
                <w:szCs w:val="22"/>
              </w:rPr>
            </w:pPr>
          </w:p>
        </w:tc>
      </w:tr>
      <w:tr w:rsidR="000F4C12" w:rsidRPr="00D54A09" w14:paraId="6338D44B" w14:textId="77777777" w:rsidTr="000F4C12">
        <w:trPr>
          <w:trHeight w:val="293"/>
          <w:jc w:val="center"/>
        </w:trPr>
        <w:tc>
          <w:tcPr>
            <w:tcW w:w="4815" w:type="dxa"/>
          </w:tcPr>
          <w:p w14:paraId="2AA79761" w14:textId="77777777" w:rsidR="000F4C12" w:rsidRPr="00D54A09" w:rsidRDefault="000F4C12" w:rsidP="00211FE1">
            <w:pPr>
              <w:spacing w:line="360" w:lineRule="auto"/>
              <w:rPr>
                <w:rFonts w:ascii="Times New Roman" w:hAnsi="Times New Roman" w:cs="Times New Roman"/>
                <w:b/>
                <w:bCs/>
                <w:color w:val="000000" w:themeColor="text1"/>
                <w:sz w:val="22"/>
                <w:szCs w:val="22"/>
              </w:rPr>
            </w:pPr>
            <w:r w:rsidRPr="00D54A09">
              <w:rPr>
                <w:rFonts w:ascii="Times New Roman" w:hAnsi="Times New Roman" w:cs="Times New Roman"/>
                <w:b/>
                <w:bCs/>
                <w:color w:val="000000" w:themeColor="text1"/>
                <w:sz w:val="22"/>
                <w:szCs w:val="22"/>
              </w:rPr>
              <w:t>Adjuvant chemotherapy regimen (n = 77)</w:t>
            </w:r>
          </w:p>
        </w:tc>
        <w:tc>
          <w:tcPr>
            <w:tcW w:w="1559" w:type="dxa"/>
          </w:tcPr>
          <w:p w14:paraId="7A672D11" w14:textId="77777777" w:rsidR="000F4C12" w:rsidRPr="00D54A09" w:rsidRDefault="000F4C12" w:rsidP="00211FE1">
            <w:pPr>
              <w:spacing w:line="360" w:lineRule="auto"/>
              <w:jc w:val="center"/>
              <w:rPr>
                <w:rFonts w:ascii="Times New Roman" w:hAnsi="Times New Roman" w:cs="Times New Roman"/>
                <w:color w:val="000000" w:themeColor="text1"/>
                <w:sz w:val="22"/>
                <w:szCs w:val="22"/>
              </w:rPr>
            </w:pPr>
          </w:p>
        </w:tc>
      </w:tr>
      <w:tr w:rsidR="000F4C12" w:rsidRPr="00D54A09" w14:paraId="52BF7A27" w14:textId="77777777" w:rsidTr="000F4C12">
        <w:trPr>
          <w:trHeight w:val="281"/>
          <w:jc w:val="center"/>
        </w:trPr>
        <w:tc>
          <w:tcPr>
            <w:tcW w:w="4815" w:type="dxa"/>
          </w:tcPr>
          <w:p w14:paraId="16352979" w14:textId="77777777" w:rsidR="000F4C12" w:rsidRPr="00D54A09" w:rsidRDefault="000F4C12" w:rsidP="00211FE1">
            <w:pPr>
              <w:spacing w:line="360" w:lineRule="auto"/>
              <w:ind w:firstLine="284"/>
              <w:rPr>
                <w:rFonts w:ascii="Times New Roman" w:hAnsi="Times New Roman" w:cs="Times New Roman"/>
                <w:color w:val="000000" w:themeColor="text1"/>
                <w:sz w:val="22"/>
                <w:szCs w:val="22"/>
              </w:rPr>
            </w:pPr>
            <w:r w:rsidRPr="00D54A09">
              <w:rPr>
                <w:rFonts w:ascii="Times New Roman" w:hAnsi="Times New Roman" w:cs="Times New Roman"/>
                <w:color w:val="000000" w:themeColor="text1"/>
                <w:sz w:val="22"/>
                <w:szCs w:val="22"/>
              </w:rPr>
              <w:t>AC-T category</w:t>
            </w:r>
          </w:p>
        </w:tc>
        <w:tc>
          <w:tcPr>
            <w:tcW w:w="1559" w:type="dxa"/>
          </w:tcPr>
          <w:p w14:paraId="1084D3D6" w14:textId="77777777" w:rsidR="000F4C12" w:rsidRPr="00D54A09" w:rsidRDefault="000F4C12" w:rsidP="00211FE1">
            <w:pPr>
              <w:spacing w:line="360" w:lineRule="auto"/>
              <w:jc w:val="center"/>
              <w:rPr>
                <w:rFonts w:ascii="Times New Roman" w:hAnsi="Times New Roman" w:cs="Times New Roman"/>
                <w:color w:val="000000" w:themeColor="text1"/>
                <w:sz w:val="22"/>
                <w:szCs w:val="22"/>
              </w:rPr>
            </w:pPr>
            <w:r w:rsidRPr="00D54A09">
              <w:rPr>
                <w:rFonts w:ascii="Times New Roman" w:hAnsi="Times New Roman" w:cs="Times New Roman"/>
                <w:color w:val="000000" w:themeColor="text1"/>
                <w:sz w:val="22"/>
                <w:szCs w:val="22"/>
              </w:rPr>
              <w:t>11 (14.3)</w:t>
            </w:r>
          </w:p>
        </w:tc>
      </w:tr>
      <w:tr w:rsidR="000F4C12" w:rsidRPr="00D54A09" w14:paraId="38105E69" w14:textId="77777777" w:rsidTr="000F4C12">
        <w:trPr>
          <w:trHeight w:val="281"/>
          <w:jc w:val="center"/>
        </w:trPr>
        <w:tc>
          <w:tcPr>
            <w:tcW w:w="4815" w:type="dxa"/>
          </w:tcPr>
          <w:p w14:paraId="16BE19F7" w14:textId="77777777" w:rsidR="000F4C12" w:rsidRPr="00D54A09" w:rsidRDefault="000F4C12" w:rsidP="00211FE1">
            <w:pPr>
              <w:spacing w:line="360" w:lineRule="auto"/>
              <w:ind w:firstLine="284"/>
              <w:rPr>
                <w:rFonts w:ascii="Times New Roman" w:hAnsi="Times New Roman" w:cs="Times New Roman"/>
                <w:color w:val="000000" w:themeColor="text1"/>
                <w:sz w:val="22"/>
                <w:szCs w:val="22"/>
              </w:rPr>
            </w:pPr>
            <w:r w:rsidRPr="00D54A09">
              <w:rPr>
                <w:rFonts w:ascii="Times New Roman" w:hAnsi="Times New Roman" w:cs="Times New Roman"/>
                <w:color w:val="000000" w:themeColor="text1"/>
                <w:sz w:val="22"/>
                <w:szCs w:val="22"/>
              </w:rPr>
              <w:t>TC category</w:t>
            </w:r>
          </w:p>
        </w:tc>
        <w:tc>
          <w:tcPr>
            <w:tcW w:w="1559" w:type="dxa"/>
          </w:tcPr>
          <w:p w14:paraId="15F6CC82" w14:textId="77777777" w:rsidR="000F4C12" w:rsidRPr="00D54A09" w:rsidRDefault="000F4C12" w:rsidP="00211FE1">
            <w:pPr>
              <w:spacing w:line="360" w:lineRule="auto"/>
              <w:jc w:val="center"/>
              <w:rPr>
                <w:rFonts w:ascii="Times New Roman" w:hAnsi="Times New Roman" w:cs="Times New Roman"/>
                <w:color w:val="000000" w:themeColor="text1"/>
                <w:sz w:val="22"/>
                <w:szCs w:val="22"/>
              </w:rPr>
            </w:pPr>
            <w:r w:rsidRPr="00D54A09">
              <w:rPr>
                <w:rFonts w:ascii="Times New Roman" w:hAnsi="Times New Roman" w:cs="Times New Roman"/>
                <w:color w:val="000000" w:themeColor="text1"/>
                <w:sz w:val="22"/>
                <w:szCs w:val="22"/>
              </w:rPr>
              <w:t>12 (15.6)</w:t>
            </w:r>
          </w:p>
        </w:tc>
      </w:tr>
      <w:tr w:rsidR="000F4C12" w:rsidRPr="00D54A09" w14:paraId="0E9DB672" w14:textId="77777777" w:rsidTr="000F4C12">
        <w:trPr>
          <w:trHeight w:val="293"/>
          <w:jc w:val="center"/>
        </w:trPr>
        <w:tc>
          <w:tcPr>
            <w:tcW w:w="4815" w:type="dxa"/>
          </w:tcPr>
          <w:p w14:paraId="6702AB0C" w14:textId="77777777" w:rsidR="000F4C12" w:rsidRPr="00D54A09" w:rsidRDefault="000F4C12" w:rsidP="00211FE1">
            <w:pPr>
              <w:spacing w:line="360" w:lineRule="auto"/>
              <w:ind w:firstLine="284"/>
              <w:rPr>
                <w:rFonts w:ascii="Times New Roman" w:hAnsi="Times New Roman" w:cs="Times New Roman"/>
                <w:color w:val="000000" w:themeColor="text1"/>
                <w:sz w:val="22"/>
                <w:szCs w:val="22"/>
              </w:rPr>
            </w:pPr>
            <w:r w:rsidRPr="00D54A09">
              <w:rPr>
                <w:rFonts w:ascii="Times New Roman" w:hAnsi="Times New Roman" w:cs="Times New Roman"/>
                <w:color w:val="000000" w:themeColor="text1"/>
                <w:sz w:val="22"/>
                <w:szCs w:val="22"/>
              </w:rPr>
              <w:t>Taxane-containing category</w:t>
            </w:r>
          </w:p>
        </w:tc>
        <w:tc>
          <w:tcPr>
            <w:tcW w:w="1559" w:type="dxa"/>
          </w:tcPr>
          <w:p w14:paraId="6C68E172" w14:textId="77777777" w:rsidR="000F4C12" w:rsidRPr="00D54A09" w:rsidRDefault="000F4C12" w:rsidP="00211FE1">
            <w:pPr>
              <w:spacing w:line="360" w:lineRule="auto"/>
              <w:jc w:val="center"/>
              <w:rPr>
                <w:rFonts w:ascii="Times New Roman" w:hAnsi="Times New Roman" w:cs="Times New Roman"/>
                <w:color w:val="000000" w:themeColor="text1"/>
                <w:sz w:val="22"/>
                <w:szCs w:val="22"/>
              </w:rPr>
            </w:pPr>
            <w:r w:rsidRPr="00D54A09">
              <w:rPr>
                <w:rFonts w:ascii="Times New Roman" w:hAnsi="Times New Roman" w:cs="Times New Roman"/>
                <w:color w:val="000000" w:themeColor="text1"/>
                <w:sz w:val="22"/>
                <w:szCs w:val="22"/>
              </w:rPr>
              <w:t>5 (6.5)</w:t>
            </w:r>
          </w:p>
        </w:tc>
      </w:tr>
      <w:tr w:rsidR="000F4C12" w:rsidRPr="00D54A09" w14:paraId="02386657" w14:textId="77777777" w:rsidTr="000F4C12">
        <w:trPr>
          <w:trHeight w:val="281"/>
          <w:jc w:val="center"/>
        </w:trPr>
        <w:tc>
          <w:tcPr>
            <w:tcW w:w="4815" w:type="dxa"/>
          </w:tcPr>
          <w:p w14:paraId="536CF9C5" w14:textId="77777777" w:rsidR="000F4C12" w:rsidRPr="00D54A09" w:rsidRDefault="000F4C12" w:rsidP="00211FE1">
            <w:pPr>
              <w:spacing w:line="360" w:lineRule="auto"/>
              <w:ind w:firstLine="284"/>
              <w:rPr>
                <w:rFonts w:ascii="Times New Roman" w:hAnsi="Times New Roman" w:cs="Times New Roman"/>
                <w:color w:val="000000" w:themeColor="text1"/>
                <w:sz w:val="22"/>
                <w:szCs w:val="22"/>
              </w:rPr>
            </w:pPr>
            <w:r w:rsidRPr="00D54A09">
              <w:rPr>
                <w:rFonts w:ascii="Times New Roman" w:hAnsi="Times New Roman" w:cs="Times New Roman"/>
                <w:color w:val="000000" w:themeColor="text1"/>
                <w:sz w:val="22"/>
                <w:szCs w:val="22"/>
              </w:rPr>
              <w:t>5-fluorouracil-containing category</w:t>
            </w:r>
          </w:p>
        </w:tc>
        <w:tc>
          <w:tcPr>
            <w:tcW w:w="1559" w:type="dxa"/>
          </w:tcPr>
          <w:p w14:paraId="16B6E9EA" w14:textId="77777777" w:rsidR="000F4C12" w:rsidRPr="00D54A09" w:rsidRDefault="000F4C12" w:rsidP="00211FE1">
            <w:pPr>
              <w:spacing w:line="360" w:lineRule="auto"/>
              <w:jc w:val="center"/>
              <w:rPr>
                <w:rFonts w:ascii="Times New Roman" w:hAnsi="Times New Roman" w:cs="Times New Roman"/>
                <w:color w:val="000000" w:themeColor="text1"/>
                <w:sz w:val="22"/>
                <w:szCs w:val="22"/>
              </w:rPr>
            </w:pPr>
            <w:r w:rsidRPr="00D54A09">
              <w:rPr>
                <w:rFonts w:ascii="Times New Roman" w:hAnsi="Times New Roman" w:cs="Times New Roman"/>
                <w:color w:val="000000" w:themeColor="text1"/>
                <w:sz w:val="22"/>
                <w:szCs w:val="22"/>
              </w:rPr>
              <w:t>26 (33.8)</w:t>
            </w:r>
          </w:p>
        </w:tc>
      </w:tr>
      <w:tr w:rsidR="000F4C12" w:rsidRPr="00D54A09" w14:paraId="2A5F1983" w14:textId="77777777" w:rsidTr="000F4C12">
        <w:trPr>
          <w:trHeight w:val="281"/>
          <w:jc w:val="center"/>
        </w:trPr>
        <w:tc>
          <w:tcPr>
            <w:tcW w:w="4815" w:type="dxa"/>
          </w:tcPr>
          <w:p w14:paraId="48BAD126" w14:textId="77777777" w:rsidR="000F4C12" w:rsidRPr="00D54A09" w:rsidRDefault="000F4C12" w:rsidP="00211FE1">
            <w:pPr>
              <w:spacing w:line="360" w:lineRule="auto"/>
              <w:ind w:firstLine="284"/>
              <w:rPr>
                <w:rFonts w:ascii="Times New Roman" w:hAnsi="Times New Roman" w:cs="Times New Roman"/>
                <w:color w:val="000000" w:themeColor="text1"/>
                <w:sz w:val="22"/>
                <w:szCs w:val="22"/>
              </w:rPr>
            </w:pPr>
            <w:r w:rsidRPr="00D54A09">
              <w:rPr>
                <w:rFonts w:ascii="Times New Roman" w:hAnsi="Times New Roman" w:cs="Times New Roman"/>
                <w:color w:val="000000" w:themeColor="text1"/>
                <w:sz w:val="22"/>
                <w:szCs w:val="22"/>
              </w:rPr>
              <w:t>Other</w:t>
            </w:r>
          </w:p>
        </w:tc>
        <w:tc>
          <w:tcPr>
            <w:tcW w:w="1559" w:type="dxa"/>
          </w:tcPr>
          <w:p w14:paraId="41F68BD4" w14:textId="77777777" w:rsidR="000F4C12" w:rsidRPr="00D54A09" w:rsidRDefault="000F4C12" w:rsidP="00211FE1">
            <w:pPr>
              <w:spacing w:line="360" w:lineRule="auto"/>
              <w:jc w:val="center"/>
              <w:rPr>
                <w:rFonts w:ascii="Times New Roman" w:hAnsi="Times New Roman" w:cs="Times New Roman"/>
                <w:color w:val="000000" w:themeColor="text1"/>
                <w:sz w:val="22"/>
                <w:szCs w:val="22"/>
              </w:rPr>
            </w:pPr>
            <w:r w:rsidRPr="00D54A09">
              <w:rPr>
                <w:rFonts w:ascii="Times New Roman" w:hAnsi="Times New Roman" w:cs="Times New Roman"/>
                <w:color w:val="000000" w:themeColor="text1"/>
                <w:sz w:val="22"/>
                <w:szCs w:val="22"/>
              </w:rPr>
              <w:t>23 (29.9)</w:t>
            </w:r>
          </w:p>
        </w:tc>
      </w:tr>
    </w:tbl>
    <w:p w14:paraId="1D6273BC" w14:textId="77777777" w:rsidR="000F4C12" w:rsidRDefault="000F4C12" w:rsidP="000F4C12">
      <w:pPr>
        <w:pStyle w:val="isselectedend"/>
        <w:spacing w:before="0" w:beforeAutospacing="0" w:after="0" w:afterAutospacing="0" w:line="360" w:lineRule="auto"/>
        <w:jc w:val="both"/>
        <w:rPr>
          <w:color w:val="000000" w:themeColor="text1"/>
          <w:spacing w:val="2"/>
          <w:sz w:val="20"/>
          <w:szCs w:val="20"/>
        </w:rPr>
      </w:pPr>
      <w:r w:rsidRPr="00AE3240">
        <w:rPr>
          <w:color w:val="000000" w:themeColor="text1"/>
          <w:spacing w:val="2"/>
          <w:sz w:val="20"/>
          <w:szCs w:val="20"/>
        </w:rPr>
        <w:t>Abbreviations: AC-T, anthracycline followed by taxane; CMF, cyclophosphamide, methotrexate, and fluorouracil; FAC, fluorouracil, doxorubicin, and cyclophosphamide; FEC, fluorouracil, epirubicin, and cyclophosphamide; TC, docetaxel and cyclophosphamide.</w:t>
      </w:r>
    </w:p>
    <w:p w14:paraId="64FEAF2A" w14:textId="77777777" w:rsidR="000F4C12" w:rsidRDefault="000F4C12" w:rsidP="000F4C12">
      <w:pPr>
        <w:pStyle w:val="isselectedend"/>
        <w:spacing w:before="0" w:beforeAutospacing="0" w:after="0" w:afterAutospacing="0" w:line="360" w:lineRule="auto"/>
        <w:jc w:val="both"/>
        <w:rPr>
          <w:color w:val="000000" w:themeColor="text1"/>
          <w:spacing w:val="2"/>
          <w:sz w:val="20"/>
          <w:szCs w:val="20"/>
        </w:rPr>
      </w:pPr>
      <w:r w:rsidRPr="00AE3240">
        <w:rPr>
          <w:color w:val="000000" w:themeColor="text1"/>
          <w:spacing w:val="2"/>
          <w:sz w:val="20"/>
          <w:szCs w:val="20"/>
        </w:rPr>
        <w:t>Chemotherapy regimens were classified into mutually exclusive categories according to the constituent anticancer agents recorded in the registry. Sequential anthracycline–taxane and TC regimens were classified first. The remaining regimens were categorized as other taxane-containing regimens without anthracycline, fluorouracil-containing regimens such as CMF, FAC, or FEC, or other regimens not included in the preceding categories.</w:t>
      </w:r>
    </w:p>
    <w:p w14:paraId="10F4118D" w14:textId="77777777" w:rsidR="000A54A4" w:rsidRPr="000F4C12" w:rsidRDefault="000A54A4" w:rsidP="000F4C12"/>
    <w:sectPr w:rsidR="000A54A4" w:rsidRPr="000F4C1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HCR Dotum LVT">
    <w:panose1 w:val="020B0604000101010101"/>
    <w:charset w:val="80"/>
    <w:family w:val="swiss"/>
    <w:pitch w:val="variable"/>
    <w:sig w:usb0="F70006FF" w:usb1="19DFFFFF" w:usb2="001BFDD7" w:usb3="00000000" w:csb0="001F007F" w:csb1="00000000"/>
  </w:font>
  <w:font w:name="Aptos Display">
    <w:panose1 w:val="020B0004020202020204"/>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4"/>
  <w:doNotDisplayPageBoundari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C14"/>
    <w:rsid w:val="00021D04"/>
    <w:rsid w:val="00042BB4"/>
    <w:rsid w:val="00052B41"/>
    <w:rsid w:val="00055A9A"/>
    <w:rsid w:val="000806DB"/>
    <w:rsid w:val="00086EB5"/>
    <w:rsid w:val="0008759E"/>
    <w:rsid w:val="000A18CF"/>
    <w:rsid w:val="000A54A4"/>
    <w:rsid w:val="000B2057"/>
    <w:rsid w:val="000B4430"/>
    <w:rsid w:val="000B46CF"/>
    <w:rsid w:val="000B5E83"/>
    <w:rsid w:val="000B7B02"/>
    <w:rsid w:val="000C0711"/>
    <w:rsid w:val="000C2234"/>
    <w:rsid w:val="000C720A"/>
    <w:rsid w:val="000D3CF3"/>
    <w:rsid w:val="000D5670"/>
    <w:rsid w:val="000E6D32"/>
    <w:rsid w:val="000F1C73"/>
    <w:rsid w:val="000F4C12"/>
    <w:rsid w:val="00101359"/>
    <w:rsid w:val="00103789"/>
    <w:rsid w:val="001077AD"/>
    <w:rsid w:val="0011461B"/>
    <w:rsid w:val="00114C4F"/>
    <w:rsid w:val="00115B07"/>
    <w:rsid w:val="00127C59"/>
    <w:rsid w:val="00134F18"/>
    <w:rsid w:val="00153E1D"/>
    <w:rsid w:val="0016493E"/>
    <w:rsid w:val="001708C4"/>
    <w:rsid w:val="00172858"/>
    <w:rsid w:val="00173F69"/>
    <w:rsid w:val="001840DA"/>
    <w:rsid w:val="00187344"/>
    <w:rsid w:val="00191264"/>
    <w:rsid w:val="001A12F4"/>
    <w:rsid w:val="001B25F0"/>
    <w:rsid w:val="001B2856"/>
    <w:rsid w:val="001C0379"/>
    <w:rsid w:val="001C3789"/>
    <w:rsid w:val="001D0497"/>
    <w:rsid w:val="001D138C"/>
    <w:rsid w:val="001E02E8"/>
    <w:rsid w:val="001E0AF3"/>
    <w:rsid w:val="001F055A"/>
    <w:rsid w:val="00203311"/>
    <w:rsid w:val="00204C5D"/>
    <w:rsid w:val="00211B5E"/>
    <w:rsid w:val="002210F6"/>
    <w:rsid w:val="00223A7E"/>
    <w:rsid w:val="002276B2"/>
    <w:rsid w:val="00235A04"/>
    <w:rsid w:val="00255565"/>
    <w:rsid w:val="0025586B"/>
    <w:rsid w:val="002610EA"/>
    <w:rsid w:val="00275FF0"/>
    <w:rsid w:val="00294E65"/>
    <w:rsid w:val="002B2AAE"/>
    <w:rsid w:val="002B2DB5"/>
    <w:rsid w:val="002C552F"/>
    <w:rsid w:val="002C5851"/>
    <w:rsid w:val="002D56C4"/>
    <w:rsid w:val="002E2AFD"/>
    <w:rsid w:val="002E6997"/>
    <w:rsid w:val="002E7F68"/>
    <w:rsid w:val="002F3EC1"/>
    <w:rsid w:val="00301BB5"/>
    <w:rsid w:val="00314EB4"/>
    <w:rsid w:val="00315215"/>
    <w:rsid w:val="00315AC8"/>
    <w:rsid w:val="0033159B"/>
    <w:rsid w:val="003352AA"/>
    <w:rsid w:val="00350D24"/>
    <w:rsid w:val="00351810"/>
    <w:rsid w:val="003645B2"/>
    <w:rsid w:val="00375C51"/>
    <w:rsid w:val="00377047"/>
    <w:rsid w:val="00382302"/>
    <w:rsid w:val="00384FDA"/>
    <w:rsid w:val="003850B1"/>
    <w:rsid w:val="0039199B"/>
    <w:rsid w:val="00393DF5"/>
    <w:rsid w:val="003A125E"/>
    <w:rsid w:val="003A21DE"/>
    <w:rsid w:val="003A3BF4"/>
    <w:rsid w:val="003A7697"/>
    <w:rsid w:val="003B6878"/>
    <w:rsid w:val="003C3500"/>
    <w:rsid w:val="003C3D19"/>
    <w:rsid w:val="003E00C6"/>
    <w:rsid w:val="003E1D19"/>
    <w:rsid w:val="003E305A"/>
    <w:rsid w:val="003E6D06"/>
    <w:rsid w:val="003E716D"/>
    <w:rsid w:val="003F2032"/>
    <w:rsid w:val="004102EF"/>
    <w:rsid w:val="00417A82"/>
    <w:rsid w:val="00420E41"/>
    <w:rsid w:val="004376A1"/>
    <w:rsid w:val="0045012D"/>
    <w:rsid w:val="00453F56"/>
    <w:rsid w:val="004563B6"/>
    <w:rsid w:val="00463A84"/>
    <w:rsid w:val="004764A6"/>
    <w:rsid w:val="00485743"/>
    <w:rsid w:val="004A7686"/>
    <w:rsid w:val="004B0568"/>
    <w:rsid w:val="004B747A"/>
    <w:rsid w:val="004D6299"/>
    <w:rsid w:val="004E247A"/>
    <w:rsid w:val="00500FB8"/>
    <w:rsid w:val="00503721"/>
    <w:rsid w:val="005056A7"/>
    <w:rsid w:val="00511817"/>
    <w:rsid w:val="00511904"/>
    <w:rsid w:val="00527682"/>
    <w:rsid w:val="00527B78"/>
    <w:rsid w:val="00535A3E"/>
    <w:rsid w:val="00535EB4"/>
    <w:rsid w:val="0054294F"/>
    <w:rsid w:val="0054510D"/>
    <w:rsid w:val="00552F7C"/>
    <w:rsid w:val="00585FCB"/>
    <w:rsid w:val="005900D7"/>
    <w:rsid w:val="005913F9"/>
    <w:rsid w:val="005A4DB5"/>
    <w:rsid w:val="005B2E3E"/>
    <w:rsid w:val="005C0A75"/>
    <w:rsid w:val="005C69DE"/>
    <w:rsid w:val="005D072E"/>
    <w:rsid w:val="005D1384"/>
    <w:rsid w:val="005F0996"/>
    <w:rsid w:val="005F4EB6"/>
    <w:rsid w:val="005F53F3"/>
    <w:rsid w:val="00617F8C"/>
    <w:rsid w:val="00630FC4"/>
    <w:rsid w:val="00633036"/>
    <w:rsid w:val="006332AD"/>
    <w:rsid w:val="00637B22"/>
    <w:rsid w:val="00640D1F"/>
    <w:rsid w:val="00650813"/>
    <w:rsid w:val="00660DA9"/>
    <w:rsid w:val="0067333C"/>
    <w:rsid w:val="00673B2D"/>
    <w:rsid w:val="00685C4E"/>
    <w:rsid w:val="0068780A"/>
    <w:rsid w:val="006922DC"/>
    <w:rsid w:val="006A13F4"/>
    <w:rsid w:val="006A2F01"/>
    <w:rsid w:val="006A5841"/>
    <w:rsid w:val="006B244E"/>
    <w:rsid w:val="006C2A4B"/>
    <w:rsid w:val="006D2EF0"/>
    <w:rsid w:val="006F6095"/>
    <w:rsid w:val="007029A8"/>
    <w:rsid w:val="00702B89"/>
    <w:rsid w:val="00714A26"/>
    <w:rsid w:val="00734684"/>
    <w:rsid w:val="00735306"/>
    <w:rsid w:val="0075081B"/>
    <w:rsid w:val="00752C3E"/>
    <w:rsid w:val="00752EA4"/>
    <w:rsid w:val="007938DE"/>
    <w:rsid w:val="00794CE0"/>
    <w:rsid w:val="007A668C"/>
    <w:rsid w:val="007C507B"/>
    <w:rsid w:val="007E0917"/>
    <w:rsid w:val="007F2E0D"/>
    <w:rsid w:val="007F49DC"/>
    <w:rsid w:val="00811929"/>
    <w:rsid w:val="008124A7"/>
    <w:rsid w:val="0081699F"/>
    <w:rsid w:val="008216C3"/>
    <w:rsid w:val="00832827"/>
    <w:rsid w:val="00834B8F"/>
    <w:rsid w:val="00834C0F"/>
    <w:rsid w:val="00840D55"/>
    <w:rsid w:val="008443DE"/>
    <w:rsid w:val="0086085C"/>
    <w:rsid w:val="00865928"/>
    <w:rsid w:val="00871041"/>
    <w:rsid w:val="0087372C"/>
    <w:rsid w:val="008772EC"/>
    <w:rsid w:val="008B4C2D"/>
    <w:rsid w:val="008C4E64"/>
    <w:rsid w:val="008C69F5"/>
    <w:rsid w:val="008D2142"/>
    <w:rsid w:val="008D2F35"/>
    <w:rsid w:val="008D346B"/>
    <w:rsid w:val="0092216C"/>
    <w:rsid w:val="0092438C"/>
    <w:rsid w:val="00930D54"/>
    <w:rsid w:val="009431C9"/>
    <w:rsid w:val="00950BD8"/>
    <w:rsid w:val="00965C14"/>
    <w:rsid w:val="00981683"/>
    <w:rsid w:val="00985134"/>
    <w:rsid w:val="009A2C85"/>
    <w:rsid w:val="009A3513"/>
    <w:rsid w:val="009A380C"/>
    <w:rsid w:val="009C0E60"/>
    <w:rsid w:val="009C4DBA"/>
    <w:rsid w:val="009C661A"/>
    <w:rsid w:val="009D2528"/>
    <w:rsid w:val="009D6252"/>
    <w:rsid w:val="009D6DCD"/>
    <w:rsid w:val="009E3C9C"/>
    <w:rsid w:val="009F45F9"/>
    <w:rsid w:val="00A128D3"/>
    <w:rsid w:val="00A21905"/>
    <w:rsid w:val="00A22189"/>
    <w:rsid w:val="00A306C5"/>
    <w:rsid w:val="00A311A4"/>
    <w:rsid w:val="00A42195"/>
    <w:rsid w:val="00A502EC"/>
    <w:rsid w:val="00A63573"/>
    <w:rsid w:val="00A67BF6"/>
    <w:rsid w:val="00A709F8"/>
    <w:rsid w:val="00A73AF9"/>
    <w:rsid w:val="00A76229"/>
    <w:rsid w:val="00A83C4E"/>
    <w:rsid w:val="00A84E44"/>
    <w:rsid w:val="00A85D09"/>
    <w:rsid w:val="00A91AB9"/>
    <w:rsid w:val="00AA5FF0"/>
    <w:rsid w:val="00AA6643"/>
    <w:rsid w:val="00AC2CE3"/>
    <w:rsid w:val="00AC5BFA"/>
    <w:rsid w:val="00AD24ED"/>
    <w:rsid w:val="00AD29BD"/>
    <w:rsid w:val="00AF2213"/>
    <w:rsid w:val="00AF6287"/>
    <w:rsid w:val="00B03482"/>
    <w:rsid w:val="00B10416"/>
    <w:rsid w:val="00B22BEC"/>
    <w:rsid w:val="00B56D42"/>
    <w:rsid w:val="00B61DE0"/>
    <w:rsid w:val="00B7166F"/>
    <w:rsid w:val="00B71F2B"/>
    <w:rsid w:val="00B72329"/>
    <w:rsid w:val="00B724D8"/>
    <w:rsid w:val="00B73295"/>
    <w:rsid w:val="00B74009"/>
    <w:rsid w:val="00B7764B"/>
    <w:rsid w:val="00B928DB"/>
    <w:rsid w:val="00BA38B7"/>
    <w:rsid w:val="00BA3DB6"/>
    <w:rsid w:val="00BB1210"/>
    <w:rsid w:val="00BB22FA"/>
    <w:rsid w:val="00BC4973"/>
    <w:rsid w:val="00BC6639"/>
    <w:rsid w:val="00BE1BE0"/>
    <w:rsid w:val="00BF2C32"/>
    <w:rsid w:val="00BF700A"/>
    <w:rsid w:val="00C01C97"/>
    <w:rsid w:val="00C04AEF"/>
    <w:rsid w:val="00C14561"/>
    <w:rsid w:val="00C23797"/>
    <w:rsid w:val="00C33654"/>
    <w:rsid w:val="00C34F8D"/>
    <w:rsid w:val="00C37F26"/>
    <w:rsid w:val="00C572E9"/>
    <w:rsid w:val="00C70E2E"/>
    <w:rsid w:val="00C758F9"/>
    <w:rsid w:val="00C77A2E"/>
    <w:rsid w:val="00C8519F"/>
    <w:rsid w:val="00C956CC"/>
    <w:rsid w:val="00C96F75"/>
    <w:rsid w:val="00CA01E5"/>
    <w:rsid w:val="00CA3762"/>
    <w:rsid w:val="00CB0586"/>
    <w:rsid w:val="00CB28FB"/>
    <w:rsid w:val="00CB77D5"/>
    <w:rsid w:val="00CC4E77"/>
    <w:rsid w:val="00CD1A86"/>
    <w:rsid w:val="00CD29FA"/>
    <w:rsid w:val="00CF4BFE"/>
    <w:rsid w:val="00CF7E50"/>
    <w:rsid w:val="00D01803"/>
    <w:rsid w:val="00D0325A"/>
    <w:rsid w:val="00D0407D"/>
    <w:rsid w:val="00D32070"/>
    <w:rsid w:val="00D43381"/>
    <w:rsid w:val="00D54430"/>
    <w:rsid w:val="00D550D5"/>
    <w:rsid w:val="00D66783"/>
    <w:rsid w:val="00D762E9"/>
    <w:rsid w:val="00D76867"/>
    <w:rsid w:val="00D84B4A"/>
    <w:rsid w:val="00D8638C"/>
    <w:rsid w:val="00D94E61"/>
    <w:rsid w:val="00DA02E6"/>
    <w:rsid w:val="00DA23C4"/>
    <w:rsid w:val="00DB0810"/>
    <w:rsid w:val="00DB76D2"/>
    <w:rsid w:val="00DC32F9"/>
    <w:rsid w:val="00DE6766"/>
    <w:rsid w:val="00E02C6E"/>
    <w:rsid w:val="00E04EE4"/>
    <w:rsid w:val="00E15153"/>
    <w:rsid w:val="00E25888"/>
    <w:rsid w:val="00E31CA9"/>
    <w:rsid w:val="00E4176C"/>
    <w:rsid w:val="00E43DFB"/>
    <w:rsid w:val="00E527AA"/>
    <w:rsid w:val="00E5304B"/>
    <w:rsid w:val="00E622BF"/>
    <w:rsid w:val="00E648BD"/>
    <w:rsid w:val="00E71710"/>
    <w:rsid w:val="00E864EC"/>
    <w:rsid w:val="00E9651C"/>
    <w:rsid w:val="00E9679D"/>
    <w:rsid w:val="00E96B9D"/>
    <w:rsid w:val="00EA570F"/>
    <w:rsid w:val="00EB07AA"/>
    <w:rsid w:val="00EC146D"/>
    <w:rsid w:val="00EC3239"/>
    <w:rsid w:val="00EE1F83"/>
    <w:rsid w:val="00EF1B1D"/>
    <w:rsid w:val="00F00613"/>
    <w:rsid w:val="00F059C0"/>
    <w:rsid w:val="00F11A85"/>
    <w:rsid w:val="00F15095"/>
    <w:rsid w:val="00F15A96"/>
    <w:rsid w:val="00F3097D"/>
    <w:rsid w:val="00F337D8"/>
    <w:rsid w:val="00F60AA3"/>
    <w:rsid w:val="00F61A42"/>
    <w:rsid w:val="00F66102"/>
    <w:rsid w:val="00F66BD4"/>
    <w:rsid w:val="00F73161"/>
    <w:rsid w:val="00F7799E"/>
    <w:rsid w:val="00F85B4D"/>
    <w:rsid w:val="00FB3417"/>
    <w:rsid w:val="00FC0426"/>
    <w:rsid w:val="00FE30CB"/>
    <w:rsid w:val="00FE525D"/>
    <w:rsid w:val="00FE795D"/>
    <w:rsid w:val="00FF3D07"/>
  </w:rsids>
  <m:mathPr>
    <m:mathFont m:val="Cambria Math"/>
    <m:brkBin m:val="before"/>
    <m:brkBinSub m:val="--"/>
    <m:smallFrac m:val="0"/>
    <m:dispDef/>
    <m:lMargin m:val="0"/>
    <m:rMargin m:val="0"/>
    <m:defJc m:val="centerGroup"/>
    <m:wrapIndent m:val="1440"/>
    <m:intLim m:val="subSup"/>
    <m:naryLim m:val="undOvr"/>
  </m:mathPr>
  <w:themeFontLang w:val="en-KR" w:eastAsia="ko-KR"/>
  <w:clrSchemeMapping w:bg1="light1" w:t1="dark1" w:bg2="light2" w:t2="dark2" w:accent1="accent1" w:accent2="accent2" w:accent3="accent3" w:accent4="accent4" w:accent5="accent5" w:accent6="accent6" w:hyperlink="hyperlink" w:followedHyperlink="followedHyperlink"/>
  <w:decimalSymbol w:val="."/>
  <w:listSeparator w:val=","/>
  <w14:docId w14:val="6E467872"/>
  <w15:chartTrackingRefBased/>
  <w15:docId w15:val="{5893036C-F11C-6F40-9E4E-18ABCD6437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HCR Dotum LVT" w:eastAsia="HCR Dotum LVT" w:hAnsi="HCR Dotum LVT" w:cs="HCR Dotum LVT"/>
        <w:kern w:val="2"/>
        <w:lang w:val="en-KR"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4C12"/>
  </w:style>
  <w:style w:type="paragraph" w:styleId="Heading1">
    <w:name w:val="heading 1"/>
    <w:basedOn w:val="Normal"/>
    <w:next w:val="Normal"/>
    <w:link w:val="Heading1Char"/>
    <w:uiPriority w:val="9"/>
    <w:qFormat/>
    <w:rsid w:val="00965C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65C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65C1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65C1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65C1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65C14"/>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65C14"/>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65C14"/>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65C14"/>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65C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65C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65C1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65C1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65C1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65C1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65C1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65C1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65C1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65C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65C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65C14"/>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65C1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65C14"/>
    <w:pPr>
      <w:spacing w:before="160"/>
      <w:jc w:val="center"/>
    </w:pPr>
    <w:rPr>
      <w:i/>
      <w:iCs/>
      <w:color w:val="404040" w:themeColor="text1" w:themeTint="BF"/>
    </w:rPr>
  </w:style>
  <w:style w:type="character" w:customStyle="1" w:styleId="QuoteChar">
    <w:name w:val="Quote Char"/>
    <w:basedOn w:val="DefaultParagraphFont"/>
    <w:link w:val="Quote"/>
    <w:uiPriority w:val="29"/>
    <w:rsid w:val="00965C14"/>
    <w:rPr>
      <w:i/>
      <w:iCs/>
      <w:color w:val="404040" w:themeColor="text1" w:themeTint="BF"/>
    </w:rPr>
  </w:style>
  <w:style w:type="paragraph" w:styleId="ListParagraph">
    <w:name w:val="List Paragraph"/>
    <w:basedOn w:val="Normal"/>
    <w:uiPriority w:val="34"/>
    <w:qFormat/>
    <w:rsid w:val="00965C14"/>
    <w:pPr>
      <w:ind w:left="720"/>
      <w:contextualSpacing/>
    </w:pPr>
  </w:style>
  <w:style w:type="character" w:styleId="IntenseEmphasis">
    <w:name w:val="Intense Emphasis"/>
    <w:basedOn w:val="DefaultParagraphFont"/>
    <w:uiPriority w:val="21"/>
    <w:qFormat/>
    <w:rsid w:val="00965C14"/>
    <w:rPr>
      <w:i/>
      <w:iCs/>
      <w:color w:val="0F4761" w:themeColor="accent1" w:themeShade="BF"/>
    </w:rPr>
  </w:style>
  <w:style w:type="paragraph" w:styleId="IntenseQuote">
    <w:name w:val="Intense Quote"/>
    <w:basedOn w:val="Normal"/>
    <w:next w:val="Normal"/>
    <w:link w:val="IntenseQuoteChar"/>
    <w:uiPriority w:val="30"/>
    <w:qFormat/>
    <w:rsid w:val="00965C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65C14"/>
    <w:rPr>
      <w:i/>
      <w:iCs/>
      <w:color w:val="0F4761" w:themeColor="accent1" w:themeShade="BF"/>
    </w:rPr>
  </w:style>
  <w:style w:type="character" w:styleId="IntenseReference">
    <w:name w:val="Intense Reference"/>
    <w:basedOn w:val="DefaultParagraphFont"/>
    <w:uiPriority w:val="32"/>
    <w:qFormat/>
    <w:rsid w:val="00965C14"/>
    <w:rPr>
      <w:b/>
      <w:bCs/>
      <w:smallCaps/>
      <w:color w:val="0F4761" w:themeColor="accent1" w:themeShade="BF"/>
      <w:spacing w:val="5"/>
    </w:rPr>
  </w:style>
  <w:style w:type="paragraph" w:customStyle="1" w:styleId="u-mb-16">
    <w:name w:val="u-mb-16"/>
    <w:basedOn w:val="Normal"/>
    <w:rsid w:val="00965C1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39"/>
    <w:rsid w:val="00965C14"/>
    <w:pPr>
      <w:spacing w:after="0" w:line="240" w:lineRule="auto"/>
    </w:pPr>
    <w:rPr>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0F4C1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170</Words>
  <Characters>970</Characters>
  <Application>Microsoft Office Word</Application>
  <DocSecurity>0</DocSecurity>
  <Lines>8</Lines>
  <Paragraphs>2</Paragraphs>
  <ScaleCrop>false</ScaleCrop>
  <Company/>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 Jung Lee</dc:creator>
  <cp:keywords/>
  <dc:description/>
  <cp:lastModifiedBy> </cp:lastModifiedBy>
  <cp:revision>4</cp:revision>
  <dcterms:created xsi:type="dcterms:W3CDTF">2026-07-15T00:49:00Z</dcterms:created>
  <dcterms:modified xsi:type="dcterms:W3CDTF">2026-07-21T12:22:00Z</dcterms:modified>
</cp:coreProperties>
</file>