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480" w:after="0"/>
        <w:rPr>
          <w:rFonts w:ascii="Times New Roman" w:hAnsi="Times New Roman" w:cs="Times New Roman"/>
          <w:color w:themeColor="text1" w:val="000000"/>
          <w:sz w:val="20"/>
          <w:szCs w:val="20"/>
        </w:rPr>
      </w:pPr>
      <w:bookmarkStart w:id="0" w:name="Xa006cba1ee8131bede95b79f31e89dbbe04b1de"/>
      <w:r>
        <w:rPr>
          <w:rFonts w:cs="Times New Roman" w:ascii="Times New Roman" w:hAnsi="Times New Roman"/>
          <w:color w:themeColor="text1" w:val="000000"/>
          <w:sz w:val="24"/>
          <w:szCs w:val="24"/>
        </w:rPr>
        <w:t>Online Resource 1. TRIPOD Checklist for Prediction Model Development and Validation</w:t>
      </w:r>
    </w:p>
    <w:p>
      <w:pPr>
        <w:pStyle w:val="FirstParagraph"/>
        <w:rPr>
          <w:rFonts w:ascii="Times New Roman" w:hAnsi="Times New Roman" w:cs="Times New Roman"/>
          <w:sz w:val="20"/>
          <w:szCs w:val="20"/>
        </w:rPr>
      </w:pPr>
      <w:r>
        <w:rPr>
          <w:rFonts w:cs="Times New Roman" w:ascii="Times New Roman" w:hAnsi="Times New Roman"/>
          <w:i/>
          <w:iCs/>
          <w:sz w:val="20"/>
          <w:szCs w:val="20"/>
        </w:rPr>
        <w:t>A multiparametric nomogram to reduce unnecessary EBUS-TBNA in suspected lung cancer: development and internal validation in an anthracosis-prevalent cohort</w:t>
      </w:r>
    </w:p>
    <w:p>
      <w:pPr>
        <w:pStyle w:val="BodyText"/>
        <w:rPr>
          <w:rFonts w:ascii="Times New Roman" w:hAnsi="Times New Roman" w:cs="Times New Roman"/>
          <w:sz w:val="20"/>
          <w:szCs w:val="20"/>
        </w:rPr>
      </w:pPr>
      <w:r>
        <w:rPr>
          <w:rFonts w:cs="Times New Roman" w:ascii="Times New Roman" w:hAnsi="Times New Roman"/>
          <w:b/>
          <w:bCs/>
          <w:sz w:val="20"/>
          <w:szCs w:val="20"/>
        </w:rPr>
        <w:t>Reference:</w:t>
      </w:r>
      <w:r>
        <w:rPr>
          <w:rFonts w:cs="Times New Roman" w:ascii="Times New Roman" w:hAnsi="Times New Roman"/>
          <w:sz w:val="20"/>
          <w:szCs w:val="20"/>
        </w:rPr>
        <w:t xml:space="preserve"> Collins GS, Reitsma JB, Altman DG, Moons KGM. Transparent reporting of a multivariable prediction model for individual prognosis or diagnosis (TRIPOD): the TRIPOD statement. </w:t>
      </w:r>
      <w:r>
        <w:rPr>
          <w:rFonts w:cs="Times New Roman" w:ascii="Times New Roman" w:hAnsi="Times New Roman"/>
          <w:i/>
          <w:iCs/>
          <w:sz w:val="20"/>
          <w:szCs w:val="20"/>
        </w:rPr>
        <w:t>BMJ</w:t>
      </w:r>
      <w:r>
        <w:rPr>
          <w:rFonts w:cs="Times New Roman" w:ascii="Times New Roman" w:hAnsi="Times New Roman"/>
          <w:sz w:val="20"/>
          <w:szCs w:val="20"/>
        </w:rPr>
        <w:t xml:space="preserve"> 2015;350:g7594. doi:10.1136/bmj.g7594.</w:t>
      </w:r>
    </w:p>
    <w:p>
      <w:pPr>
        <w:pStyle w:val="BodyText"/>
        <w:rPr>
          <w:rFonts w:ascii="Times New Roman" w:hAnsi="Times New Roman" w:cs="Times New Roman"/>
          <w:sz w:val="20"/>
          <w:szCs w:val="20"/>
        </w:rPr>
      </w:pPr>
      <w:r>
        <w:rPr>
          <w:rFonts w:cs="Times New Roman" w:ascii="Times New Roman" w:hAnsi="Times New Roman"/>
          <w:b/>
          <w:bCs/>
          <w:sz w:val="20"/>
          <w:szCs w:val="20"/>
        </w:rPr>
        <w:t>Study type:</w:t>
      </w:r>
      <w:r>
        <w:rPr>
          <w:rFonts w:cs="Times New Roman" w:ascii="Times New Roman" w:hAnsi="Times New Roman"/>
          <w:sz w:val="20"/>
          <w:szCs w:val="20"/>
        </w:rPr>
        <w:t xml:space="preserve"> Development and internal validation of a multivariable prediction model (TRIPOD type 1b: development with bootstrap internal validation).</w:t>
      </w:r>
    </w:p>
    <w:p>
      <w:pPr>
        <w:pStyle w:val="BodyText"/>
        <w:rPr>
          <w:rFonts w:ascii="Times New Roman" w:hAnsi="Times New Roman" w:cs="Times New Roman"/>
          <w:sz w:val="20"/>
          <w:szCs w:val="20"/>
        </w:rPr>
      </w:pPr>
      <w:r>
        <w:rPr>
          <w:rFonts w:cs="Times New Roman" w:ascii="Times New Roman" w:hAnsi="Times New Roman"/>
          <w:b/>
          <w:bCs/>
          <w:sz w:val="20"/>
          <w:szCs w:val="20"/>
        </w:rPr>
        <w:t>Note:</w:t>
      </w:r>
      <w:r>
        <w:rPr>
          <w:rFonts w:cs="Times New Roman" w:ascii="Times New Roman" w:hAnsi="Times New Roman"/>
          <w:sz w:val="20"/>
          <w:szCs w:val="20"/>
        </w:rPr>
        <w:t xml:space="preserve"> Items marked with “D” are required for development studies and items marked with “V” for validation studies. As this is a development study with internal (bootstrap) validation, items relevant to model development are addressed throughout; items specifically requiring an external validation cohort are noted as not applicable (NA).</w:t>
      </w:r>
    </w:p>
    <w:p>
      <w:pPr>
        <w:pStyle w:val="Normal"/>
        <w:rPr>
          <w:rFonts w:ascii="Times New Roman" w:hAnsi="Times New Roman" w:cs="Times New Roman"/>
          <w:sz w:val="20"/>
          <w:szCs w:val="20"/>
        </w:rPr>
      </w:pPr>
      <w:r>
        <w:rPr/>
        <mc:AlternateContent>
          <mc:Choice Requires="wps">
            <w:drawing>
              <wp:inline distT="0" distB="0" distL="0" distR="0">
                <wp:extent cx="5943600" cy="19050"/>
                <wp:effectExtent l="0" t="0" r="0" b="0"/>
                <wp:docPr id="1" name=""/>
                <a:graphic xmlns:a="http://schemas.openxmlformats.org/drawingml/2006/main">
                  <a:graphicData uri="http://schemas.microsoft.com/office/word/2010/wordprocessingShape">
                    <wps:wsp>
                      <wps:cNvSpPr/>
                      <wps:nvSpPr>
                        <wps:cNvPr id="2" name=""/>
                        <wps:cNvSpPr/>
                      </wps:nvSpPr>
                      <wps:spPr>
                        <a:xfrm>
                          <a:off x="0" y="0"/>
                          <a:ext cx="5943600" cy="19080"/>
                        </a:xfrm>
                        <a:prstGeom prst="rect">
                          <a:avLst/>
                        </a:prstGeom>
                        <a:solidFill>
                          <a:srgbClr val="ffffff"/>
                        </a:solidFill>
                        <a:ln w="0">
                          <a:solidFill>
                            <a:srgbClr val="000000"/>
                          </a:solidFill>
                        </a:ln>
                      </wps:spPr>
                      <wps:bodyPr/>
                    </wps:wsp>
                  </a:graphicData>
                </a:graphic>
                <wp14:sizeRelH relativeFrom="page">
                  <wp14:pctWidth>100000</wp14:pctWidth>
                </wp14:sizeRelH>
              </wp:inline>
            </w:drawing>
          </mc:Choice>
          <mc:Fallback>
            <w:pict>
              <v:rect id="shape_0" fillcolor="white" stroked="t" o:allowincell="f" style="position:absolute;margin-left:0pt;margin-top:-1.55pt;width:467.95pt;height:1.45pt;mso-wrap-style:none;v-text-anchor:middle;mso-position-horizontal:center;mso-position-vertical:top">
                <v:fill o:detectmouseclick="t" type="solid" color2="black"/>
                <v:stroke color="black" joinstyle="round" endcap="flat"/>
                <w10:wrap type="topAndBottom"/>
              </v:rect>
            </w:pict>
          </mc:Fallback>
        </mc:AlternateContent>
      </w:r>
    </w:p>
    <w:tbl>
      <w:tblPr>
        <w:tblStyle w:val="Table"/>
        <w:tblW w:w="5000" w:type="pct"/>
        <w:jc w:val="left"/>
        <w:tblInd w:w="0" w:type="dxa"/>
        <w:tblLayout w:type="fixed"/>
        <w:tblCellMar>
          <w:top w:w="0" w:type="dxa"/>
          <w:left w:w="108" w:type="dxa"/>
          <w:bottom w:w="0" w:type="dxa"/>
          <w:right w:w="108" w:type="dxa"/>
        </w:tblCellMar>
        <w:tblLook w:val="0020" w:noHBand="0" w:noVBand="0" w:firstColumn="0" w:lastRow="0" w:lastColumn="0" w:firstRow="1"/>
      </w:tblPr>
      <w:tblGrid>
        <w:gridCol w:w="1449"/>
        <w:gridCol w:w="569"/>
        <w:gridCol w:w="2387"/>
        <w:gridCol w:w="4954"/>
      </w:tblGrid>
      <w:tr>
        <w:trPr>
          <w:tblHeader w:val="true"/>
          <w:cnfStyle w:val="100000000000" w:firstRow="1" w:lastRow="0" w:firstColumn="0" w:lastColumn="0" w:oddVBand="0" w:evenVBand="0" w:oddHBand="0" w:evenHBand="0" w:firstRowFirstColumn="0" w:firstRowLastColumn="0" w:lastRowFirstColumn="0" w:lastRowLastColumn="0"/>
        </w:trPr>
        <w:tc>
          <w:tcPr>
            <w:tcW w:w="1449" w:type="dxa"/>
            <w:tcBorders>
              <w:bottom w:val="single" w:sz="6" w:space="0" w:color="000000"/>
            </w:tcBorders>
            <w:vAlign w:val="bottom"/>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Section / Topic</w:t>
            </w:r>
          </w:p>
        </w:tc>
        <w:tc>
          <w:tcPr>
            <w:tcW w:w="569" w:type="dxa"/>
            <w:tcBorders>
              <w:bottom w:val="single" w:sz="6" w:space="0" w:color="000000"/>
            </w:tcBorders>
            <w:vAlign w:val="bottom"/>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Item</w:t>
            </w:r>
          </w:p>
        </w:tc>
        <w:tc>
          <w:tcPr>
            <w:tcW w:w="2387" w:type="dxa"/>
            <w:tcBorders>
              <w:bottom w:val="single" w:sz="6" w:space="0" w:color="000000"/>
            </w:tcBorders>
            <w:vAlign w:val="bottom"/>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Checklist Item</w:t>
            </w:r>
          </w:p>
        </w:tc>
        <w:tc>
          <w:tcPr>
            <w:tcW w:w="4954" w:type="dxa"/>
            <w:tcBorders>
              <w:bottom w:val="single" w:sz="6" w:space="0" w:color="000000"/>
            </w:tcBorders>
            <w:vAlign w:val="bottom"/>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Where Reported</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b/>
                <w:bCs/>
                <w:i/>
                <w:iCs/>
                <w:kern w:val="0"/>
                <w:sz w:val="20"/>
                <w:szCs w:val="20"/>
                <w:lang w:val="en-US" w:eastAsia="en-US" w:bidi="ar-SA"/>
              </w:rPr>
              <w:t>Title and Abstract</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Title</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1</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Identify the study as developing and/or validating a multivariable prediction model, the target population, and the outcome to be predicted.</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Title page; Manuscript Title: “A multiparametric nomogram to reduce unnecessary EBUS-TBNA in suspected lung cancer: development and internal validation in an anthracosis-prevalent cohort”.</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Abstract</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2</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Provide a summary of objectives, study design, setting, participants, sample size, predictors, outcome, statistical analysis, results, and conclusions.</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Abstract, p. 1 (structured under Background, Methods, Results, Conclusions).</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b/>
                <w:bCs/>
                <w:i/>
                <w:iCs/>
                <w:kern w:val="0"/>
                <w:sz w:val="20"/>
                <w:szCs w:val="20"/>
                <w:lang w:val="en-US" w:eastAsia="en-US" w:bidi="ar-SA"/>
              </w:rPr>
              <w:t>Introduction</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Background and objectives</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3a</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Explain the medical context (including whether diagnostic or prognostic) and rationale for developing or validating the multivariable prediction model, including references to existing models.</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Introduction, paragraphs 1-3 (lung cancer mortality and mediastinal staging, EBUS-TBNA as first-line invasive modality, PET/CT specificity limitations in tuberculosis-endemic and granulomatous-disease-prevalent settings, anthracosis epidemiology, existing nomogram-based approaches cited as references 10-19).</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Background and objectives</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3b</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Specify the objectives, including whether the study describes the development or validation of the model or both.</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Introduction, paragraph 4: development and internal validation of a multiparametric nomogram for pre-procedural triage in patients with suspected lung cancer, with the explicit goal of reducing unnecessary invasive referrals while preserving high sensitivity for malignancy.</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b/>
                <w:bCs/>
                <w:i/>
                <w:iCs/>
                <w:kern w:val="0"/>
                <w:sz w:val="20"/>
                <w:szCs w:val="20"/>
                <w:lang w:val="en-US" w:eastAsia="en-US" w:bidi="ar-SA"/>
              </w:rPr>
              <w:t>Methods</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Source of data</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4a</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Describe the study design or source of data (e.g., randomised trial, cohort, or registry data), separately for the development and validation data sets, if applicable.</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Methods, Study design: single-center retrospective cohort, Necmettin Erbakan University, Faculty of Medicine.</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Source of data</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4b</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Specify the key study dates, including start of accrual; end of accrual; and, if applicable, end of follow-up.</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Methods, Patient selection: 1 January 2019 to 1 November 2025.</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Participants</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5a</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Specify key elements of the study setting (e.g., primary care, secondary care, general population) including number and location of centres.</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Methods, Study design: single tertiary academic centre; Konya, central Anatolia, Türkiye; tuberculosis-endemic region with high background prevalence of anthracotic mediastinal lymphadenopathy.</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Participants</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5b</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Describe eligibility criteria for participants.</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Methods, Patient selection: consecutive adults (≥18 years) undergoing EBUS-TBNA for mediastinal lymphadenopathy; complete chest CT, PET/CT, and definitive EBUS-TBNA cytopathology required (Fig. 1).</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Participants</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5c</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Give details of treatments received, if relevant.</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Not applicable (diagnostic prediction model; no treatment intervention).</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Outcome</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6a</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Clearly define the outcome that is predicted by the prediction model, including how and when assessed.</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Methods, Reference standard and follow-up: EBUS-TBNA cytopathology of the index node, classified as malignant or benign. Five non-diagnostic hypocellular fibrin cases were reclassified as benign after a minimum 12-month clinical and radiological follow-up by the corresponding author (AK) in consultation with the referring pulmonologist; outcome adjudication was not blinded to the original cytopathological result. The robustness of this classification was tested in a pre-specified sensitivity analysis (Results, Sensitivity analyses).</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Outcome</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6b</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Report any actions to blind assessment of the outcome to be predicted.</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Methods, CT imaging and PET/CT imaging: imaging readers blinded to clinical data, histopathology, and each other’s measurements. Cytopathologists were independent of imaging readers. The reclassification of five non-diagnostic cases was performed with knowledge of the original cytopathology and is reported transparently as a non-blinded adjudication (Methods, Reference standard and follow-up).</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Predictors</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7a</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Clearly define all predictors used in developing or validating the multivariable prediction model, including how and when they were measured.</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Methods, CT imaging and HU measurement; PET/CT imaging; Patient selection. Predictors: sex (recorded as biological sex from the institutional electronic medical record; gender identity not separately ascertained), age, lymph node short-axis diameter, mean HU, and SUVmax of the index node, all measured before EBUS-TBNA. Index node selection followed a composite criterion (highest SUVmax and largest short-axis diameter) with SUVmax prioritized when these criteria pointed to different nodes (Methods, Index lymph node selection and node-matching).</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Predictors</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7b</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Report any actions to blind assessment of predictors for the outcome and other predictors.</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Methods, CT imaging and HU measurement; PET/CT imaging: two thoracic radiologists (10 and 4 years of experience) and two nuclear medicine physicians (14 and 9 years of experience), independently and blinded to clinical data, histopathology, and each other’s measurements. ICCs reported (HU 0.95; SUVmax 0.93; Table S1).</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Sample size</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8</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Explain how the study size was arrived at.</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Methods, Statistical analysis: all consecutive eligible patients within the prespecified study window were included. With 184 malignant events and five candidate predictors, the events-per-variable ratio of 36.8:1 substantially exceeded the conventional ≥10 EPV threshold for stable logistic regression coefficients (Reference 24: Riley et al. 2020). A formal a priori sample size calculation was not performed, given the retrospective consecutive-sampling design.</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Missing data</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9</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Describe how missing data were handled (e.g., complete-case analysis, single imputation, multiple imputation) with details of any imputation method.</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Methods, Patient selection: complete-case analysis. Patients with missing chest CT, PET/CT, or definitive cytopathology were excluded at screening (Fig. 1); no imputation was performed.</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Statistical analysis methods</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10a</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Describe how predictors were handled in the analyses.</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Methods, Statistical analysis: continuous predictors (short-axis diameter, HU, SUVmax) modelled linearly; age dichotomised at 65 years for clinical compatibility with NCCN risk-stratification, with equivalence to continuous and restricted cubic spline forms verified (Table S2, Fig. S1). Variance inflation factors reported (Table S4).</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Statistical analysis methods</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10b</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Specify type of model, all model-building procedures (including any predictor selection), and method for internal validation.</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Methods, Statistical analysis: multivariable logistic regression with predictor entry at univariate p&lt;0.05. LASSO penalised regression performed at λ_min and λ_1se as a sensitivity model-building check (Table S5). Internal validation by 1,000-iteration bootstrap optimism correction (apparent and bias-corrected performance reported). A post-hoc sensitivity analysis refitted the model with the malignant class restricted to primary lung cancer (Table S11). A pre-specified subgroup analysis compared anthracotic with malignant nodes, excluding non-anthracotic benign diagnoses and the two malignant cases with non-diagnostic index-node cytopathology (Table S10).</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Statistical analysis methods</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10c</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For validation, describe how the predictions were calculated.</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Not applicable for external validation. For internal validation, the linear predictor was computed from final multivariable coefficients applied to each bootstrap test sample (out-of-bag predictions for optimism correction).</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Statistical analysis methods</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10d</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Specify all measures used to assess model performance and, if relevant, to compare multiple models.</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Methods, Statistical analysis: discrimination by AUC with pairwise DeLong tests; calibration by Hosmer-Lemeshow test, calibration intercept and slope, and Brier score; clinical utility by decision curve and clinical impact curve analyses. Incremental utility over PET-only triage assessed by IDI and continuous and categorical NRI.</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Statistical analysis methods</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10e</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Describe any model updating (e.g., recalibration) arising from the validation, if done.</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Not applicable (no external validation cohort; no recalibration performed).</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Risk groups</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11</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Provide details on how risk groups were created, if done.</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Methods, Statistical analysis; Results, Sex-stratified operating characteristics: sex-specific decision thresholds derived under a pre-specified false-negative-rate ≤5% constraint (P&lt;0.15 in women, P&lt;0.35 in men); a universal fail-safe threshold (P&lt;0.10) was also identified (Table 2).</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Development vs. validation</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12</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For validation, identify any differences from the development data in setting, eligibility criteria, outcome, and predictors.</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Not applicable (internal validation only; no separate external validation cohort).</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b/>
                <w:bCs/>
                <w:i/>
                <w:iCs/>
                <w:kern w:val="0"/>
                <w:sz w:val="20"/>
                <w:szCs w:val="20"/>
                <w:lang w:val="en-US" w:eastAsia="en-US" w:bidi="ar-SA"/>
              </w:rPr>
              <w:t>Results</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Participants</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13a</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Describe the flow of participants through the study, including the number of participants with and without the outcome and, if applicable, a summary of the follow-up time. A diagram may be helpful.</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Results, Patient characteristics; Fig. 1 (patient flow diagram): 653 screened, 316 excluded, 337 analysed (184 malignant, 153 benign).</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Participants</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13b</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Describe the characteristics of the participants (basic demographics, clinical features, available predictors), including the number of participants with missing data for predictors and outcome.</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Results, Patient characteristics; Table 1: demographic and imaging characteristics by outcome group. Complete-case cohort: no participants with missing predictor or outcome data.</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Participants</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13c</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For validation, show a comparison with the development data of the distribution of important variables (demographics, predictors, and outcome).</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Not applicable (no external validation cohort).</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Model development</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14a</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Specify the number of participants and outcome events in each analysis.</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Results, Patient characteristics: 337 patients, 184 malignant outcomes; subgroup analyses: 332 (sensitivity excluding non-diagnostic cases, Table S9) 293 (anthracosis-versus-malignancy subgroup, Table S10), and 294 (post-hoc analysis restricted to primary lung cancer, Table S11).</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Model development</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14b</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If done, report the unadjusted association between each candidate predictor and outcome.</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Table 1: univariable odds ratios with 95% CIs and p values for each candidate predictor.</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Model specification</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15a</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Present the full prediction model to allow predictions for individuals (i.e., all regression coefficients, and model intercept or baseline survival at a given time point).</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Table 1 (multivariable adjusted ORs with 95% CIs); Table S5 (LASSO sensitivity coefficients); Fig. 2 (nomogram); interactive open-access web calculator at https://medlymphnomogram.netlify.app/.</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Model specification</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15b</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Explain how to use the prediction model.</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Fig. 2 caption: vertical line from each predictor to Points axis; sum partial scores to Total Points; read malignancy probability from the lowest axis. Sex-specific and universal decision thresholds are given in Table 2. The web calculator displays out-of-cohort range warnings when input values fall beyond the development data distribution and is explicitly framed as a decision-support tool rather than a stand-alone diagnostic device (Discussion).</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Model performance</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16</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Report performance measures (with CIs) for the prediction model.</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Results, Discrimination, calibration, and clinical utility: apparent AUC 0.813 (95% CI 0.768-0.858); bias-corrected AUC 0.803 (Table S7); Hosmer-Lemeshow p=0.420; bootstrap-corrected calibration intercept +0.008 and slope 0.913; Brier score 0.176 (Fig. 3, Fig. 4). Incremental utility over PET-only triage: ΔAUC +0.076 (95% CI +0.029 to +0.126); IDI 0.132 (p&lt;0.001); continuous NRI 0.642 (95% CI 0.441-0.836); categorical NRI 0.269 (95% CI 0.138-0.402) (Results, Incremental utility over PET-only triage).</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Model-updating</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17</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If done, report the results from any model updating (i.e., model specification, model performance).</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Not applicable (no model updating performed).</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b/>
                <w:bCs/>
                <w:i/>
                <w:iCs/>
                <w:kern w:val="0"/>
                <w:sz w:val="20"/>
                <w:szCs w:val="20"/>
                <w:lang w:val="en-US" w:eastAsia="en-US" w:bidi="ar-SA"/>
              </w:rPr>
              <w:t>Discussion</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Limitations</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18</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Discuss any limitations of the study (such as nonrepresentative sample, few events per predictor, missing data).</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Discussion, Limitations (organized in three subsections): Sample-level limitations (single-centre retrospective design, central-Anatolia cohort with potentially reduced applicability to populations with lower anthracosis prevalence, exclusion of 316 of 653 screened patients without comparison of excluded versus included demographics, non-blinded follow-up adjudication for five non-diagnostic cases, of which three were classified as benign and two confirmed malignant on repeat sampling; and under-representation of tuberculosis and sarcoidosis, with explicit caution against use in populations where these entities dominate the benign spectrum); Measurement-level limitations (absence of direct measures of smoking history, occupational exposure, indoor biomass exposure, and rural-versus-urban residence; linear modelling of continuous predictors with non-linear exploration limited to age; index node selection under a composite criterion without sensitivity analysis under alternative rules); Model-level limitations (absence of primary lung parenchymal lesion morphology as a candidate predictor, which was not scored as a predefined variable in this retrospective cohort and is identified as requiring validation with blinded parenchymal scoring; internal bootstrap validation only with no external or temporal validation; need for prospective multicentre validation incorporating direct measures of environmental exposure before clinical implementation).</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Interpretation</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19a</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For validation, discuss the results with reference to performance in the development data, and any other validation data.</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Not applicable (no external validation cohort). Bias-corrected internal performance is reported in Results (Discrimination, calibration, and clinical utility) and interpreted in the Discussion against PET/CT specificity limitations in tuberculosis-endemic and anthracosis-prevalent populations.</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Interpretation</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19b</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Give an overall interpretation of the results, considering objectives, limitations, results from similar studies, and other relevant evidence.</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Discussion: interpretation of nomogram performance against PET/CT limitations and reclassification asymmetry (paragraphs 1-2); empirical framing of the female sex effect with explicit acknowledgement of unmeasured exposure variables and of likely referral bias (paragraph 3); analysis of the sex-stratified AUC asymmetry (paragraph 4); HU contribution from non-contrast CT in an anthracosis-enriched cohort (paragraph 5); age, including a post-hoc sensitivity analysis restricted to primary lung cancer (paragraph 6, Table S11); short-axis diameter (paragraph 7); subgroup framing for anthracosis-versus-malignancy with quantified AUC change and explanation of the single tuberculous case (paragraph 8); comparison with downstream nomograms predicting lymph node metastasis in confirmed lung cancer (paragraph 9 - Chen 2025, Wei 2023, Li 2024); decision curve analysis and web calculator with out-of-cohort safeguards and stated input limits (paragraph 10); subsection on Limitations (paragraph 11 with Sample-, Measurement-, and Model-level subsections).</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Implications</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20</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Discuss the potential clinical use of the model and implications for future research.</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Discussion, paragraphs 9-11, and Conclusions: complementary pre-procedural triage tool with sex-specific decision thresholds and a universal fail-safe option; prospective multicentre external validation, ideally incorporating direct measures of environmental exposure and formal comparison against radiomic and deep-learning approaches, identified as the next step.</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b/>
                <w:bCs/>
                <w:i/>
                <w:iCs/>
                <w:kern w:val="0"/>
                <w:sz w:val="20"/>
                <w:szCs w:val="20"/>
                <w:lang w:val="en-US" w:eastAsia="en-US" w:bidi="ar-SA"/>
              </w:rPr>
              <w:t>Other Information</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Supplementary information</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21</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Provide information about the availability of supplementary resources, such as study protocol, web calculator, and data sets.</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Methods and Discussion: interactive open-access web calculator at https://medlymphnomogram.netlify.app/. TRIPOD reporting checklist (Online Resource 1, this document); Supplementary Materials including Tables S1-S10 and Fig. S1 (Online Resource 2). Aggregate data supporting the findings are provided in the manuscript and Online Resource 2; individual-level data available from the corresponding author on reasonable request, subject to institutional approval.</w:t>
            </w:r>
          </w:p>
        </w:tc>
      </w:tr>
      <w:tr>
        <w:trPr/>
        <w:tc>
          <w:tcPr>
            <w:tcW w:w="144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Funding</w:t>
            </w:r>
          </w:p>
        </w:tc>
        <w:tc>
          <w:tcPr>
            <w:tcW w:w="569"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22</w:t>
            </w:r>
          </w:p>
        </w:tc>
        <w:tc>
          <w:tcPr>
            <w:tcW w:w="2387"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Give the source of funding and the role of the funders for the present study.</w:t>
            </w:r>
          </w:p>
        </w:tc>
        <w:tc>
          <w:tcPr>
            <w:tcW w:w="4954" w:type="dxa"/>
            <w:tcBorders/>
          </w:tcPr>
          <w:p>
            <w:pPr>
              <w:pStyle w:val="Compact"/>
              <w:widowControl/>
              <w:spacing w:before="36" w:after="36"/>
              <w:jc w:val="left"/>
              <w:rPr>
                <w:rFonts w:ascii="Times New Roman" w:hAnsi="Times New Roman" w:cs="Times New Roman"/>
                <w:sz w:val="20"/>
                <w:szCs w:val="20"/>
              </w:rPr>
            </w:pPr>
            <w:r>
              <w:rPr>
                <w:rFonts w:eastAsia="Cambria" w:cs="Times New Roman" w:ascii="Times New Roman" w:hAnsi="Times New Roman"/>
                <w:kern w:val="0"/>
                <w:sz w:val="20"/>
                <w:szCs w:val="20"/>
                <w:lang w:val="en-US" w:eastAsia="en-US" w:bidi="ar-SA"/>
              </w:rPr>
              <w:t>Declarations, Funding: no external funding was received for this study.</w:t>
            </w:r>
          </w:p>
        </w:tc>
      </w:tr>
    </w:tbl>
    <w:p>
      <w:pPr>
        <w:pStyle w:val="Normal"/>
        <w:rPr>
          <w:rFonts w:ascii="Times New Roman" w:hAnsi="Times New Roman" w:cs="Times New Roman"/>
          <w:sz w:val="20"/>
          <w:szCs w:val="20"/>
        </w:rPr>
      </w:pPr>
      <w:r>
        <w:rPr/>
        <mc:AlternateContent>
          <mc:Choice Requires="wps">
            <w:drawing>
              <wp:inline distT="0" distB="0" distL="0" distR="0">
                <wp:extent cx="635" cy="19050"/>
                <wp:effectExtent l="0" t="0" r="0" b="0"/>
                <wp:docPr id="3" name=""/>
                <a:graphic xmlns:a="http://schemas.openxmlformats.org/drawingml/2006/main">
                  <a:graphicData uri="http://schemas.microsoft.com/office/word/2010/wordprocessingShape">
                    <wps:wsp>
                      <wps:cNvSpPr/>
                      <wps:nvSpPr>
                        <wps:cNvPr id="4" name=""/>
                        <wps:cNvSpPr/>
                      </wps:nvSpPr>
                      <wps:spPr>
                        <a:xfrm>
                          <a:off x="0" y="0"/>
                          <a:ext cx="720" cy="19080"/>
                        </a:xfrm>
                        <a:prstGeom prst="rect">
                          <a:avLst/>
                        </a:prstGeom>
                        <a:solidFill>
                          <a:srgbClr val="ffffff"/>
                        </a:solidFill>
                        <a:ln w="0">
                          <a:solidFill>
                            <a:srgbClr val="000000"/>
                          </a:solidFill>
                        </a:ln>
                      </wps:spPr>
                      <wps:bodyPr/>
                    </wps:wsp>
                  </a:graphicData>
                </a:graphic>
                <wp14:sizeRelH relativeFrom="page">
                  <wp14:pctWidth>100000</wp14:pctWidth>
                </wp14:sizeRelH>
              </wp:inline>
            </w:drawing>
          </mc:Choice>
          <mc:Fallback>
            <w:pict>
              <v:rect id="shape_0" fillcolor="white" stroked="t" o:allowincell="f" style="position:absolute;margin-left:0pt;margin-top:-1.55pt;width:0pt;height:1.45pt;mso-wrap-style:none;v-text-anchor:middle;mso-position-horizontal:center;mso-position-vertical:top">
                <v:fill o:detectmouseclick="t" type="solid" color2="black"/>
                <v:stroke color="black" joinstyle="round" endcap="flat"/>
                <w10:wrap type="topAndBottom"/>
              </v:rect>
            </w:pict>
          </mc:Fallback>
        </mc:AlternateContent>
      </w:r>
    </w:p>
    <w:p>
      <w:pPr>
        <w:pStyle w:val="FirstParagraph"/>
        <w:rPr>
          <w:rFonts w:ascii="Times New Roman" w:hAnsi="Times New Roman" w:cs="Times New Roman"/>
          <w:sz w:val="20"/>
          <w:szCs w:val="20"/>
        </w:rPr>
      </w:pPr>
      <w:r>
        <w:rPr>
          <w:rFonts w:cs="Times New Roman" w:ascii="Times New Roman" w:hAnsi="Times New Roman"/>
          <w:i/>
          <w:iCs/>
          <w:sz w:val="20"/>
          <w:szCs w:val="20"/>
        </w:rPr>
        <w:t>Items 10c, 10e, 12, 13c, 17, and 19a refer to external validation procedures or to model updating that were not performed in the present study, which describes development and internal (bootstrap) validation only. These items are reported as not applicable in line with the TRIPOD guidance for development-only studies (TRIPOD type 1b).</w:t>
      </w:r>
    </w:p>
    <w:p>
      <w:pPr>
        <w:pStyle w:val="Normal"/>
        <w:rPr>
          <w:rFonts w:ascii="Times New Roman" w:hAnsi="Times New Roman" w:cs="Times New Roman"/>
          <w:sz w:val="20"/>
          <w:szCs w:val="20"/>
        </w:rPr>
      </w:pPr>
      <w:r>
        <w:rPr/>
        <mc:AlternateContent>
          <mc:Choice Requires="wps">
            <w:drawing>
              <wp:inline distT="0" distB="0" distL="0" distR="0">
                <wp:extent cx="5943600" cy="19050"/>
                <wp:effectExtent l="0" t="0" r="0" b="0"/>
                <wp:docPr id="5" name=""/>
                <a:graphic xmlns:a="http://schemas.openxmlformats.org/drawingml/2006/main">
                  <a:graphicData uri="http://schemas.microsoft.com/office/word/2010/wordprocessingShape">
                    <wps:wsp>
                      <wps:cNvSpPr/>
                      <wps:nvSpPr>
                        <wps:cNvPr id="6" name=""/>
                        <wps:cNvSpPr/>
                      </wps:nvSpPr>
                      <wps:spPr>
                        <a:xfrm>
                          <a:off x="0" y="0"/>
                          <a:ext cx="5943600" cy="19080"/>
                        </a:xfrm>
                        <a:prstGeom prst="rect">
                          <a:avLst/>
                        </a:prstGeom>
                        <a:solidFill>
                          <a:srgbClr val="ffffff"/>
                        </a:solidFill>
                        <a:ln w="0">
                          <a:solidFill>
                            <a:srgbClr val="000000"/>
                          </a:solidFill>
                        </a:ln>
                      </wps:spPr>
                      <wps:bodyPr/>
                    </wps:wsp>
                  </a:graphicData>
                </a:graphic>
                <wp14:sizeRelH relativeFrom="page">
                  <wp14:pctWidth>100000</wp14:pctWidth>
                </wp14:sizeRelH>
              </wp:inline>
            </w:drawing>
          </mc:Choice>
          <mc:Fallback>
            <w:pict>
              <v:rect id="shape_0" fillcolor="white" stroked="t" o:allowincell="f" style="position:absolute;margin-left:0pt;margin-top:-1.55pt;width:467.95pt;height:1.45pt;mso-wrap-style:none;v-text-anchor:middle;mso-position-horizontal:center;mso-position-vertical:top">
                <v:fill o:detectmouseclick="t" type="solid" color2="black"/>
                <v:stroke color="black" joinstyle="round" endcap="flat"/>
                <w10:wrap type="topAndBottom"/>
              </v:rect>
            </w:pict>
          </mc:Fallback>
        </mc:AlternateContent>
      </w:r>
    </w:p>
    <w:p>
      <w:pPr>
        <w:pStyle w:val="FirstParagraph"/>
        <w:spacing w:before="180" w:after="180"/>
        <w:rPr>
          <w:rFonts w:ascii="Times New Roman" w:hAnsi="Times New Roman" w:cs="Times New Roman"/>
          <w:sz w:val="20"/>
          <w:szCs w:val="20"/>
        </w:rPr>
      </w:pPr>
      <w:r>
        <w:rPr>
          <w:rFonts w:cs="Times New Roman" w:ascii="Times New Roman" w:hAnsi="Times New Roman"/>
          <w:b/>
          <w:bCs/>
          <w:sz w:val="20"/>
          <w:szCs w:val="20"/>
        </w:rPr>
        <w:t>Abbreviations:</w:t>
      </w:r>
      <w:r>
        <w:rPr>
          <w:rFonts w:cs="Times New Roman" w:ascii="Times New Roman" w:hAnsi="Times New Roman"/>
          <w:sz w:val="20"/>
          <w:szCs w:val="20"/>
        </w:rPr>
        <w:t xml:space="preserve"> AUC, area under the receiver operating characteristic curve; CI, confidence interval; CT, computed tomography; EBUS-TBNA, endobronchial ultrasound-guided transbronchial needle aspiration; EPV, events per variable; HU, Hounsfield unit; IDI, integrated discrimination improvement; LASSO, least absolute shrinkage and selection operator; NA, not applicable; NCCN, National Comprehensive Cancer Network; NRI, net reclassification improvement; PET/CT, positron emission tomography/computed tomography; SUVmax, maximum standardised uptake value; TRIPOD, Transparent Reporting of a multivariable prediction model for Individual Prognosis Or Diagnosis.</w:t>
      </w:r>
      <w:bookmarkEnd w:id="0"/>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nsolas">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80"/>
  <w:embedSystemFonts/>
  <w:defaultTabStop w:val="720"/>
  <w:autoHyphenation w:val="true"/>
  <w:compat>
    <w:compatSetting w:name="compatibilityMode" w:uri="http://schemas.microsoft.com/office/word" w:val="12"/>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Cambria"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bidi w:val="0"/>
      <w:spacing w:before="0" w:after="200"/>
      <w:jc w:val="left"/>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Heading1">
    <w:name w:val="Heading 1"/>
    <w:basedOn w:val="Normal"/>
    <w:next w:val="BodyText"/>
    <w:uiPriority w:val="9"/>
    <w:qFormat/>
    <w:pPr>
      <w:keepNext w:val="true"/>
      <w:keepLines/>
      <w:spacing w:before="480" w:after="0"/>
      <w:outlineLvl w:val="0"/>
    </w:pPr>
    <w:rPr>
      <w:rFonts w:ascii="Calibri" w:hAnsi="Calibri" w:eastAsia="" w:cs="" w:asciiTheme="majorHAnsi" w:cstheme="majorBidi" w:eastAsiaTheme="majorEastAsia" w:hAnsiTheme="majorHAnsi"/>
      <w:b/>
      <w:bCs/>
      <w:color w:themeColor="accent1" w:val="4F81BD"/>
      <w:sz w:val="32"/>
      <w:szCs w:val="32"/>
    </w:rPr>
  </w:style>
  <w:style w:type="paragraph" w:styleId="Heading2">
    <w:name w:val="Heading 2"/>
    <w:basedOn w:val="Normal"/>
    <w:next w:val="BodyText"/>
    <w:uiPriority w:val="9"/>
    <w:unhideWhenUsed/>
    <w:qFormat/>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8"/>
      <w:szCs w:val="28"/>
    </w:rPr>
  </w:style>
  <w:style w:type="paragraph" w:styleId="Heading3">
    <w:name w:val="Heading 3"/>
    <w:basedOn w:val="Normal"/>
    <w:next w:val="BodyText"/>
    <w:uiPriority w:val="9"/>
    <w:unhideWhenUsed/>
    <w:qFormat/>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BodyText"/>
    <w:uiPriority w:val="9"/>
    <w:unhideWhenUsed/>
    <w:qFormat/>
    <w:pPr>
      <w:keepNext w:val="true"/>
      <w:keepLines/>
      <w:spacing w:before="200" w:after="0"/>
      <w:outlineLvl w:val="3"/>
    </w:pPr>
    <w:rPr>
      <w:rFonts w:ascii="Calibri" w:hAnsi="Calibri" w:eastAsia="" w:cs="" w:asciiTheme="majorHAnsi" w:cstheme="majorBidi" w:eastAsiaTheme="majorEastAsia" w:hAnsiTheme="majorHAnsi"/>
      <w:bCs/>
      <w:i/>
      <w:color w:themeColor="accent1" w:val="4F81BD"/>
    </w:rPr>
  </w:style>
  <w:style w:type="paragraph" w:styleId="Heading5">
    <w:name w:val="Heading 5"/>
    <w:basedOn w:val="Normal"/>
    <w:next w:val="BodyText"/>
    <w:uiPriority w:val="9"/>
    <w:unhideWhenUsed/>
    <w:qFormat/>
    <w:pPr>
      <w:keepNext w:val="true"/>
      <w:keepLines/>
      <w:spacing w:before="200" w:after="0"/>
      <w:outlineLvl w:val="4"/>
    </w:pPr>
    <w:rPr>
      <w:rFonts w:ascii="Calibri" w:hAnsi="Calibri" w:eastAsia="" w:cs="" w:asciiTheme="majorHAnsi" w:cstheme="majorBidi" w:eastAsiaTheme="majorEastAsia" w:hAnsiTheme="majorHAnsi"/>
      <w:iCs/>
      <w:color w:themeColor="accent1" w:val="4F81BD"/>
    </w:rPr>
  </w:style>
  <w:style w:type="paragraph" w:styleId="Heading6">
    <w:name w:val="Heading 6"/>
    <w:basedOn w:val="Normal"/>
    <w:next w:val="BodyText"/>
    <w:uiPriority w:val="9"/>
    <w:unhideWhenUsed/>
    <w:qFormat/>
    <w:pPr>
      <w:keepNext w:val="true"/>
      <w:keepLines/>
      <w:spacing w:before="200" w:after="0"/>
      <w:outlineLvl w:val="5"/>
    </w:pPr>
    <w:rPr>
      <w:rFonts w:ascii="Calibri" w:hAnsi="Calibri" w:eastAsia="" w:cs="" w:asciiTheme="majorHAnsi" w:cstheme="majorBidi" w:eastAsiaTheme="majorEastAsia" w:hAnsiTheme="majorHAnsi"/>
      <w:color w:themeColor="accent1" w:val="4F81BD"/>
    </w:rPr>
  </w:style>
  <w:style w:type="paragraph" w:styleId="Heading7">
    <w:name w:val="Heading 7"/>
    <w:basedOn w:val="Normal"/>
    <w:next w:val="BodyText"/>
    <w:uiPriority w:val="9"/>
    <w:unhideWhenUsed/>
    <w:qFormat/>
    <w:pPr>
      <w:keepNext w:val="true"/>
      <w:keepLines/>
      <w:spacing w:before="200" w:after="0"/>
      <w:outlineLvl w:val="6"/>
    </w:pPr>
    <w:rPr>
      <w:rFonts w:ascii="Calibri" w:hAnsi="Calibri" w:eastAsia="" w:cs="" w:asciiTheme="majorHAnsi" w:cstheme="majorBidi" w:eastAsiaTheme="majorEastAsia" w:hAnsiTheme="majorHAnsi"/>
      <w:color w:themeColor="accent1" w:val="4F81BD"/>
    </w:rPr>
  </w:style>
  <w:style w:type="paragraph" w:styleId="Heading8">
    <w:name w:val="Heading 8"/>
    <w:basedOn w:val="Normal"/>
    <w:next w:val="BodyText"/>
    <w:uiPriority w:val="9"/>
    <w:unhideWhenUsed/>
    <w:qFormat/>
    <w:pPr>
      <w:keepNext w:val="true"/>
      <w:keepLines/>
      <w:spacing w:before="200" w:after="0"/>
      <w:outlineLvl w:val="7"/>
    </w:pPr>
    <w:rPr>
      <w:rFonts w:ascii="Calibri" w:hAnsi="Calibri" w:eastAsia="" w:cs="" w:asciiTheme="majorHAnsi" w:cstheme="majorBidi" w:eastAsiaTheme="majorEastAsia" w:hAnsiTheme="majorHAnsi"/>
      <w:color w:themeColor="accent1" w:val="4F81BD"/>
    </w:rPr>
  </w:style>
  <w:style w:type="paragraph" w:styleId="Heading9">
    <w:name w:val="Heading 9"/>
    <w:basedOn w:val="Normal"/>
    <w:next w:val="BodyText"/>
    <w:uiPriority w:val="9"/>
    <w:unhideWhenUsed/>
    <w:qFormat/>
    <w:pPr>
      <w:keepNext w:val="true"/>
      <w:keepLines/>
      <w:spacing w:before="200" w:after="0"/>
      <w:outlineLvl w:val="8"/>
    </w:pPr>
    <w:rPr>
      <w:rFonts w:ascii="Calibri" w:hAnsi="Calibri" w:eastAsia="" w:cs="" w:asciiTheme="majorHAnsi" w:cstheme="majorBidi" w:eastAsiaTheme="majorEastAsia" w:hAnsiTheme="majorHAnsi"/>
      <w:color w:themeColor="accent1" w:val="4F81BD"/>
    </w:rPr>
  </w:style>
  <w:style w:type="character" w:styleId="DefaultParagraphFont" w:default="1">
    <w:name w:val="Default Paragraph Font"/>
    <w:uiPriority w:val="1"/>
    <w:semiHidden/>
    <w:unhideWhenUsed/>
    <w:qFormat/>
    <w:rPr/>
  </w:style>
  <w:style w:type="character" w:styleId="CaptionChar" w:customStyle="1">
    <w:name w:val="Caption Char"/>
    <w:basedOn w:val="DefaultParagraphFont"/>
    <w:link w:val="Caption"/>
    <w:qFormat/>
    <w:rPr/>
  </w:style>
  <w:style w:type="character" w:styleId="VerbatimChar" w:customStyle="1">
    <w:name w:val="Verbatim Char"/>
    <w:basedOn w:val="CaptionChar"/>
    <w:link w:val="SourceCode"/>
    <w:qFormat/>
    <w:rPr>
      <w:rFonts w:ascii="Consolas" w:hAnsi="Consolas"/>
      <w:sz w:val="22"/>
    </w:rPr>
  </w:style>
  <w:style w:type="character" w:styleId="SectionNumber" w:customStyle="1">
    <w:name w:val="Section Number"/>
    <w:basedOn w:val="CaptionChar"/>
    <w:qFormat/>
    <w:rPr/>
  </w:style>
  <w:style w:type="character" w:styleId="FootnoteCharacters">
    <w:name w:val="Footnote Characters"/>
    <w:basedOn w:val="CaptionChar"/>
    <w:qFormat/>
    <w:rPr>
      <w:vertAlign w:val="superscript"/>
    </w:rPr>
  </w:style>
  <w:style w:type="character" w:styleId="FootnoteReference">
    <w:name w:val="Footnote Reference"/>
    <w:rPr>
      <w:vertAlign w:val="superscript"/>
    </w:rPr>
  </w:style>
  <w:style w:type="character" w:styleId="Hyperlink">
    <w:name w:val="Hyperlink"/>
    <w:basedOn w:val="CaptionChar"/>
    <w:rPr>
      <w:color w:themeColor="accent1" w:val="4F81BD"/>
    </w:rPr>
  </w:style>
  <w:style w:type="character" w:styleId="KeywordTok" w:customStyle="1">
    <w:name w:val="KeywordTok"/>
    <w:basedOn w:val="VerbatimChar"/>
    <w:qFormat/>
    <w:rPr>
      <w:rFonts w:ascii="Consolas" w:hAnsi="Consolas"/>
      <w:b/>
      <w:color w:val="007020"/>
      <w:sz w:val="22"/>
    </w:rPr>
  </w:style>
  <w:style w:type="character" w:styleId="DataTypeTok" w:customStyle="1">
    <w:name w:val="DataTypeTok"/>
    <w:basedOn w:val="VerbatimChar"/>
    <w:qFormat/>
    <w:rPr>
      <w:rFonts w:ascii="Consolas" w:hAnsi="Consolas"/>
      <w:color w:val="902000"/>
      <w:sz w:val="22"/>
    </w:rPr>
  </w:style>
  <w:style w:type="character" w:styleId="DecValTok" w:customStyle="1">
    <w:name w:val="DecValTok"/>
    <w:basedOn w:val="VerbatimChar"/>
    <w:qFormat/>
    <w:rPr>
      <w:rFonts w:ascii="Consolas" w:hAnsi="Consolas"/>
      <w:color w:val="40A070"/>
      <w:sz w:val="22"/>
    </w:rPr>
  </w:style>
  <w:style w:type="character" w:styleId="BaseNTok" w:customStyle="1">
    <w:name w:val="BaseNTok"/>
    <w:basedOn w:val="VerbatimChar"/>
    <w:qFormat/>
    <w:rPr>
      <w:rFonts w:ascii="Consolas" w:hAnsi="Consolas"/>
      <w:color w:val="40A070"/>
      <w:sz w:val="22"/>
    </w:rPr>
  </w:style>
  <w:style w:type="character" w:styleId="FloatTok" w:customStyle="1">
    <w:name w:val="FloatTok"/>
    <w:basedOn w:val="VerbatimChar"/>
    <w:qFormat/>
    <w:rPr>
      <w:rFonts w:ascii="Consolas" w:hAnsi="Consolas"/>
      <w:color w:val="40A070"/>
      <w:sz w:val="22"/>
    </w:rPr>
  </w:style>
  <w:style w:type="character" w:styleId="ConstantTok" w:customStyle="1">
    <w:name w:val="ConstantTok"/>
    <w:basedOn w:val="VerbatimChar"/>
    <w:qFormat/>
    <w:rPr>
      <w:rFonts w:ascii="Consolas" w:hAnsi="Consolas"/>
      <w:color w:val="880000"/>
      <w:sz w:val="22"/>
    </w:rPr>
  </w:style>
  <w:style w:type="character" w:styleId="CharTok" w:customStyle="1">
    <w:name w:val="CharTok"/>
    <w:basedOn w:val="VerbatimChar"/>
    <w:qFormat/>
    <w:rPr>
      <w:rFonts w:ascii="Consolas" w:hAnsi="Consolas"/>
      <w:color w:val="4070A0"/>
      <w:sz w:val="22"/>
    </w:rPr>
  </w:style>
  <w:style w:type="character" w:styleId="SpecialCharTok" w:customStyle="1">
    <w:name w:val="SpecialCharTok"/>
    <w:basedOn w:val="VerbatimChar"/>
    <w:qFormat/>
    <w:rPr>
      <w:rFonts w:ascii="Consolas" w:hAnsi="Consolas"/>
      <w:color w:val="4070A0"/>
      <w:sz w:val="22"/>
    </w:rPr>
  </w:style>
  <w:style w:type="character" w:styleId="StringTok" w:customStyle="1">
    <w:name w:val="StringTok"/>
    <w:basedOn w:val="VerbatimChar"/>
    <w:qFormat/>
    <w:rPr>
      <w:rFonts w:ascii="Consolas" w:hAnsi="Consolas"/>
      <w:color w:val="4070A0"/>
      <w:sz w:val="22"/>
    </w:rPr>
  </w:style>
  <w:style w:type="character" w:styleId="VerbatimStringTok" w:customStyle="1">
    <w:name w:val="VerbatimStringTok"/>
    <w:basedOn w:val="VerbatimChar"/>
    <w:qFormat/>
    <w:rPr>
      <w:rFonts w:ascii="Consolas" w:hAnsi="Consolas"/>
      <w:color w:val="4070A0"/>
      <w:sz w:val="22"/>
    </w:rPr>
  </w:style>
  <w:style w:type="character" w:styleId="SpecialStringTok" w:customStyle="1">
    <w:name w:val="SpecialStringTok"/>
    <w:basedOn w:val="VerbatimChar"/>
    <w:qFormat/>
    <w:rPr>
      <w:rFonts w:ascii="Consolas" w:hAnsi="Consolas"/>
      <w:color w:val="BB6688"/>
      <w:sz w:val="22"/>
    </w:rPr>
  </w:style>
  <w:style w:type="character" w:styleId="ImportTok" w:customStyle="1">
    <w:name w:val="ImportTok"/>
    <w:basedOn w:val="VerbatimChar"/>
    <w:qFormat/>
    <w:rPr>
      <w:rFonts w:ascii="Consolas" w:hAnsi="Consolas"/>
      <w:b/>
      <w:color w:val="008000"/>
      <w:sz w:val="22"/>
    </w:rPr>
  </w:style>
  <w:style w:type="character" w:styleId="CommentTok" w:customStyle="1">
    <w:name w:val="CommentTok"/>
    <w:basedOn w:val="VerbatimChar"/>
    <w:qFormat/>
    <w:rPr>
      <w:rFonts w:ascii="Consolas" w:hAnsi="Consolas"/>
      <w:i/>
      <w:color w:val="60A0B0"/>
      <w:sz w:val="22"/>
    </w:rPr>
  </w:style>
  <w:style w:type="character" w:styleId="DocumentationTok" w:customStyle="1">
    <w:name w:val="DocumentationTok"/>
    <w:basedOn w:val="VerbatimChar"/>
    <w:qFormat/>
    <w:rPr>
      <w:rFonts w:ascii="Consolas" w:hAnsi="Consolas"/>
      <w:i/>
      <w:color w:val="BA2121"/>
      <w:sz w:val="22"/>
    </w:rPr>
  </w:style>
  <w:style w:type="character" w:styleId="AnnotationTok" w:customStyle="1">
    <w:name w:val="AnnotationTok"/>
    <w:basedOn w:val="VerbatimChar"/>
    <w:qFormat/>
    <w:rPr>
      <w:rFonts w:ascii="Consolas" w:hAnsi="Consolas"/>
      <w:b/>
      <w:i/>
      <w:color w:val="60A0B0"/>
      <w:sz w:val="22"/>
    </w:rPr>
  </w:style>
  <w:style w:type="character" w:styleId="CommentVarTok" w:customStyle="1">
    <w:name w:val="CommentVarTok"/>
    <w:basedOn w:val="VerbatimChar"/>
    <w:qFormat/>
    <w:rPr>
      <w:rFonts w:ascii="Consolas" w:hAnsi="Consolas"/>
      <w:b/>
      <w:i/>
      <w:color w:val="60A0B0"/>
      <w:sz w:val="22"/>
    </w:rPr>
  </w:style>
  <w:style w:type="character" w:styleId="OtherTok" w:customStyle="1">
    <w:name w:val="OtherTok"/>
    <w:basedOn w:val="VerbatimChar"/>
    <w:qFormat/>
    <w:rPr>
      <w:rFonts w:ascii="Consolas" w:hAnsi="Consolas"/>
      <w:color w:val="007020"/>
      <w:sz w:val="22"/>
    </w:rPr>
  </w:style>
  <w:style w:type="character" w:styleId="FunctionTok" w:customStyle="1">
    <w:name w:val="FunctionTok"/>
    <w:basedOn w:val="VerbatimChar"/>
    <w:qFormat/>
    <w:rPr>
      <w:rFonts w:ascii="Consolas" w:hAnsi="Consolas"/>
      <w:color w:val="06287E"/>
      <w:sz w:val="22"/>
    </w:rPr>
  </w:style>
  <w:style w:type="character" w:styleId="VariableTok" w:customStyle="1">
    <w:name w:val="VariableTok"/>
    <w:basedOn w:val="VerbatimChar"/>
    <w:qFormat/>
    <w:rPr>
      <w:rFonts w:ascii="Consolas" w:hAnsi="Consolas"/>
      <w:color w:val="19177C"/>
      <w:sz w:val="22"/>
    </w:rPr>
  </w:style>
  <w:style w:type="character" w:styleId="ControlFlowTok" w:customStyle="1">
    <w:name w:val="ControlFlowTok"/>
    <w:basedOn w:val="VerbatimChar"/>
    <w:qFormat/>
    <w:rPr>
      <w:rFonts w:ascii="Consolas" w:hAnsi="Consolas"/>
      <w:b/>
      <w:color w:val="007020"/>
      <w:sz w:val="22"/>
    </w:rPr>
  </w:style>
  <w:style w:type="character" w:styleId="OperatorTok" w:customStyle="1">
    <w:name w:val="OperatorTok"/>
    <w:basedOn w:val="VerbatimChar"/>
    <w:qFormat/>
    <w:rPr>
      <w:rFonts w:ascii="Consolas" w:hAnsi="Consolas"/>
      <w:color w:val="666666"/>
      <w:sz w:val="22"/>
    </w:rPr>
  </w:style>
  <w:style w:type="character" w:styleId="BuiltInTok" w:customStyle="1">
    <w:name w:val="BuiltInTok"/>
    <w:basedOn w:val="VerbatimChar"/>
    <w:qFormat/>
    <w:rPr>
      <w:rFonts w:ascii="Consolas" w:hAnsi="Consolas"/>
      <w:color w:val="008000"/>
      <w:sz w:val="22"/>
    </w:rPr>
  </w:style>
  <w:style w:type="character" w:styleId="ExtensionTok" w:customStyle="1">
    <w:name w:val="ExtensionTok"/>
    <w:basedOn w:val="VerbatimChar"/>
    <w:qFormat/>
    <w:rPr>
      <w:rFonts w:ascii="Consolas" w:hAnsi="Consolas"/>
      <w:sz w:val="22"/>
    </w:rPr>
  </w:style>
  <w:style w:type="character" w:styleId="PreprocessorTok" w:customStyle="1">
    <w:name w:val="PreprocessorTok"/>
    <w:basedOn w:val="VerbatimChar"/>
    <w:qFormat/>
    <w:rPr>
      <w:rFonts w:ascii="Consolas" w:hAnsi="Consolas"/>
      <w:color w:val="BC7A00"/>
      <w:sz w:val="22"/>
    </w:rPr>
  </w:style>
  <w:style w:type="character" w:styleId="AttributeTok" w:customStyle="1">
    <w:name w:val="AttributeTok"/>
    <w:basedOn w:val="VerbatimChar"/>
    <w:qFormat/>
    <w:rPr>
      <w:rFonts w:ascii="Consolas" w:hAnsi="Consolas"/>
      <w:color w:val="7D9029"/>
      <w:sz w:val="22"/>
    </w:rPr>
  </w:style>
  <w:style w:type="character" w:styleId="RegionMarkerTok" w:customStyle="1">
    <w:name w:val="RegionMarkerTok"/>
    <w:basedOn w:val="VerbatimChar"/>
    <w:qFormat/>
    <w:rPr>
      <w:rFonts w:ascii="Consolas" w:hAnsi="Consolas"/>
      <w:sz w:val="22"/>
    </w:rPr>
  </w:style>
  <w:style w:type="character" w:styleId="InformationTok" w:customStyle="1">
    <w:name w:val="InformationTok"/>
    <w:basedOn w:val="VerbatimChar"/>
    <w:qFormat/>
    <w:rPr>
      <w:rFonts w:ascii="Consolas" w:hAnsi="Consolas"/>
      <w:b/>
      <w:i/>
      <w:color w:val="60A0B0"/>
      <w:sz w:val="22"/>
    </w:rPr>
  </w:style>
  <w:style w:type="character" w:styleId="WarningTok" w:customStyle="1">
    <w:name w:val="WarningTok"/>
    <w:basedOn w:val="VerbatimChar"/>
    <w:qFormat/>
    <w:rPr>
      <w:rFonts w:ascii="Consolas" w:hAnsi="Consolas"/>
      <w:b/>
      <w:i/>
      <w:color w:val="60A0B0"/>
      <w:sz w:val="22"/>
    </w:rPr>
  </w:style>
  <w:style w:type="character" w:styleId="AlertTok" w:customStyle="1">
    <w:name w:val="AlertTok"/>
    <w:basedOn w:val="VerbatimChar"/>
    <w:qFormat/>
    <w:rPr>
      <w:rFonts w:ascii="Consolas" w:hAnsi="Consolas"/>
      <w:b/>
      <w:color w:val="FF0000"/>
      <w:sz w:val="22"/>
    </w:rPr>
  </w:style>
  <w:style w:type="character" w:styleId="ErrorTok" w:customStyle="1">
    <w:name w:val="ErrorTok"/>
    <w:basedOn w:val="VerbatimChar"/>
    <w:qFormat/>
    <w:rPr>
      <w:rFonts w:ascii="Consolas" w:hAnsi="Consolas"/>
      <w:b/>
      <w:color w:val="FF0000"/>
      <w:sz w:val="22"/>
    </w:rPr>
  </w:style>
  <w:style w:type="character" w:styleId="NormalTok" w:customStyle="1">
    <w:name w:val="NormalTok"/>
    <w:basedOn w:val="VerbatimChar"/>
    <w:qFormat/>
    <w:rPr>
      <w:rFonts w:ascii="Consolas" w:hAnsi="Consolas"/>
      <w:sz w:val="22"/>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qFormat/>
    <w:pPr>
      <w:spacing w:before="180" w:after="180"/>
    </w:pPr>
    <w:rPr/>
  </w:style>
  <w:style w:type="paragraph" w:styleId="List">
    <w:name w:val="List"/>
    <w:basedOn w:val="BodyText"/>
    <w:pPr/>
    <w:rPr>
      <w:rFonts w:cs="FreeSans"/>
    </w:rPr>
  </w:style>
  <w:style w:type="paragraph" w:styleId="Caption">
    <w:name w:val="Caption"/>
    <w:basedOn w:val="Normal"/>
    <w:link w:val="CaptionChar"/>
    <w:qFormat/>
    <w:pPr>
      <w:spacing w:before="0" w:after="120"/>
    </w:pPr>
    <w:rPr>
      <w:i/>
    </w:rPr>
  </w:style>
  <w:style w:type="paragraph" w:styleId="Index">
    <w:name w:val="Index"/>
    <w:basedOn w:val="Normal"/>
    <w:qFormat/>
    <w:pPr>
      <w:suppressLineNumbers/>
    </w:pPr>
    <w:rPr>
      <w:rFonts w:cs="FreeSans"/>
    </w:rPr>
  </w:style>
  <w:style w:type="paragraph" w:styleId="FirstParagraph" w:customStyle="1">
    <w:name w:val="First Paragraph"/>
    <w:basedOn w:val="BodyText"/>
    <w:next w:val="BodyText"/>
    <w:qFormat/>
    <w:pPr/>
    <w:rPr/>
  </w:style>
  <w:style w:type="paragraph" w:styleId="Compact" w:customStyle="1">
    <w:name w:val="Compact"/>
    <w:basedOn w:val="BodyText"/>
    <w:qFormat/>
    <w:pPr>
      <w:spacing w:before="36" w:after="36"/>
    </w:pPr>
    <w:rPr/>
  </w:style>
  <w:style w:type="paragraph" w:styleId="Title">
    <w:name w:val="Title"/>
    <w:basedOn w:val="Normal"/>
    <w:next w:val="BodyText"/>
    <w:qFormat/>
    <w:pPr>
      <w:keepNext w:val="true"/>
      <w:keepLines/>
      <w:spacing w:before="480" w:after="240"/>
      <w:jc w:val="center"/>
    </w:pPr>
    <w:rPr>
      <w:rFonts w:ascii="Calibri" w:hAnsi="Calibri" w:eastAsia="" w:cs="" w:asciiTheme="majorHAnsi" w:cstheme="majorBidi" w:eastAsiaTheme="majorEastAsia" w:hAnsiTheme="majorHAnsi"/>
      <w:b/>
      <w:bCs/>
      <w:color w:themeColor="accent1" w:themeShade="b5" w:val="345A8A"/>
      <w:sz w:val="36"/>
      <w:szCs w:val="36"/>
    </w:rPr>
  </w:style>
  <w:style w:type="paragraph" w:styleId="Subtitle">
    <w:name w:val="Subtitle"/>
    <w:basedOn w:val="Title"/>
    <w:next w:val="BodyText"/>
    <w:qFormat/>
    <w:pPr>
      <w:spacing w:before="240" w:after="240"/>
    </w:pPr>
    <w:rPr>
      <w:sz w:val="30"/>
      <w:szCs w:val="30"/>
    </w:rPr>
  </w:style>
  <w:style w:type="paragraph" w:styleId="Author" w:customStyle="1">
    <w:name w:val="Author"/>
    <w:next w:val="BodyText"/>
    <w:qFormat/>
    <w:pPr>
      <w:keepNext w:val="true"/>
      <w:keepLines/>
      <w:widowControl/>
      <w:bidi w:val="0"/>
      <w:spacing w:before="0" w:after="200"/>
      <w:jc w:val="center"/>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Date">
    <w:name w:val="Date"/>
    <w:next w:val="BodyText"/>
    <w:qFormat/>
    <w:pPr>
      <w:keepNext w:val="true"/>
      <w:keepLines/>
      <w:widowControl/>
      <w:bidi w:val="0"/>
      <w:spacing w:before="0" w:after="200"/>
      <w:jc w:val="center"/>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AbstractTitle" w:customStyle="1">
    <w:name w:val="Abstract Title"/>
    <w:basedOn w:val="Normal"/>
    <w:next w:val="Abstract"/>
    <w:qFormat/>
    <w:pPr>
      <w:keepNext w:val="true"/>
      <w:keepLines/>
      <w:spacing w:before="300" w:after="0"/>
      <w:jc w:val="center"/>
    </w:pPr>
    <w:rPr>
      <w:b/>
      <w:color w:val="345A8A"/>
      <w:sz w:val="20"/>
      <w:szCs w:val="20"/>
    </w:rPr>
  </w:style>
  <w:style w:type="paragraph" w:styleId="Abstract" w:customStyle="1">
    <w:name w:val="Abstract"/>
    <w:basedOn w:val="Normal"/>
    <w:next w:val="BodyText"/>
    <w:qFormat/>
    <w:pPr>
      <w:keepNext w:val="true"/>
      <w:keepLines/>
      <w:spacing w:before="100" w:after="300"/>
    </w:pPr>
    <w:rPr>
      <w:sz w:val="20"/>
      <w:szCs w:val="20"/>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before="100" w:after="100"/>
      <w:ind w:left="480" w:right="480"/>
    </w:pPr>
    <w:rPr/>
  </w:style>
  <w:style w:type="paragraph" w:styleId="FootnoteText">
    <w:name w:val="Footnote Text"/>
    <w:basedOn w:val="Normal"/>
    <w:uiPriority w:val="9"/>
    <w:unhideWhenUsed/>
    <w:qFormat/>
    <w:pPr/>
    <w:rPr/>
  </w:style>
  <w:style w:type="paragraph" w:styleId="DefinitionTerm" w:customStyle="1">
    <w:name w:val="Definition Term"/>
    <w:basedOn w:val="Normal"/>
    <w:next w:val="Definition"/>
    <w:qFormat/>
    <w:pPr>
      <w:keepNext w:val="true"/>
      <w:keepLines/>
      <w:spacing w:before="0" w:after="0"/>
    </w:pPr>
    <w:rPr>
      <w:b/>
    </w:rPr>
  </w:style>
  <w:style w:type="paragraph" w:styleId="Definition" w:customStyle="1">
    <w:name w:val="Definition"/>
    <w:basedOn w:val="Normal"/>
    <w:qFormat/>
    <w:pPr/>
    <w:rPr/>
  </w:style>
  <w:style w:type="paragraph" w:styleId="TableCaption" w:customStyle="1">
    <w:name w:val="Table Caption"/>
    <w:basedOn w:val="Caption"/>
    <w:qFormat/>
    <w:pPr>
      <w:keepNext w:val="true"/>
    </w:pPr>
    <w:rPr/>
  </w:style>
  <w:style w:type="paragraph" w:styleId="ImageCaption" w:customStyle="1">
    <w:name w:val="Image Caption"/>
    <w:basedOn w:val="Caption"/>
    <w:qFormat/>
    <w:pPr/>
    <w:rPr/>
  </w:style>
  <w:style w:type="paragraph" w:styleId="Figure" w:customStyle="1">
    <w:name w:val="Figure"/>
    <w:basedOn w:val="Normal"/>
    <w:qFormat/>
    <w:pPr/>
    <w:rPr/>
  </w:style>
  <w:style w:type="paragraph" w:styleId="CaptionedFigure" w:customStyle="1">
    <w:name w:val="Captioned Figure"/>
    <w:basedOn w:val="Figure"/>
    <w:qFormat/>
    <w:pPr>
      <w:keepNext w:val="true"/>
    </w:pPr>
    <w:rPr/>
  </w:style>
  <w:style w:type="paragraph" w:styleId="IndexHeading">
    <w:name w:val="Index Heading"/>
    <w:basedOn w:val="Heading"/>
    <w:pPr/>
    <w:rPr/>
  </w:style>
  <w:style w:type="paragraph" w:styleId="TOCHeading">
    <w:name w:val="TOC Heading"/>
    <w:basedOn w:val="Heading1"/>
    <w:next w:val="BodyText"/>
    <w:uiPriority w:val="39"/>
    <w:unhideWhenUsed/>
    <w:qFormat/>
    <w:pPr>
      <w:spacing w:lineRule="auto" w:line="259" w:before="240" w:after="0"/>
      <w:outlineLvl w:val="9"/>
    </w:pPr>
    <w:rPr>
      <w:b w:val="false"/>
      <w:bCs w:val="false"/>
      <w:color w:themeColor="accent1" w:themeShade="bf" w:val="365F91"/>
    </w:rPr>
  </w:style>
  <w:style w:type="paragraph" w:styleId="SourceCode" w:customStyle="1">
    <w:name w:val="Source Code"/>
    <w:basedOn w:val="Normal"/>
    <w:link w:val="VerbatimChar"/>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
    <w:name w:val="Table"/>
    <w:semiHidden/>
    <w:unhideWhenUsed/>
    <w:qFormat/>
    <w:tblPr>
      <w:tblCellMar>
        <w:top w:w="0" w:type="dxa"/>
        <w:left w:w="108" w:type="dxa"/>
        <w:bottom w:w="0" w:type="dxa"/>
        <w:right w:w="108" w:type="dxa"/>
      </w:tblCellMar>
    </w:tblPr>
    <w:tblStylePr w:type="firstRow">
      <w:tblPr/>
      <w:tcPr>
        <w:tcBorders>
          <w:bottom w:val="single" w:color="auto" w:sz="0" w:space="0"/>
        </w:tcBorders>
        <w:vAlign w:val="bottom"/>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TotalTime>
  <Application>LibreOffice/24.2.7.2$Linux_X86_64 LibreOffice_project/420$Build-2</Application>
  <AppVersion>15.0000</AppVersion>
  <Pages>12</Pages>
  <Words>674</Words>
  <Characters>4706</Characters>
  <CharactersWithSpaces>5356</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2026-05-21T13:14:00Z</dcterms:created>
  <dc:creator/>
  <dc:description/>
  <dc:language>en-US</dc:language>
  <cp:lastModifiedBy/>
  <dcterms:modified xsi:type="dcterms:W3CDTF">2026-07-20T21:51:04Z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