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20"/>
        <w:rPr/>
      </w:pPr>
      <w:r>
        <w:rPr>
          <w:b/>
          <w:bCs/>
          <w:sz w:val="24"/>
          <w:szCs w:val="24"/>
        </w:rPr>
        <w:t>SUPPLEMENTARY TABLES</w:t>
      </w:r>
    </w:p>
    <w:p>
      <w:pPr>
        <w:pStyle w:val="Normal"/>
        <w:spacing w:before="0" w:after="120"/>
        <w:rPr>
          <w:i/>
          <w:i/>
          <w:iCs/>
        </w:rPr>
      </w:pPr>
      <w:r>
        <w:rPr>
          <w:i/>
          <w:iCs/>
        </w:rPr>
      </w:r>
    </w:p>
    <w:p>
      <w:pPr>
        <w:pStyle w:val="Normal"/>
        <w:spacing w:before="0" w:after="120"/>
        <w:rPr/>
      </w:pPr>
      <w:r>
        <w:rPr>
          <w:b/>
          <w:bCs/>
        </w:rPr>
        <w:t xml:space="preserve">Manuscript title: </w:t>
      </w:r>
      <w:r>
        <w:rPr/>
        <w:t>A multiparametric nomogram to reduce unnecessary EBUS-TBNA in suspected lung cancer: development and internal validation in an anthracosis-prevalent cohort</w:t>
      </w:r>
    </w:p>
    <w:p>
      <w:pPr>
        <w:pStyle w:val="Normal"/>
        <w:spacing w:before="0" w:after="200"/>
        <w:rPr/>
      </w:pPr>
      <w:r>
        <w:rPr/>
        <w:t>This supplementary file contains eleven tables (S1–S11) and one figure (S1) that support the methodological choices, sensitivity analyses, and subgroup characterizations presented in the main manuscript. All analyses were performed on the primary cohort of 337 consecutive patients undergoing EBUS-TBNA (184 malignant, 153 benign by EBUS-TBNA cytopathology)</w:t>
      </w:r>
    </w:p>
    <w:p>
      <w:pPr>
        <w:pStyle w:val="Normal"/>
        <w:spacing w:before="0" w:after="200"/>
        <w:rPr/>
      </w:pPr>
      <w:r>
        <w:rPr/>
      </w:r>
    </w:p>
    <w:p>
      <w:pPr>
        <w:pStyle w:val="Normal"/>
        <w:spacing w:before="0" w:after="200"/>
        <w:rPr/>
      </w:pPr>
      <w:r>
        <w:rPr/>
      </w:r>
    </w:p>
    <w:p>
      <w:pPr>
        <w:pStyle w:val="Normal"/>
        <w:spacing w:before="0" w:after="200"/>
        <w:rPr/>
      </w:pPr>
      <w:r>
        <w:rPr/>
      </w:r>
    </w:p>
    <w:p>
      <w:pPr>
        <w:pStyle w:val="Normal"/>
        <w:spacing w:before="0" w:after="200"/>
        <w:rPr/>
      </w:pPr>
      <w:r>
        <w:rPr/>
      </w:r>
    </w:p>
    <w:p>
      <w:pPr>
        <w:pStyle w:val="Normal"/>
        <w:spacing w:before="0" w:after="200"/>
        <w:rPr/>
      </w:pPr>
      <w:r>
        <w:rPr/>
      </w:r>
    </w:p>
    <w:p>
      <w:pPr>
        <w:pStyle w:val="Normal"/>
        <w:spacing w:before="0" w:after="200"/>
        <w:rPr/>
      </w:pPr>
      <w:r>
        <w:rPr/>
      </w:r>
    </w:p>
    <w:p>
      <w:pPr>
        <w:pStyle w:val="Normal"/>
        <w:spacing w:before="0" w:after="200"/>
        <w:rPr/>
      </w:pPr>
      <w:r>
        <w:rPr/>
      </w:r>
    </w:p>
    <w:p>
      <w:pPr>
        <w:pStyle w:val="Normal"/>
        <w:spacing w:before="0" w:after="200"/>
        <w:rPr/>
      </w:pPr>
      <w:r>
        <w:rPr/>
      </w:r>
    </w:p>
    <w:p>
      <w:pPr>
        <w:pStyle w:val="Normal"/>
        <w:spacing w:before="0" w:after="200"/>
        <w:rPr/>
      </w:pPr>
      <w:r>
        <w:rPr/>
      </w:r>
    </w:p>
    <w:p>
      <w:pPr>
        <w:pStyle w:val="Normal"/>
        <w:spacing w:before="0" w:after="200"/>
        <w:rPr/>
      </w:pPr>
      <w:r>
        <w:rPr/>
      </w:r>
    </w:p>
    <w:p>
      <w:pPr>
        <w:pStyle w:val="Normal"/>
        <w:spacing w:before="0" w:after="200"/>
        <w:rPr/>
      </w:pPr>
      <w:r>
        <w:rPr/>
      </w:r>
    </w:p>
    <w:p>
      <w:pPr>
        <w:pStyle w:val="Normal"/>
        <w:spacing w:before="0" w:after="200"/>
        <w:rPr/>
      </w:pPr>
      <w:r>
        <w:rPr/>
      </w:r>
    </w:p>
    <w:p>
      <w:pPr>
        <w:pStyle w:val="Normal"/>
        <w:spacing w:before="0" w:after="200"/>
        <w:rPr/>
      </w:pPr>
      <w:r>
        <w:rPr/>
      </w:r>
    </w:p>
    <w:p>
      <w:pPr>
        <w:pStyle w:val="Normal"/>
        <w:spacing w:before="0" w:after="200"/>
        <w:rPr/>
      </w:pPr>
      <w:r>
        <w:rPr/>
      </w:r>
    </w:p>
    <w:p>
      <w:pPr>
        <w:pStyle w:val="Normal"/>
        <w:spacing w:before="0" w:after="200"/>
        <w:rPr/>
      </w:pPr>
      <w:r>
        <w:rPr/>
      </w:r>
    </w:p>
    <w:p>
      <w:pPr>
        <w:pStyle w:val="Normal"/>
        <w:spacing w:before="0" w:after="200"/>
        <w:rPr/>
      </w:pPr>
      <w:r>
        <w:rPr/>
      </w:r>
    </w:p>
    <w:p>
      <w:pPr>
        <w:pStyle w:val="Normal"/>
        <w:spacing w:before="0" w:after="200"/>
        <w:rPr/>
      </w:pPr>
      <w:r>
        <w:rPr/>
      </w:r>
    </w:p>
    <w:p>
      <w:pPr>
        <w:pStyle w:val="Normal"/>
        <w:spacing w:before="0" w:after="200"/>
        <w:rPr/>
      </w:pPr>
      <w:r>
        <w:rPr/>
      </w:r>
    </w:p>
    <w:p>
      <w:pPr>
        <w:pStyle w:val="Normal"/>
        <w:spacing w:before="0" w:after="200"/>
        <w:rPr/>
      </w:pPr>
      <w:r>
        <w:rPr/>
      </w:r>
    </w:p>
    <w:p>
      <w:pPr>
        <w:pStyle w:val="Normal"/>
        <w:spacing w:before="0" w:after="200"/>
        <w:rPr/>
      </w:pPr>
      <w:r>
        <w:rPr/>
      </w:r>
    </w:p>
    <w:p>
      <w:pPr>
        <w:pStyle w:val="Normal"/>
        <w:spacing w:before="0" w:after="200"/>
        <w:rPr/>
      </w:pPr>
      <w:r>
        <w:rPr/>
      </w:r>
    </w:p>
    <w:p>
      <w:pPr>
        <w:pStyle w:val="Normal"/>
        <w:spacing w:before="0" w:after="200"/>
        <w:rPr/>
      </w:pPr>
      <w:r>
        <w:rPr/>
      </w:r>
    </w:p>
    <w:p>
      <w:pPr>
        <w:pStyle w:val="Normal"/>
        <w:spacing w:before="0" w:after="200"/>
        <w:rPr/>
      </w:pPr>
      <w:r>
        <w:rPr/>
      </w:r>
    </w:p>
    <w:p>
      <w:pPr>
        <w:pStyle w:val="Normal"/>
        <w:spacing w:before="0" w:after="200"/>
        <w:rPr/>
      </w:pPr>
      <w:r>
        <w:rPr/>
      </w:r>
    </w:p>
    <w:p>
      <w:pPr>
        <w:pStyle w:val="Normal"/>
        <w:spacing w:before="200" w:after="100"/>
        <w:rPr/>
      </w:pPr>
      <w:r>
        <w:rPr>
          <w:b/>
          <w:bCs/>
        </w:rPr>
        <w:t>Table S1</w:t>
      </w:r>
      <w:r>
        <w:rPr/>
        <w:t xml:space="preserve"> Inter-observer agreement for quantitative imaging measurements (n = 337).</w:t>
      </w:r>
    </w:p>
    <w:tbl>
      <w:tblPr>
        <w:tblW w:w="9800" w:type="dxa"/>
        <w:jc w:val="left"/>
        <w:tblInd w:w="0" w:type="dxa"/>
        <w:tblLayout w:type="fixed"/>
        <w:tblCellMar>
          <w:top w:w="80" w:type="dxa"/>
          <w:left w:w="100" w:type="dxa"/>
          <w:bottom w:w="80" w:type="dxa"/>
          <w:right w:w="100" w:type="dxa"/>
        </w:tblCellMar>
        <w:tblLook w:val="04a0" w:noHBand="0" w:noVBand="1" w:firstColumn="1" w:lastRow="0" w:lastColumn="0" w:firstRow="1"/>
      </w:tblPr>
      <w:tblGrid>
        <w:gridCol w:w="2699"/>
        <w:gridCol w:w="2201"/>
        <w:gridCol w:w="2200"/>
        <w:gridCol w:w="999"/>
        <w:gridCol w:w="1701"/>
      </w:tblGrid>
      <w:tr>
        <w:trPr>
          <w:tblHeader w:val="true"/>
        </w:trPr>
        <w:tc>
          <w:tcPr>
            <w:tcW w:w="2699" w:type="dxa"/>
            <w:tcBorders>
              <w:top w:val="single" w:sz="8" w:space="0" w:color="000000"/>
              <w:bottom w:val="single" w:sz="8" w:space="0" w:color="000000"/>
            </w:tcBorders>
          </w:tcPr>
          <w:p>
            <w:pPr>
              <w:pStyle w:val="Normal"/>
              <w:spacing w:before="60" w:after="60"/>
              <w:rPr/>
            </w:pPr>
            <w:r>
              <w:rPr>
                <w:b/>
                <w:bCs/>
              </w:rPr>
              <w:t>Measurement</w:t>
            </w:r>
          </w:p>
        </w:tc>
        <w:tc>
          <w:tcPr>
            <w:tcW w:w="2201" w:type="dxa"/>
            <w:tcBorders>
              <w:top w:val="single" w:sz="8" w:space="0" w:color="000000"/>
              <w:bottom w:val="single" w:sz="8" w:space="0" w:color="000000"/>
            </w:tcBorders>
          </w:tcPr>
          <w:p>
            <w:pPr>
              <w:pStyle w:val="Normal"/>
              <w:spacing w:before="60" w:after="60"/>
              <w:rPr/>
            </w:pPr>
            <w:r>
              <w:rPr>
                <w:b/>
                <w:bCs/>
              </w:rPr>
              <w:t>Reader 1 (mean ± SD)</w:t>
            </w:r>
          </w:p>
        </w:tc>
        <w:tc>
          <w:tcPr>
            <w:tcW w:w="2200" w:type="dxa"/>
            <w:tcBorders>
              <w:top w:val="single" w:sz="8" w:space="0" w:color="000000"/>
              <w:bottom w:val="single" w:sz="8" w:space="0" w:color="000000"/>
            </w:tcBorders>
          </w:tcPr>
          <w:p>
            <w:pPr>
              <w:pStyle w:val="Normal"/>
              <w:spacing w:before="60" w:after="60"/>
              <w:rPr/>
            </w:pPr>
            <w:r>
              <w:rPr>
                <w:b/>
                <w:bCs/>
              </w:rPr>
              <w:t>Reader 2 (mean ± SD)</w:t>
            </w:r>
          </w:p>
        </w:tc>
        <w:tc>
          <w:tcPr>
            <w:tcW w:w="999" w:type="dxa"/>
            <w:tcBorders>
              <w:top w:val="single" w:sz="8" w:space="0" w:color="000000"/>
              <w:bottom w:val="single" w:sz="8" w:space="0" w:color="000000"/>
            </w:tcBorders>
          </w:tcPr>
          <w:p>
            <w:pPr>
              <w:pStyle w:val="Normal"/>
              <w:spacing w:before="60" w:after="60"/>
              <w:rPr/>
            </w:pPr>
            <w:r>
              <w:rPr>
                <w:b/>
                <w:bCs/>
              </w:rPr>
              <w:t>ICC</w:t>
            </w:r>
          </w:p>
        </w:tc>
        <w:tc>
          <w:tcPr>
            <w:tcW w:w="1701" w:type="dxa"/>
            <w:tcBorders>
              <w:top w:val="single" w:sz="8" w:space="0" w:color="000000"/>
              <w:bottom w:val="single" w:sz="8" w:space="0" w:color="000000"/>
            </w:tcBorders>
          </w:tcPr>
          <w:p>
            <w:pPr>
              <w:pStyle w:val="Normal"/>
              <w:spacing w:before="60" w:after="60"/>
              <w:rPr/>
            </w:pPr>
            <w:r>
              <w:rPr>
                <w:b/>
                <w:bCs/>
              </w:rPr>
              <w:t>95% CI</w:t>
            </w:r>
          </w:p>
        </w:tc>
      </w:tr>
      <w:tr>
        <w:trPr/>
        <w:tc>
          <w:tcPr>
            <w:tcW w:w="2699" w:type="dxa"/>
            <w:tcBorders>
              <w:bottom w:val="single" w:sz="4" w:space="0" w:color="BFBFBF"/>
            </w:tcBorders>
          </w:tcPr>
          <w:p>
            <w:pPr>
              <w:pStyle w:val="Normal"/>
              <w:spacing w:before="40" w:after="40"/>
              <w:rPr/>
            </w:pPr>
            <w:r>
              <w:rPr/>
              <w:t>Mean Hounsfield unit</w:t>
            </w:r>
          </w:p>
        </w:tc>
        <w:tc>
          <w:tcPr>
            <w:tcW w:w="2201" w:type="dxa"/>
            <w:tcBorders>
              <w:bottom w:val="single" w:sz="4" w:space="0" w:color="BFBFBF"/>
            </w:tcBorders>
          </w:tcPr>
          <w:p>
            <w:pPr>
              <w:pStyle w:val="Normal"/>
              <w:spacing w:before="40" w:after="40"/>
              <w:rPr/>
            </w:pPr>
            <w:r>
              <w:rPr/>
              <w:t>40.7 ± 14.2</w:t>
            </w:r>
          </w:p>
        </w:tc>
        <w:tc>
          <w:tcPr>
            <w:tcW w:w="2200" w:type="dxa"/>
            <w:tcBorders>
              <w:bottom w:val="single" w:sz="4" w:space="0" w:color="BFBFBF"/>
            </w:tcBorders>
          </w:tcPr>
          <w:p>
            <w:pPr>
              <w:pStyle w:val="Normal"/>
              <w:spacing w:before="40" w:after="40"/>
              <w:rPr/>
            </w:pPr>
            <w:r>
              <w:rPr/>
              <w:t>41.1 ± 14.5</w:t>
            </w:r>
          </w:p>
        </w:tc>
        <w:tc>
          <w:tcPr>
            <w:tcW w:w="999" w:type="dxa"/>
            <w:tcBorders>
              <w:bottom w:val="single" w:sz="4" w:space="0" w:color="BFBFBF"/>
            </w:tcBorders>
          </w:tcPr>
          <w:p>
            <w:pPr>
              <w:pStyle w:val="Normal"/>
              <w:spacing w:before="40" w:after="40"/>
              <w:rPr/>
            </w:pPr>
            <w:r>
              <w:rPr/>
              <w:t>0.95</w:t>
            </w:r>
          </w:p>
        </w:tc>
        <w:tc>
          <w:tcPr>
            <w:tcW w:w="1701" w:type="dxa"/>
            <w:tcBorders>
              <w:bottom w:val="single" w:sz="4" w:space="0" w:color="BFBFBF"/>
            </w:tcBorders>
          </w:tcPr>
          <w:p>
            <w:pPr>
              <w:pStyle w:val="Normal"/>
              <w:spacing w:before="40" w:after="40"/>
              <w:rPr/>
            </w:pPr>
            <w:r>
              <w:rPr/>
              <w:t>0.907–0.969</w:t>
            </w:r>
          </w:p>
        </w:tc>
      </w:tr>
      <w:tr>
        <w:trPr/>
        <w:tc>
          <w:tcPr>
            <w:tcW w:w="2699" w:type="dxa"/>
            <w:tcBorders>
              <w:bottom w:val="single" w:sz="8" w:space="0" w:color="000000"/>
            </w:tcBorders>
          </w:tcPr>
          <w:p>
            <w:pPr>
              <w:pStyle w:val="Normal"/>
              <w:spacing w:before="40" w:after="40"/>
              <w:rPr/>
            </w:pPr>
            <w:r>
              <w:rPr/>
              <w:t>SUVmax</w:t>
            </w:r>
          </w:p>
        </w:tc>
        <w:tc>
          <w:tcPr>
            <w:tcW w:w="2201" w:type="dxa"/>
            <w:tcBorders>
              <w:bottom w:val="single" w:sz="8" w:space="0" w:color="000000"/>
            </w:tcBorders>
          </w:tcPr>
          <w:p>
            <w:pPr>
              <w:pStyle w:val="Normal"/>
              <w:spacing w:before="40" w:after="40"/>
              <w:rPr/>
            </w:pPr>
            <w:r>
              <w:rPr/>
              <w:t>8.04 ± 5.51</w:t>
            </w:r>
          </w:p>
        </w:tc>
        <w:tc>
          <w:tcPr>
            <w:tcW w:w="2200" w:type="dxa"/>
            <w:tcBorders>
              <w:bottom w:val="single" w:sz="8" w:space="0" w:color="000000"/>
            </w:tcBorders>
          </w:tcPr>
          <w:p>
            <w:pPr>
              <w:pStyle w:val="Normal"/>
              <w:spacing w:before="40" w:after="40"/>
              <w:rPr/>
            </w:pPr>
            <w:r>
              <w:rPr/>
              <w:t>8.18 ± 5.62</w:t>
            </w:r>
          </w:p>
        </w:tc>
        <w:tc>
          <w:tcPr>
            <w:tcW w:w="999" w:type="dxa"/>
            <w:tcBorders>
              <w:bottom w:val="single" w:sz="8" w:space="0" w:color="000000"/>
            </w:tcBorders>
          </w:tcPr>
          <w:p>
            <w:pPr>
              <w:pStyle w:val="Normal"/>
              <w:spacing w:before="40" w:after="40"/>
              <w:rPr/>
            </w:pPr>
            <w:r>
              <w:rPr/>
              <w:t>0.93</w:t>
            </w:r>
          </w:p>
        </w:tc>
        <w:tc>
          <w:tcPr>
            <w:tcW w:w="1701" w:type="dxa"/>
            <w:tcBorders>
              <w:bottom w:val="single" w:sz="8" w:space="0" w:color="000000"/>
            </w:tcBorders>
          </w:tcPr>
          <w:p>
            <w:pPr>
              <w:pStyle w:val="Normal"/>
              <w:spacing w:before="40" w:after="40"/>
              <w:rPr/>
            </w:pPr>
            <w:r>
              <w:rPr/>
              <w:t>0.912–0.952</w:t>
            </w:r>
          </w:p>
        </w:tc>
      </w:tr>
    </w:tbl>
    <w:p>
      <w:pPr>
        <w:pStyle w:val="Normal"/>
        <w:spacing w:before="0" w:after="80"/>
        <w:rPr/>
      </w:pPr>
      <w:r>
        <w:rPr/>
        <w:t>ICC values were interpreted using the Koo and Li (2016) classification: ICC &gt; 0.90 indicates excellent agreement. Each measurement was performed independently by two readers blinded to the patient's clinical data, histopathological diagnosis, and the other reader's evaluations. Readers were two thoracic radiologists (10 and 4 years of experience) for HU, and two nuclear medicine physicians (14 and 9 years of experience) for SUVmax.</w:t>
      </w:r>
    </w:p>
    <w:p>
      <w:pPr>
        <w:pStyle w:val="Normal"/>
        <w:spacing w:before="0" w:after="80"/>
        <w:rPr/>
      </w:pPr>
      <w:r>
        <w:rPr/>
        <w:t>ICC, intraclass correlation coefficient; CI, confidence interval; SD, standard deviation; SUVmax, maximum standardized uptake value.</w:t>
      </w:r>
    </w:p>
    <w:p>
      <w:pPr>
        <w:pStyle w:val="Normal"/>
        <w:spacing w:before="200" w:after="100"/>
        <w:rPr>
          <w:b/>
          <w:bCs/>
        </w:rPr>
      </w:pPr>
      <w:r>
        <w:rPr>
          <w:b/>
          <w:bCs/>
        </w:rPr>
      </w:r>
    </w:p>
    <w:p>
      <w:pPr>
        <w:pStyle w:val="Normal"/>
        <w:spacing w:before="200" w:after="100"/>
        <w:rPr>
          <w:b/>
          <w:bCs/>
        </w:rPr>
      </w:pPr>
      <w:r>
        <w:rPr>
          <w:b/>
          <w:bCs/>
        </w:rPr>
      </w:r>
    </w:p>
    <w:p>
      <w:pPr>
        <w:pStyle w:val="Normal"/>
        <w:spacing w:before="200" w:after="100"/>
        <w:rPr>
          <w:b/>
          <w:bCs/>
        </w:rPr>
      </w:pPr>
      <w:r>
        <w:rPr>
          <w:b/>
          <w:bCs/>
        </w:rPr>
      </w:r>
    </w:p>
    <w:p>
      <w:pPr>
        <w:pStyle w:val="Normal"/>
        <w:spacing w:before="200" w:after="100"/>
        <w:rPr>
          <w:b/>
          <w:bCs/>
        </w:rPr>
      </w:pPr>
      <w:r>
        <w:rPr>
          <w:b/>
          <w:bCs/>
        </w:rPr>
      </w:r>
    </w:p>
    <w:p>
      <w:pPr>
        <w:pStyle w:val="Normal"/>
        <w:spacing w:before="200" w:after="100"/>
        <w:rPr>
          <w:b/>
          <w:bCs/>
        </w:rPr>
      </w:pPr>
      <w:r>
        <w:rPr>
          <w:b/>
          <w:bCs/>
        </w:rPr>
      </w:r>
    </w:p>
    <w:p>
      <w:pPr>
        <w:pStyle w:val="Normal"/>
        <w:spacing w:before="200" w:after="100"/>
        <w:rPr>
          <w:b/>
          <w:bCs/>
        </w:rPr>
      </w:pPr>
      <w:r>
        <w:rPr>
          <w:b/>
          <w:bCs/>
        </w:rPr>
      </w:r>
    </w:p>
    <w:p>
      <w:pPr>
        <w:pStyle w:val="Normal"/>
        <w:spacing w:before="200" w:after="100"/>
        <w:rPr>
          <w:b/>
          <w:bCs/>
        </w:rPr>
      </w:pPr>
      <w:r>
        <w:rPr>
          <w:b/>
          <w:bCs/>
        </w:rPr>
      </w:r>
    </w:p>
    <w:p>
      <w:pPr>
        <w:pStyle w:val="Normal"/>
        <w:spacing w:before="200" w:after="100"/>
        <w:rPr>
          <w:b/>
          <w:bCs/>
        </w:rPr>
      </w:pPr>
      <w:r>
        <w:rPr>
          <w:b/>
          <w:bCs/>
        </w:rPr>
      </w:r>
    </w:p>
    <w:p>
      <w:pPr>
        <w:pStyle w:val="Normal"/>
        <w:spacing w:before="200" w:after="100"/>
        <w:rPr>
          <w:b/>
          <w:bCs/>
        </w:rPr>
      </w:pPr>
      <w:r>
        <w:rPr>
          <w:b/>
          <w:bCs/>
        </w:rPr>
      </w:r>
    </w:p>
    <w:p>
      <w:pPr>
        <w:pStyle w:val="Normal"/>
        <w:spacing w:before="200" w:after="100"/>
        <w:rPr>
          <w:b/>
          <w:bCs/>
        </w:rPr>
      </w:pPr>
      <w:r>
        <w:rPr>
          <w:b/>
          <w:bCs/>
        </w:rPr>
      </w:r>
    </w:p>
    <w:p>
      <w:pPr>
        <w:pStyle w:val="Normal"/>
        <w:spacing w:before="200" w:after="100"/>
        <w:rPr>
          <w:b/>
          <w:bCs/>
        </w:rPr>
      </w:pPr>
      <w:r>
        <w:rPr>
          <w:b/>
          <w:bCs/>
        </w:rPr>
      </w:r>
    </w:p>
    <w:p>
      <w:pPr>
        <w:pStyle w:val="Normal"/>
        <w:spacing w:before="200" w:after="100"/>
        <w:rPr>
          <w:b/>
          <w:bCs/>
        </w:rPr>
      </w:pPr>
      <w:r>
        <w:rPr>
          <w:b/>
          <w:bCs/>
        </w:rPr>
      </w:r>
    </w:p>
    <w:p>
      <w:pPr>
        <w:pStyle w:val="Normal"/>
        <w:spacing w:before="200" w:after="100"/>
        <w:rPr>
          <w:b/>
          <w:bCs/>
        </w:rPr>
      </w:pPr>
      <w:r>
        <w:rPr>
          <w:b/>
          <w:bCs/>
        </w:rPr>
      </w:r>
    </w:p>
    <w:p>
      <w:pPr>
        <w:pStyle w:val="Normal"/>
        <w:spacing w:before="200" w:after="100"/>
        <w:rPr>
          <w:b/>
          <w:bCs/>
        </w:rPr>
      </w:pPr>
      <w:r>
        <w:rPr>
          <w:b/>
          <w:bCs/>
        </w:rPr>
      </w:r>
    </w:p>
    <w:p>
      <w:pPr>
        <w:pStyle w:val="Normal"/>
        <w:spacing w:before="200" w:after="100"/>
        <w:rPr>
          <w:b/>
          <w:bCs/>
        </w:rPr>
      </w:pPr>
      <w:r>
        <w:rPr>
          <w:b/>
          <w:bCs/>
        </w:rPr>
      </w:r>
    </w:p>
    <w:p>
      <w:pPr>
        <w:pStyle w:val="Normal"/>
        <w:spacing w:before="200" w:after="100"/>
        <w:rPr>
          <w:b/>
          <w:bCs/>
        </w:rPr>
      </w:pPr>
      <w:r>
        <w:rPr>
          <w:b/>
          <w:bCs/>
        </w:rPr>
      </w:r>
    </w:p>
    <w:p>
      <w:pPr>
        <w:pStyle w:val="Normal"/>
        <w:spacing w:before="200" w:after="100"/>
        <w:rPr>
          <w:b/>
          <w:bCs/>
        </w:rPr>
      </w:pPr>
      <w:r>
        <w:rPr>
          <w:b/>
          <w:bCs/>
        </w:rPr>
      </w:r>
    </w:p>
    <w:p>
      <w:pPr>
        <w:pStyle w:val="Normal"/>
        <w:spacing w:before="200" w:after="100"/>
        <w:rPr>
          <w:b/>
          <w:bCs/>
        </w:rPr>
      </w:pPr>
      <w:r>
        <w:rPr>
          <w:b/>
          <w:bCs/>
        </w:rPr>
      </w:r>
    </w:p>
    <w:p>
      <w:pPr>
        <w:pStyle w:val="Normal"/>
        <w:spacing w:before="200" w:after="100"/>
        <w:rPr>
          <w:b/>
          <w:bCs/>
        </w:rPr>
      </w:pPr>
      <w:r>
        <w:rPr>
          <w:b/>
          <w:bCs/>
        </w:rPr>
      </w:r>
    </w:p>
    <w:p>
      <w:pPr>
        <w:pStyle w:val="Normal"/>
        <w:spacing w:before="200" w:after="100"/>
        <w:rPr>
          <w:b/>
          <w:bCs/>
        </w:rPr>
      </w:pPr>
      <w:r>
        <w:rPr>
          <w:b/>
          <w:bCs/>
        </w:rPr>
      </w:r>
    </w:p>
    <w:p>
      <w:pPr>
        <w:pStyle w:val="Normal"/>
        <w:spacing w:before="200" w:after="100"/>
        <w:rPr>
          <w:b/>
          <w:bCs/>
        </w:rPr>
      </w:pPr>
      <w:r>
        <w:rPr>
          <w:b/>
          <w:bCs/>
        </w:rPr>
      </w:r>
    </w:p>
    <w:p>
      <w:pPr>
        <w:pStyle w:val="Normal"/>
        <w:spacing w:before="200" w:after="100"/>
        <w:rPr>
          <w:b/>
          <w:bCs/>
        </w:rPr>
      </w:pPr>
      <w:r>
        <w:rPr>
          <w:b/>
          <w:bCs/>
        </w:rPr>
      </w:r>
    </w:p>
    <w:p>
      <w:pPr>
        <w:pStyle w:val="Normal"/>
        <w:spacing w:before="200" w:after="100"/>
        <w:rPr/>
      </w:pPr>
      <w:r>
        <w:rPr>
          <w:b/>
          <w:bCs/>
        </w:rPr>
        <w:t>Table S2</w:t>
      </w:r>
      <w:r>
        <w:rPr/>
        <w:t xml:space="preserve"> Comparison of age functional forms in the multivariable nomogram model (n = 337).</w:t>
      </w:r>
    </w:p>
    <w:tbl>
      <w:tblPr>
        <w:tblW w:w="9200" w:type="dxa"/>
        <w:jc w:val="left"/>
        <w:tblInd w:w="0" w:type="dxa"/>
        <w:tblLayout w:type="fixed"/>
        <w:tblCellMar>
          <w:top w:w="80" w:type="dxa"/>
          <w:left w:w="100" w:type="dxa"/>
          <w:bottom w:w="80" w:type="dxa"/>
          <w:right w:w="100" w:type="dxa"/>
        </w:tblCellMar>
        <w:tblLook w:val="04a0" w:noHBand="0" w:noVBand="1" w:firstColumn="1" w:lastRow="0" w:lastColumn="0" w:firstRow="1"/>
      </w:tblPr>
      <w:tblGrid>
        <w:gridCol w:w="2389"/>
        <w:gridCol w:w="497"/>
        <w:gridCol w:w="1198"/>
        <w:gridCol w:w="999"/>
        <w:gridCol w:w="998"/>
        <w:gridCol w:w="1023"/>
        <w:gridCol w:w="1297"/>
        <w:gridCol w:w="798"/>
      </w:tblGrid>
      <w:tr>
        <w:trPr>
          <w:tblHeader w:val="true"/>
        </w:trPr>
        <w:tc>
          <w:tcPr>
            <w:tcW w:w="2389" w:type="dxa"/>
            <w:tcBorders>
              <w:top w:val="single" w:sz="8" w:space="0" w:color="000000"/>
              <w:bottom w:val="single" w:sz="8" w:space="0" w:color="000000"/>
            </w:tcBorders>
          </w:tcPr>
          <w:p>
            <w:pPr>
              <w:pStyle w:val="Normal"/>
              <w:spacing w:before="60" w:after="60"/>
              <w:rPr/>
            </w:pPr>
            <w:r>
              <w:rPr>
                <w:b/>
                <w:bCs/>
              </w:rPr>
              <w:t>Age formulation</w:t>
            </w:r>
          </w:p>
        </w:tc>
        <w:tc>
          <w:tcPr>
            <w:tcW w:w="497" w:type="dxa"/>
            <w:tcBorders>
              <w:top w:val="single" w:sz="8" w:space="0" w:color="000000"/>
              <w:bottom w:val="single" w:sz="8" w:space="0" w:color="000000"/>
            </w:tcBorders>
          </w:tcPr>
          <w:p>
            <w:pPr>
              <w:pStyle w:val="Normal"/>
              <w:spacing w:before="60" w:after="60"/>
              <w:rPr/>
            </w:pPr>
            <w:r>
              <w:rPr>
                <w:b/>
                <w:bCs/>
              </w:rPr>
              <w:t>k</w:t>
            </w:r>
          </w:p>
        </w:tc>
        <w:tc>
          <w:tcPr>
            <w:tcW w:w="1198" w:type="dxa"/>
            <w:tcBorders>
              <w:top w:val="single" w:sz="8" w:space="0" w:color="000000"/>
              <w:bottom w:val="single" w:sz="8" w:space="0" w:color="000000"/>
            </w:tcBorders>
          </w:tcPr>
          <w:p>
            <w:pPr>
              <w:pStyle w:val="Normal"/>
              <w:spacing w:before="60" w:after="60"/>
              <w:rPr/>
            </w:pPr>
            <w:r>
              <w:rPr>
                <w:b/>
                <w:bCs/>
              </w:rPr>
              <w:t>Log-likelihood</w:t>
            </w:r>
          </w:p>
        </w:tc>
        <w:tc>
          <w:tcPr>
            <w:tcW w:w="999" w:type="dxa"/>
            <w:tcBorders>
              <w:top w:val="single" w:sz="8" w:space="0" w:color="000000"/>
              <w:bottom w:val="single" w:sz="8" w:space="0" w:color="000000"/>
            </w:tcBorders>
          </w:tcPr>
          <w:p>
            <w:pPr>
              <w:pStyle w:val="Normal"/>
              <w:spacing w:before="60" w:after="60"/>
              <w:rPr/>
            </w:pPr>
            <w:r>
              <w:rPr>
                <w:b/>
                <w:bCs/>
              </w:rPr>
              <w:t>AIC</w:t>
            </w:r>
          </w:p>
        </w:tc>
        <w:tc>
          <w:tcPr>
            <w:tcW w:w="998" w:type="dxa"/>
            <w:tcBorders>
              <w:top w:val="single" w:sz="8" w:space="0" w:color="000000"/>
              <w:bottom w:val="single" w:sz="8" w:space="0" w:color="000000"/>
            </w:tcBorders>
          </w:tcPr>
          <w:p>
            <w:pPr>
              <w:pStyle w:val="Normal"/>
              <w:spacing w:before="60" w:after="60"/>
              <w:rPr/>
            </w:pPr>
            <w:r>
              <w:rPr>
                <w:b/>
                <w:bCs/>
              </w:rPr>
              <w:t>BIC</w:t>
            </w:r>
          </w:p>
        </w:tc>
        <w:tc>
          <w:tcPr>
            <w:tcW w:w="1023" w:type="dxa"/>
            <w:tcBorders>
              <w:top w:val="single" w:sz="8" w:space="0" w:color="000000"/>
              <w:bottom w:val="single" w:sz="8" w:space="0" w:color="000000"/>
            </w:tcBorders>
          </w:tcPr>
          <w:p>
            <w:pPr>
              <w:pStyle w:val="Normal"/>
              <w:spacing w:before="60" w:after="60"/>
              <w:rPr/>
            </w:pPr>
            <w:r>
              <w:rPr>
                <w:b/>
                <w:bCs/>
              </w:rPr>
              <w:t>Apparent AUC</w:t>
            </w:r>
          </w:p>
        </w:tc>
        <w:tc>
          <w:tcPr>
            <w:tcW w:w="1297" w:type="dxa"/>
            <w:tcBorders>
              <w:top w:val="single" w:sz="8" w:space="0" w:color="000000"/>
              <w:bottom w:val="single" w:sz="8" w:space="0" w:color="000000"/>
            </w:tcBorders>
          </w:tcPr>
          <w:p>
            <w:pPr>
              <w:pStyle w:val="Normal"/>
              <w:spacing w:before="60" w:after="60"/>
              <w:rPr/>
            </w:pPr>
            <w:r>
              <w:rPr>
                <w:b/>
                <w:bCs/>
              </w:rPr>
              <w:t>Bias-corrected AUC</w:t>
            </w:r>
          </w:p>
        </w:tc>
        <w:tc>
          <w:tcPr>
            <w:tcW w:w="798" w:type="dxa"/>
            <w:tcBorders>
              <w:top w:val="single" w:sz="8" w:space="0" w:color="000000"/>
              <w:bottom w:val="single" w:sz="8" w:space="0" w:color="000000"/>
            </w:tcBorders>
          </w:tcPr>
          <w:p>
            <w:pPr>
              <w:pStyle w:val="Normal"/>
              <w:spacing w:before="60" w:after="60"/>
              <w:rPr/>
            </w:pPr>
            <w:r>
              <w:rPr>
                <w:b/>
                <w:bCs/>
              </w:rPr>
              <w:t>Brier</w:t>
            </w:r>
          </w:p>
        </w:tc>
      </w:tr>
      <w:tr>
        <w:trPr/>
        <w:tc>
          <w:tcPr>
            <w:tcW w:w="2389" w:type="dxa"/>
            <w:tcBorders>
              <w:bottom w:val="single" w:sz="4" w:space="0" w:color="BFBFBF"/>
            </w:tcBorders>
          </w:tcPr>
          <w:p>
            <w:pPr>
              <w:pStyle w:val="Normal"/>
              <w:spacing w:before="40" w:after="40"/>
              <w:rPr/>
            </w:pPr>
            <w:r>
              <w:rPr>
                <w:b/>
                <w:bCs/>
              </w:rPr>
              <w:t>Dichotomized (≥ 65 years) — primary</w:t>
            </w:r>
          </w:p>
        </w:tc>
        <w:tc>
          <w:tcPr>
            <w:tcW w:w="497" w:type="dxa"/>
            <w:tcBorders>
              <w:bottom w:val="single" w:sz="4" w:space="0" w:color="BFBFBF"/>
            </w:tcBorders>
          </w:tcPr>
          <w:p>
            <w:pPr>
              <w:pStyle w:val="Normal"/>
              <w:spacing w:before="40" w:after="40"/>
              <w:rPr/>
            </w:pPr>
            <w:r>
              <w:rPr>
                <w:b/>
                <w:bCs/>
              </w:rPr>
              <w:t>6</w:t>
            </w:r>
          </w:p>
        </w:tc>
        <w:tc>
          <w:tcPr>
            <w:tcW w:w="1198" w:type="dxa"/>
            <w:tcBorders>
              <w:bottom w:val="single" w:sz="4" w:space="0" w:color="BFBFBF"/>
            </w:tcBorders>
          </w:tcPr>
          <w:p>
            <w:pPr>
              <w:pStyle w:val="Normal"/>
              <w:spacing w:before="40" w:after="40"/>
              <w:rPr/>
            </w:pPr>
            <w:r>
              <w:rPr>
                <w:b/>
                <w:bCs/>
              </w:rPr>
              <w:t>−</w:t>
            </w:r>
            <w:r>
              <w:rPr>
                <w:b/>
                <w:bCs/>
              </w:rPr>
              <w:t>180.835</w:t>
            </w:r>
          </w:p>
        </w:tc>
        <w:tc>
          <w:tcPr>
            <w:tcW w:w="999" w:type="dxa"/>
            <w:tcBorders>
              <w:bottom w:val="single" w:sz="4" w:space="0" w:color="BFBFBF"/>
            </w:tcBorders>
          </w:tcPr>
          <w:p>
            <w:pPr>
              <w:pStyle w:val="Normal"/>
              <w:spacing w:before="40" w:after="40"/>
              <w:rPr/>
            </w:pPr>
            <w:r>
              <w:rPr>
                <w:b/>
                <w:bCs/>
              </w:rPr>
              <w:t>373.670</w:t>
            </w:r>
          </w:p>
        </w:tc>
        <w:tc>
          <w:tcPr>
            <w:tcW w:w="998" w:type="dxa"/>
            <w:tcBorders>
              <w:bottom w:val="single" w:sz="4" w:space="0" w:color="BFBFBF"/>
            </w:tcBorders>
          </w:tcPr>
          <w:p>
            <w:pPr>
              <w:pStyle w:val="Normal"/>
              <w:spacing w:before="40" w:after="40"/>
              <w:rPr/>
            </w:pPr>
            <w:r>
              <w:rPr>
                <w:b/>
                <w:bCs/>
              </w:rPr>
              <w:t>396.590</w:t>
            </w:r>
          </w:p>
        </w:tc>
        <w:tc>
          <w:tcPr>
            <w:tcW w:w="1023" w:type="dxa"/>
            <w:tcBorders>
              <w:bottom w:val="single" w:sz="4" w:space="0" w:color="BFBFBF"/>
            </w:tcBorders>
          </w:tcPr>
          <w:p>
            <w:pPr>
              <w:pStyle w:val="Normal"/>
              <w:spacing w:before="40" w:after="40"/>
              <w:rPr/>
            </w:pPr>
            <w:r>
              <w:rPr>
                <w:b/>
                <w:bCs/>
              </w:rPr>
              <w:t>0.8130</w:t>
            </w:r>
          </w:p>
        </w:tc>
        <w:tc>
          <w:tcPr>
            <w:tcW w:w="1297" w:type="dxa"/>
            <w:tcBorders>
              <w:bottom w:val="single" w:sz="4" w:space="0" w:color="BFBFBF"/>
            </w:tcBorders>
          </w:tcPr>
          <w:p>
            <w:pPr>
              <w:pStyle w:val="Normal"/>
              <w:spacing w:before="40" w:after="40"/>
              <w:rPr/>
            </w:pPr>
            <w:r>
              <w:rPr>
                <w:b/>
                <w:bCs/>
              </w:rPr>
              <w:t>0.8026</w:t>
            </w:r>
          </w:p>
        </w:tc>
        <w:tc>
          <w:tcPr>
            <w:tcW w:w="798" w:type="dxa"/>
            <w:tcBorders>
              <w:bottom w:val="single" w:sz="4" w:space="0" w:color="BFBFBF"/>
            </w:tcBorders>
          </w:tcPr>
          <w:p>
            <w:pPr>
              <w:pStyle w:val="Normal"/>
              <w:spacing w:before="40" w:after="40"/>
              <w:rPr/>
            </w:pPr>
            <w:r>
              <w:rPr>
                <w:b/>
                <w:bCs/>
              </w:rPr>
              <w:t>0.1758</w:t>
            </w:r>
          </w:p>
        </w:tc>
      </w:tr>
      <w:tr>
        <w:trPr/>
        <w:tc>
          <w:tcPr>
            <w:tcW w:w="2389" w:type="dxa"/>
            <w:tcBorders>
              <w:bottom w:val="single" w:sz="4" w:space="0" w:color="BFBFBF"/>
            </w:tcBorders>
          </w:tcPr>
          <w:p>
            <w:pPr>
              <w:pStyle w:val="Normal"/>
              <w:spacing w:before="40" w:after="40"/>
              <w:rPr/>
            </w:pPr>
            <w:r>
              <w:rPr/>
              <w:t>Continuous linear age</w:t>
            </w:r>
          </w:p>
        </w:tc>
        <w:tc>
          <w:tcPr>
            <w:tcW w:w="497" w:type="dxa"/>
            <w:tcBorders>
              <w:bottom w:val="single" w:sz="4" w:space="0" w:color="BFBFBF"/>
            </w:tcBorders>
          </w:tcPr>
          <w:p>
            <w:pPr>
              <w:pStyle w:val="Normal"/>
              <w:spacing w:before="40" w:after="40"/>
              <w:rPr/>
            </w:pPr>
            <w:r>
              <w:rPr/>
              <w:t>6</w:t>
            </w:r>
          </w:p>
        </w:tc>
        <w:tc>
          <w:tcPr>
            <w:tcW w:w="1198" w:type="dxa"/>
            <w:tcBorders>
              <w:bottom w:val="single" w:sz="4" w:space="0" w:color="BFBFBF"/>
            </w:tcBorders>
          </w:tcPr>
          <w:p>
            <w:pPr>
              <w:pStyle w:val="Normal"/>
              <w:spacing w:before="40" w:after="40"/>
              <w:rPr/>
            </w:pPr>
            <w:r>
              <w:rPr/>
              <w:t>−</w:t>
            </w:r>
            <w:r>
              <w:rPr/>
              <w:t>180.958</w:t>
            </w:r>
          </w:p>
        </w:tc>
        <w:tc>
          <w:tcPr>
            <w:tcW w:w="999" w:type="dxa"/>
            <w:tcBorders>
              <w:bottom w:val="single" w:sz="4" w:space="0" w:color="BFBFBF"/>
            </w:tcBorders>
          </w:tcPr>
          <w:p>
            <w:pPr>
              <w:pStyle w:val="Normal"/>
              <w:spacing w:before="40" w:after="40"/>
              <w:rPr/>
            </w:pPr>
            <w:r>
              <w:rPr/>
              <w:t>373.917</w:t>
            </w:r>
          </w:p>
        </w:tc>
        <w:tc>
          <w:tcPr>
            <w:tcW w:w="998" w:type="dxa"/>
            <w:tcBorders>
              <w:bottom w:val="single" w:sz="4" w:space="0" w:color="BFBFBF"/>
            </w:tcBorders>
          </w:tcPr>
          <w:p>
            <w:pPr>
              <w:pStyle w:val="Normal"/>
              <w:spacing w:before="40" w:after="40"/>
              <w:rPr/>
            </w:pPr>
            <w:r>
              <w:rPr/>
              <w:t>396.837</w:t>
            </w:r>
          </w:p>
        </w:tc>
        <w:tc>
          <w:tcPr>
            <w:tcW w:w="1023" w:type="dxa"/>
            <w:tcBorders>
              <w:bottom w:val="single" w:sz="4" w:space="0" w:color="BFBFBF"/>
            </w:tcBorders>
          </w:tcPr>
          <w:p>
            <w:pPr>
              <w:pStyle w:val="Normal"/>
              <w:spacing w:before="40" w:after="40"/>
              <w:rPr/>
            </w:pPr>
            <w:r>
              <w:rPr/>
              <w:t>0.8150</w:t>
            </w:r>
          </w:p>
        </w:tc>
        <w:tc>
          <w:tcPr>
            <w:tcW w:w="1297" w:type="dxa"/>
            <w:tcBorders>
              <w:bottom w:val="single" w:sz="4" w:space="0" w:color="BFBFBF"/>
            </w:tcBorders>
          </w:tcPr>
          <w:p>
            <w:pPr>
              <w:pStyle w:val="Normal"/>
              <w:spacing w:before="40" w:after="40"/>
              <w:rPr/>
            </w:pPr>
            <w:r>
              <w:rPr/>
              <w:t>0.8046</w:t>
            </w:r>
          </w:p>
        </w:tc>
        <w:tc>
          <w:tcPr>
            <w:tcW w:w="798" w:type="dxa"/>
            <w:tcBorders>
              <w:bottom w:val="single" w:sz="4" w:space="0" w:color="BFBFBF"/>
            </w:tcBorders>
          </w:tcPr>
          <w:p>
            <w:pPr>
              <w:pStyle w:val="Normal"/>
              <w:spacing w:before="40" w:after="40"/>
              <w:rPr/>
            </w:pPr>
            <w:r>
              <w:rPr/>
              <w:t>0.1740</w:t>
            </w:r>
          </w:p>
        </w:tc>
      </w:tr>
      <w:tr>
        <w:trPr/>
        <w:tc>
          <w:tcPr>
            <w:tcW w:w="2389" w:type="dxa"/>
            <w:tcBorders>
              <w:bottom w:val="single" w:sz="4" w:space="0" w:color="BFBFBF"/>
            </w:tcBorders>
          </w:tcPr>
          <w:p>
            <w:pPr>
              <w:pStyle w:val="Normal"/>
              <w:spacing w:before="40" w:after="40"/>
              <w:rPr/>
            </w:pPr>
            <w:r>
              <w:rPr/>
              <w:t>RCS (3 knots)</w:t>
            </w:r>
          </w:p>
        </w:tc>
        <w:tc>
          <w:tcPr>
            <w:tcW w:w="497" w:type="dxa"/>
            <w:tcBorders>
              <w:bottom w:val="single" w:sz="4" w:space="0" w:color="BFBFBF"/>
            </w:tcBorders>
          </w:tcPr>
          <w:p>
            <w:pPr>
              <w:pStyle w:val="Normal"/>
              <w:spacing w:before="40" w:after="40"/>
              <w:rPr/>
            </w:pPr>
            <w:r>
              <w:rPr/>
              <w:t>7</w:t>
            </w:r>
          </w:p>
        </w:tc>
        <w:tc>
          <w:tcPr>
            <w:tcW w:w="1198" w:type="dxa"/>
            <w:tcBorders>
              <w:bottom w:val="single" w:sz="4" w:space="0" w:color="BFBFBF"/>
            </w:tcBorders>
          </w:tcPr>
          <w:p>
            <w:pPr>
              <w:pStyle w:val="Normal"/>
              <w:spacing w:before="40" w:after="40"/>
              <w:rPr/>
            </w:pPr>
            <w:r>
              <w:rPr/>
              <w:t>−</w:t>
            </w:r>
            <w:r>
              <w:rPr/>
              <w:t>180.932</w:t>
            </w:r>
          </w:p>
        </w:tc>
        <w:tc>
          <w:tcPr>
            <w:tcW w:w="999" w:type="dxa"/>
            <w:tcBorders>
              <w:bottom w:val="single" w:sz="4" w:space="0" w:color="BFBFBF"/>
            </w:tcBorders>
          </w:tcPr>
          <w:p>
            <w:pPr>
              <w:pStyle w:val="Normal"/>
              <w:spacing w:before="40" w:after="40"/>
              <w:rPr/>
            </w:pPr>
            <w:r>
              <w:rPr/>
              <w:t>375.864</w:t>
            </w:r>
          </w:p>
        </w:tc>
        <w:tc>
          <w:tcPr>
            <w:tcW w:w="998" w:type="dxa"/>
            <w:tcBorders>
              <w:bottom w:val="single" w:sz="4" w:space="0" w:color="BFBFBF"/>
            </w:tcBorders>
          </w:tcPr>
          <w:p>
            <w:pPr>
              <w:pStyle w:val="Normal"/>
              <w:spacing w:before="40" w:after="40"/>
              <w:rPr/>
            </w:pPr>
            <w:r>
              <w:rPr/>
              <w:t>402.605</w:t>
            </w:r>
          </w:p>
        </w:tc>
        <w:tc>
          <w:tcPr>
            <w:tcW w:w="1023" w:type="dxa"/>
            <w:tcBorders>
              <w:bottom w:val="single" w:sz="4" w:space="0" w:color="BFBFBF"/>
            </w:tcBorders>
          </w:tcPr>
          <w:p>
            <w:pPr>
              <w:pStyle w:val="Normal"/>
              <w:spacing w:before="40" w:after="40"/>
              <w:rPr/>
            </w:pPr>
            <w:r>
              <w:rPr/>
              <w:t>0.8151</w:t>
            </w:r>
          </w:p>
        </w:tc>
        <w:tc>
          <w:tcPr>
            <w:tcW w:w="1297" w:type="dxa"/>
            <w:tcBorders>
              <w:bottom w:val="single" w:sz="4" w:space="0" w:color="BFBFBF"/>
            </w:tcBorders>
          </w:tcPr>
          <w:p>
            <w:pPr>
              <w:pStyle w:val="Normal"/>
              <w:spacing w:before="40" w:after="40"/>
              <w:rPr/>
            </w:pPr>
            <w:r>
              <w:rPr/>
              <w:t>0.8017</w:t>
            </w:r>
          </w:p>
        </w:tc>
        <w:tc>
          <w:tcPr>
            <w:tcW w:w="798" w:type="dxa"/>
            <w:tcBorders>
              <w:bottom w:val="single" w:sz="4" w:space="0" w:color="BFBFBF"/>
            </w:tcBorders>
          </w:tcPr>
          <w:p>
            <w:pPr>
              <w:pStyle w:val="Normal"/>
              <w:spacing w:before="40" w:after="40"/>
              <w:rPr/>
            </w:pPr>
            <w:r>
              <w:rPr/>
              <w:t>0.1742</w:t>
            </w:r>
          </w:p>
        </w:tc>
      </w:tr>
      <w:tr>
        <w:trPr/>
        <w:tc>
          <w:tcPr>
            <w:tcW w:w="2389" w:type="dxa"/>
            <w:tcBorders>
              <w:bottom w:val="single" w:sz="8" w:space="0" w:color="000000"/>
            </w:tcBorders>
          </w:tcPr>
          <w:p>
            <w:pPr>
              <w:pStyle w:val="Normal"/>
              <w:spacing w:before="40" w:after="40"/>
              <w:rPr/>
            </w:pPr>
            <w:r>
              <w:rPr/>
              <w:t>RCS (4 knots)</w:t>
            </w:r>
          </w:p>
        </w:tc>
        <w:tc>
          <w:tcPr>
            <w:tcW w:w="497" w:type="dxa"/>
            <w:tcBorders>
              <w:bottom w:val="single" w:sz="8" w:space="0" w:color="000000"/>
            </w:tcBorders>
          </w:tcPr>
          <w:p>
            <w:pPr>
              <w:pStyle w:val="Normal"/>
              <w:spacing w:before="40" w:after="40"/>
              <w:rPr/>
            </w:pPr>
            <w:r>
              <w:rPr/>
              <w:t>8</w:t>
            </w:r>
          </w:p>
        </w:tc>
        <w:tc>
          <w:tcPr>
            <w:tcW w:w="1198" w:type="dxa"/>
            <w:tcBorders>
              <w:bottom w:val="single" w:sz="8" w:space="0" w:color="000000"/>
            </w:tcBorders>
          </w:tcPr>
          <w:p>
            <w:pPr>
              <w:pStyle w:val="Normal"/>
              <w:spacing w:before="40" w:after="40"/>
              <w:rPr/>
            </w:pPr>
            <w:r>
              <w:rPr/>
              <w:t>−</w:t>
            </w:r>
            <w:r>
              <w:rPr/>
              <w:t>180.812</w:t>
            </w:r>
          </w:p>
        </w:tc>
        <w:tc>
          <w:tcPr>
            <w:tcW w:w="999" w:type="dxa"/>
            <w:tcBorders>
              <w:bottom w:val="single" w:sz="8" w:space="0" w:color="000000"/>
            </w:tcBorders>
          </w:tcPr>
          <w:p>
            <w:pPr>
              <w:pStyle w:val="Normal"/>
              <w:spacing w:before="40" w:after="40"/>
              <w:rPr/>
            </w:pPr>
            <w:r>
              <w:rPr/>
              <w:t>377.623</w:t>
            </w:r>
          </w:p>
        </w:tc>
        <w:tc>
          <w:tcPr>
            <w:tcW w:w="998" w:type="dxa"/>
            <w:tcBorders>
              <w:bottom w:val="single" w:sz="8" w:space="0" w:color="000000"/>
            </w:tcBorders>
          </w:tcPr>
          <w:p>
            <w:pPr>
              <w:pStyle w:val="Normal"/>
              <w:spacing w:before="40" w:after="40"/>
              <w:rPr/>
            </w:pPr>
            <w:r>
              <w:rPr/>
              <w:t>408.184</w:t>
            </w:r>
          </w:p>
        </w:tc>
        <w:tc>
          <w:tcPr>
            <w:tcW w:w="1023" w:type="dxa"/>
            <w:tcBorders>
              <w:bottom w:val="single" w:sz="8" w:space="0" w:color="000000"/>
            </w:tcBorders>
          </w:tcPr>
          <w:p>
            <w:pPr>
              <w:pStyle w:val="Normal"/>
              <w:spacing w:before="40" w:after="40"/>
              <w:rPr/>
            </w:pPr>
            <w:r>
              <w:rPr/>
              <w:t>0.8153</w:t>
            </w:r>
          </w:p>
        </w:tc>
        <w:tc>
          <w:tcPr>
            <w:tcW w:w="1297" w:type="dxa"/>
            <w:tcBorders>
              <w:bottom w:val="single" w:sz="8" w:space="0" w:color="000000"/>
            </w:tcBorders>
          </w:tcPr>
          <w:p>
            <w:pPr>
              <w:pStyle w:val="Normal"/>
              <w:spacing w:before="40" w:after="40"/>
              <w:rPr/>
            </w:pPr>
            <w:r>
              <w:rPr/>
              <w:t>0.7991</w:t>
            </w:r>
          </w:p>
        </w:tc>
        <w:tc>
          <w:tcPr>
            <w:tcW w:w="798" w:type="dxa"/>
            <w:tcBorders>
              <w:bottom w:val="single" w:sz="8" w:space="0" w:color="000000"/>
            </w:tcBorders>
          </w:tcPr>
          <w:p>
            <w:pPr>
              <w:pStyle w:val="Normal"/>
              <w:spacing w:before="40" w:after="40"/>
              <w:rPr/>
            </w:pPr>
            <w:r>
              <w:rPr/>
              <w:t>0.1742</w:t>
            </w:r>
          </w:p>
        </w:tc>
      </w:tr>
    </w:tbl>
    <w:p>
      <w:pPr>
        <w:pStyle w:val="Normal"/>
        <w:spacing w:before="120" w:after="80"/>
        <w:rPr/>
      </w:pPr>
      <w:r>
        <w:rPr>
          <w:b/>
          <w:bCs/>
        </w:rPr>
        <w:t>Tests for non-linearity (RCS vs continuous linear age):</w:t>
      </w:r>
    </w:p>
    <w:tbl>
      <w:tblPr>
        <w:tblW w:w="7300" w:type="dxa"/>
        <w:jc w:val="left"/>
        <w:tblInd w:w="0" w:type="dxa"/>
        <w:tblLayout w:type="fixed"/>
        <w:tblCellMar>
          <w:top w:w="80" w:type="dxa"/>
          <w:left w:w="100" w:type="dxa"/>
          <w:bottom w:w="80" w:type="dxa"/>
          <w:right w:w="100" w:type="dxa"/>
        </w:tblCellMar>
        <w:tblLook w:val="04a0" w:noHBand="0" w:noVBand="1" w:firstColumn="1" w:lastRow="0" w:lastColumn="0" w:firstRow="1"/>
      </w:tblPr>
      <w:tblGrid>
        <w:gridCol w:w="3500"/>
        <w:gridCol w:w="1499"/>
        <w:gridCol w:w="800"/>
        <w:gridCol w:w="1500"/>
      </w:tblGrid>
      <w:tr>
        <w:trPr>
          <w:tblHeader w:val="true"/>
        </w:trPr>
        <w:tc>
          <w:tcPr>
            <w:tcW w:w="3500" w:type="dxa"/>
            <w:tcBorders>
              <w:top w:val="single" w:sz="8" w:space="0" w:color="000000"/>
              <w:bottom w:val="single" w:sz="8" w:space="0" w:color="000000"/>
            </w:tcBorders>
          </w:tcPr>
          <w:p>
            <w:pPr>
              <w:pStyle w:val="Normal"/>
              <w:spacing w:before="60" w:after="60"/>
              <w:rPr/>
            </w:pPr>
            <w:r>
              <w:rPr>
                <w:b/>
                <w:bCs/>
              </w:rPr>
              <w:t>Comparison</w:t>
            </w:r>
          </w:p>
        </w:tc>
        <w:tc>
          <w:tcPr>
            <w:tcW w:w="1499" w:type="dxa"/>
            <w:tcBorders>
              <w:top w:val="single" w:sz="8" w:space="0" w:color="000000"/>
              <w:bottom w:val="single" w:sz="8" w:space="0" w:color="000000"/>
            </w:tcBorders>
          </w:tcPr>
          <w:p>
            <w:pPr>
              <w:pStyle w:val="Normal"/>
              <w:spacing w:before="60" w:after="60"/>
              <w:rPr/>
            </w:pPr>
            <w:r>
              <w:rPr>
                <w:b/>
                <w:bCs/>
              </w:rPr>
              <w:t>LR statistic</w:t>
            </w:r>
          </w:p>
        </w:tc>
        <w:tc>
          <w:tcPr>
            <w:tcW w:w="800" w:type="dxa"/>
            <w:tcBorders>
              <w:top w:val="single" w:sz="8" w:space="0" w:color="000000"/>
              <w:bottom w:val="single" w:sz="8" w:space="0" w:color="000000"/>
            </w:tcBorders>
          </w:tcPr>
          <w:p>
            <w:pPr>
              <w:pStyle w:val="Normal"/>
              <w:spacing w:before="60" w:after="60"/>
              <w:rPr/>
            </w:pPr>
            <w:r>
              <w:rPr>
                <w:b/>
                <w:bCs/>
              </w:rPr>
              <w:t>df</w:t>
            </w:r>
          </w:p>
        </w:tc>
        <w:tc>
          <w:tcPr>
            <w:tcW w:w="1500" w:type="dxa"/>
            <w:tcBorders>
              <w:top w:val="single" w:sz="8" w:space="0" w:color="000000"/>
              <w:bottom w:val="single" w:sz="8" w:space="0" w:color="000000"/>
            </w:tcBorders>
          </w:tcPr>
          <w:p>
            <w:pPr>
              <w:pStyle w:val="Normal"/>
              <w:spacing w:before="60" w:after="60"/>
              <w:rPr/>
            </w:pPr>
            <w:r>
              <w:rPr>
                <w:b/>
                <w:bCs/>
              </w:rPr>
              <w:t>p value</w:t>
            </w:r>
          </w:p>
        </w:tc>
      </w:tr>
      <w:tr>
        <w:trPr/>
        <w:tc>
          <w:tcPr>
            <w:tcW w:w="3500" w:type="dxa"/>
            <w:tcBorders>
              <w:bottom w:val="single" w:sz="4" w:space="0" w:color="BFBFBF"/>
            </w:tcBorders>
          </w:tcPr>
          <w:p>
            <w:pPr>
              <w:pStyle w:val="Normal"/>
              <w:spacing w:before="40" w:after="40"/>
              <w:rPr/>
            </w:pPr>
            <w:r>
              <w:rPr/>
              <w:t>RCS (3 knots) vs linear age</w:t>
            </w:r>
          </w:p>
        </w:tc>
        <w:tc>
          <w:tcPr>
            <w:tcW w:w="1499" w:type="dxa"/>
            <w:tcBorders>
              <w:bottom w:val="single" w:sz="4" w:space="0" w:color="BFBFBF"/>
            </w:tcBorders>
          </w:tcPr>
          <w:p>
            <w:pPr>
              <w:pStyle w:val="Normal"/>
              <w:spacing w:before="40" w:after="40"/>
              <w:rPr/>
            </w:pPr>
            <w:r>
              <w:rPr/>
              <w:t>0.052</w:t>
            </w:r>
          </w:p>
        </w:tc>
        <w:tc>
          <w:tcPr>
            <w:tcW w:w="800" w:type="dxa"/>
            <w:tcBorders>
              <w:bottom w:val="single" w:sz="4" w:space="0" w:color="BFBFBF"/>
            </w:tcBorders>
          </w:tcPr>
          <w:p>
            <w:pPr>
              <w:pStyle w:val="Normal"/>
              <w:spacing w:before="40" w:after="40"/>
              <w:rPr/>
            </w:pPr>
            <w:r>
              <w:rPr/>
              <w:t>1</w:t>
            </w:r>
          </w:p>
        </w:tc>
        <w:tc>
          <w:tcPr>
            <w:tcW w:w="1500" w:type="dxa"/>
            <w:tcBorders>
              <w:bottom w:val="single" w:sz="4" w:space="0" w:color="BFBFBF"/>
            </w:tcBorders>
          </w:tcPr>
          <w:p>
            <w:pPr>
              <w:pStyle w:val="Normal"/>
              <w:spacing w:before="40" w:after="40"/>
              <w:rPr/>
            </w:pPr>
            <w:r>
              <w:rPr/>
              <w:t>0.819</w:t>
            </w:r>
          </w:p>
        </w:tc>
      </w:tr>
      <w:tr>
        <w:trPr/>
        <w:tc>
          <w:tcPr>
            <w:tcW w:w="3500" w:type="dxa"/>
            <w:tcBorders>
              <w:bottom w:val="single" w:sz="8" w:space="0" w:color="000000"/>
            </w:tcBorders>
          </w:tcPr>
          <w:p>
            <w:pPr>
              <w:pStyle w:val="Normal"/>
              <w:spacing w:before="40" w:after="40"/>
              <w:rPr/>
            </w:pPr>
            <w:r>
              <w:rPr/>
              <w:t>RCS (4 knots) vs linear age</w:t>
            </w:r>
          </w:p>
        </w:tc>
        <w:tc>
          <w:tcPr>
            <w:tcW w:w="1499" w:type="dxa"/>
            <w:tcBorders>
              <w:bottom w:val="single" w:sz="8" w:space="0" w:color="000000"/>
            </w:tcBorders>
          </w:tcPr>
          <w:p>
            <w:pPr>
              <w:pStyle w:val="Normal"/>
              <w:spacing w:before="40" w:after="40"/>
              <w:rPr/>
            </w:pPr>
            <w:r>
              <w:rPr/>
              <w:t>0.293</w:t>
            </w:r>
          </w:p>
        </w:tc>
        <w:tc>
          <w:tcPr>
            <w:tcW w:w="800" w:type="dxa"/>
            <w:tcBorders>
              <w:bottom w:val="single" w:sz="8" w:space="0" w:color="000000"/>
            </w:tcBorders>
          </w:tcPr>
          <w:p>
            <w:pPr>
              <w:pStyle w:val="Normal"/>
              <w:spacing w:before="40" w:after="40"/>
              <w:rPr/>
            </w:pPr>
            <w:r>
              <w:rPr/>
              <w:t>2</w:t>
            </w:r>
          </w:p>
        </w:tc>
        <w:tc>
          <w:tcPr>
            <w:tcW w:w="1500" w:type="dxa"/>
            <w:tcBorders>
              <w:bottom w:val="single" w:sz="8" w:space="0" w:color="000000"/>
            </w:tcBorders>
          </w:tcPr>
          <w:p>
            <w:pPr>
              <w:pStyle w:val="Normal"/>
              <w:spacing w:before="40" w:after="40"/>
              <w:rPr/>
            </w:pPr>
            <w:r>
              <w:rPr/>
              <w:t>0.864</w:t>
            </w:r>
          </w:p>
        </w:tc>
      </w:tr>
    </w:tbl>
    <w:p>
      <w:pPr>
        <w:pStyle w:val="Normal"/>
        <w:spacing w:before="0" w:after="80"/>
        <w:rPr/>
      </w:pPr>
      <w:r>
        <w:rPr/>
        <w:t>Four age formulations were compared while holding female sex, short-axis diameter, mean Hounsfield unit value, and SUVmax constant. The four formulations produced clinically indistinguishable discrimination (bias-corrected AUC range 0.799–0.805) and calibration (Brier score 0.174–0.176). Likelihood ratio tests for non-linearity were non-significant. The dichotomized formulation was retained for the principal model on the basis of nomogram interpretability and compatibility with NCCN risk-stratification frameworks.</w:t>
      </w:r>
    </w:p>
    <w:p>
      <w:pPr>
        <w:pStyle w:val="Normal"/>
        <w:spacing w:before="0" w:after="80"/>
        <w:rPr/>
      </w:pPr>
      <w:r>
        <w:rPr/>
        <w:t>AIC, Akaike information criterion; BIC, Bayesian information criterion; LR, likelihood ratio; RCS, restricted cubic spline.</w:t>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200" w:after="100"/>
        <w:rPr/>
      </w:pPr>
      <w:r>
        <w:rPr>
          <w:b/>
          <w:bCs/>
        </w:rPr>
        <w:t>Table S3</w:t>
      </w:r>
      <w:r>
        <w:rPr/>
        <w:t xml:space="preserve"> Multivariable logistic regression including station-specific lymph node variables (Model B) for the prediction of malignant mediastinal lymphadenopathy (n = 337).</w:t>
      </w:r>
    </w:p>
    <w:tbl>
      <w:tblPr>
        <w:tblW w:w="9500" w:type="dxa"/>
        <w:jc w:val="left"/>
        <w:tblInd w:w="0" w:type="dxa"/>
        <w:tblLayout w:type="fixed"/>
        <w:tblCellMar>
          <w:top w:w="80" w:type="dxa"/>
          <w:left w:w="100" w:type="dxa"/>
          <w:bottom w:w="80" w:type="dxa"/>
          <w:right w:w="100" w:type="dxa"/>
        </w:tblCellMar>
        <w:tblLook w:val="04a0" w:noHBand="0" w:noVBand="1" w:firstColumn="1" w:lastRow="0" w:lastColumn="0" w:firstRow="1"/>
      </w:tblPr>
      <w:tblGrid>
        <w:gridCol w:w="3300"/>
        <w:gridCol w:w="1699"/>
        <w:gridCol w:w="1701"/>
        <w:gridCol w:w="1500"/>
        <w:gridCol w:w="1300"/>
      </w:tblGrid>
      <w:tr>
        <w:trPr>
          <w:tblHeader w:val="true"/>
        </w:trPr>
        <w:tc>
          <w:tcPr>
            <w:tcW w:w="3300" w:type="dxa"/>
            <w:tcBorders>
              <w:top w:val="single" w:sz="8" w:space="0" w:color="000000"/>
              <w:bottom w:val="single" w:sz="8" w:space="0" w:color="000000"/>
            </w:tcBorders>
          </w:tcPr>
          <w:p>
            <w:pPr>
              <w:pStyle w:val="Normal"/>
              <w:spacing w:before="60" w:after="60"/>
              <w:rPr/>
            </w:pPr>
            <w:r>
              <w:rPr>
                <w:b/>
                <w:bCs/>
              </w:rPr>
              <w:t>Variable</w:t>
            </w:r>
          </w:p>
        </w:tc>
        <w:tc>
          <w:tcPr>
            <w:tcW w:w="1699" w:type="dxa"/>
            <w:tcBorders>
              <w:top w:val="single" w:sz="8" w:space="0" w:color="000000"/>
              <w:bottom w:val="single" w:sz="8" w:space="0" w:color="000000"/>
            </w:tcBorders>
          </w:tcPr>
          <w:p>
            <w:pPr>
              <w:pStyle w:val="Normal"/>
              <w:spacing w:before="60" w:after="60"/>
              <w:rPr/>
            </w:pPr>
            <w:r>
              <w:rPr>
                <w:b/>
                <w:bCs/>
              </w:rPr>
              <w:t>Adjusted OR</w:t>
            </w:r>
          </w:p>
        </w:tc>
        <w:tc>
          <w:tcPr>
            <w:tcW w:w="1701" w:type="dxa"/>
            <w:tcBorders>
              <w:top w:val="single" w:sz="8" w:space="0" w:color="000000"/>
              <w:bottom w:val="single" w:sz="8" w:space="0" w:color="000000"/>
            </w:tcBorders>
          </w:tcPr>
          <w:p>
            <w:pPr>
              <w:pStyle w:val="Normal"/>
              <w:spacing w:before="60" w:after="60"/>
              <w:rPr/>
            </w:pPr>
            <w:r>
              <w:rPr>
                <w:b/>
                <w:bCs/>
              </w:rPr>
              <w:t>95% CI</w:t>
            </w:r>
          </w:p>
        </w:tc>
        <w:tc>
          <w:tcPr>
            <w:tcW w:w="1500" w:type="dxa"/>
            <w:tcBorders>
              <w:top w:val="single" w:sz="8" w:space="0" w:color="000000"/>
              <w:bottom w:val="single" w:sz="8" w:space="0" w:color="000000"/>
            </w:tcBorders>
          </w:tcPr>
          <w:p>
            <w:pPr>
              <w:pStyle w:val="Normal"/>
              <w:spacing w:before="60" w:after="60"/>
              <w:rPr/>
            </w:pPr>
            <w:r>
              <w:rPr>
                <w:b/>
                <w:bCs/>
              </w:rPr>
              <w:t>p value</w:t>
            </w:r>
          </w:p>
        </w:tc>
        <w:tc>
          <w:tcPr>
            <w:tcW w:w="1300" w:type="dxa"/>
            <w:tcBorders>
              <w:top w:val="single" w:sz="8" w:space="0" w:color="000000"/>
              <w:bottom w:val="single" w:sz="8" w:space="0" w:color="000000"/>
            </w:tcBorders>
          </w:tcPr>
          <w:p>
            <w:pPr>
              <w:pStyle w:val="Normal"/>
              <w:spacing w:before="60" w:after="60"/>
              <w:rPr/>
            </w:pPr>
            <w:r>
              <w:rPr>
                <w:b/>
                <w:bCs/>
              </w:rPr>
              <w:t>VIF</w:t>
            </w:r>
          </w:p>
        </w:tc>
      </w:tr>
      <w:tr>
        <w:trPr/>
        <w:tc>
          <w:tcPr>
            <w:tcW w:w="3300" w:type="dxa"/>
            <w:tcBorders>
              <w:bottom w:val="single" w:sz="4" w:space="0" w:color="BFBFBF"/>
            </w:tcBorders>
          </w:tcPr>
          <w:p>
            <w:pPr>
              <w:pStyle w:val="Normal"/>
              <w:spacing w:before="40" w:after="40"/>
              <w:rPr/>
            </w:pPr>
            <w:r>
              <w:rPr/>
              <w:t>Female sex</w:t>
            </w:r>
          </w:p>
        </w:tc>
        <w:tc>
          <w:tcPr>
            <w:tcW w:w="1699" w:type="dxa"/>
            <w:tcBorders>
              <w:bottom w:val="single" w:sz="4" w:space="0" w:color="BFBFBF"/>
            </w:tcBorders>
          </w:tcPr>
          <w:p>
            <w:pPr>
              <w:pStyle w:val="Normal"/>
              <w:spacing w:before="40" w:after="40"/>
              <w:rPr/>
            </w:pPr>
            <w:r>
              <w:rPr/>
              <w:t>0.28</w:t>
            </w:r>
          </w:p>
        </w:tc>
        <w:tc>
          <w:tcPr>
            <w:tcW w:w="1701" w:type="dxa"/>
            <w:tcBorders>
              <w:bottom w:val="single" w:sz="4" w:space="0" w:color="BFBFBF"/>
            </w:tcBorders>
          </w:tcPr>
          <w:p>
            <w:pPr>
              <w:pStyle w:val="Normal"/>
              <w:spacing w:before="40" w:after="40"/>
              <w:rPr/>
            </w:pPr>
            <w:r>
              <w:rPr/>
              <w:t>0.16–0.50</w:t>
            </w:r>
          </w:p>
        </w:tc>
        <w:tc>
          <w:tcPr>
            <w:tcW w:w="1500" w:type="dxa"/>
            <w:tcBorders>
              <w:bottom w:val="single" w:sz="4" w:space="0" w:color="BFBFBF"/>
            </w:tcBorders>
          </w:tcPr>
          <w:p>
            <w:pPr>
              <w:pStyle w:val="Normal"/>
              <w:spacing w:before="40" w:after="40"/>
              <w:rPr/>
            </w:pPr>
            <w:r>
              <w:rPr/>
              <w:t>&lt; 0.001</w:t>
            </w:r>
          </w:p>
        </w:tc>
        <w:tc>
          <w:tcPr>
            <w:tcW w:w="1300" w:type="dxa"/>
            <w:tcBorders>
              <w:bottom w:val="single" w:sz="4" w:space="0" w:color="BFBFBF"/>
            </w:tcBorders>
          </w:tcPr>
          <w:p>
            <w:pPr>
              <w:pStyle w:val="Normal"/>
              <w:spacing w:before="40" w:after="40"/>
              <w:rPr/>
            </w:pPr>
            <w:r>
              <w:rPr/>
              <w:t>1.36</w:t>
            </w:r>
          </w:p>
        </w:tc>
      </w:tr>
      <w:tr>
        <w:trPr/>
        <w:tc>
          <w:tcPr>
            <w:tcW w:w="3300" w:type="dxa"/>
            <w:tcBorders>
              <w:bottom w:val="single" w:sz="4" w:space="0" w:color="BFBFBF"/>
            </w:tcBorders>
          </w:tcPr>
          <w:p>
            <w:pPr>
              <w:pStyle w:val="Normal"/>
              <w:spacing w:before="40" w:after="40"/>
              <w:rPr/>
            </w:pPr>
            <w:r>
              <w:rPr/>
              <w:t>Age ≥ 65 years</w:t>
            </w:r>
          </w:p>
        </w:tc>
        <w:tc>
          <w:tcPr>
            <w:tcW w:w="1699" w:type="dxa"/>
            <w:tcBorders>
              <w:bottom w:val="single" w:sz="4" w:space="0" w:color="BFBFBF"/>
            </w:tcBorders>
          </w:tcPr>
          <w:p>
            <w:pPr>
              <w:pStyle w:val="Normal"/>
              <w:spacing w:before="40" w:after="40"/>
              <w:rPr/>
            </w:pPr>
            <w:r>
              <w:rPr/>
              <w:t>0.44</w:t>
            </w:r>
          </w:p>
        </w:tc>
        <w:tc>
          <w:tcPr>
            <w:tcW w:w="1701" w:type="dxa"/>
            <w:tcBorders>
              <w:bottom w:val="single" w:sz="4" w:space="0" w:color="BFBFBF"/>
            </w:tcBorders>
          </w:tcPr>
          <w:p>
            <w:pPr>
              <w:pStyle w:val="Normal"/>
              <w:spacing w:before="40" w:after="40"/>
              <w:rPr/>
            </w:pPr>
            <w:r>
              <w:rPr/>
              <w:t>0.26–0.74</w:t>
            </w:r>
          </w:p>
        </w:tc>
        <w:tc>
          <w:tcPr>
            <w:tcW w:w="1500" w:type="dxa"/>
            <w:tcBorders>
              <w:bottom w:val="single" w:sz="4" w:space="0" w:color="BFBFBF"/>
            </w:tcBorders>
          </w:tcPr>
          <w:p>
            <w:pPr>
              <w:pStyle w:val="Normal"/>
              <w:spacing w:before="40" w:after="40"/>
              <w:rPr/>
            </w:pPr>
            <w:r>
              <w:rPr/>
              <w:t>0.002</w:t>
            </w:r>
          </w:p>
        </w:tc>
        <w:tc>
          <w:tcPr>
            <w:tcW w:w="1300" w:type="dxa"/>
            <w:tcBorders>
              <w:bottom w:val="single" w:sz="4" w:space="0" w:color="BFBFBF"/>
            </w:tcBorders>
          </w:tcPr>
          <w:p>
            <w:pPr>
              <w:pStyle w:val="Normal"/>
              <w:spacing w:before="40" w:after="40"/>
              <w:rPr/>
            </w:pPr>
            <w:r>
              <w:rPr/>
              <w:t>1.81</w:t>
            </w:r>
          </w:p>
        </w:tc>
      </w:tr>
      <w:tr>
        <w:trPr/>
        <w:tc>
          <w:tcPr>
            <w:tcW w:w="3300" w:type="dxa"/>
            <w:tcBorders>
              <w:bottom w:val="single" w:sz="4" w:space="0" w:color="BFBFBF"/>
            </w:tcBorders>
          </w:tcPr>
          <w:p>
            <w:pPr>
              <w:pStyle w:val="Normal"/>
              <w:spacing w:before="40" w:after="40"/>
              <w:rPr/>
            </w:pPr>
            <w:r>
              <w:rPr/>
              <w:t>Short-axis diameter (per mm)</w:t>
            </w:r>
          </w:p>
        </w:tc>
        <w:tc>
          <w:tcPr>
            <w:tcW w:w="1699" w:type="dxa"/>
            <w:tcBorders>
              <w:bottom w:val="single" w:sz="4" w:space="0" w:color="BFBFBF"/>
            </w:tcBorders>
          </w:tcPr>
          <w:p>
            <w:pPr>
              <w:pStyle w:val="Normal"/>
              <w:spacing w:before="40" w:after="40"/>
              <w:rPr/>
            </w:pPr>
            <w:r>
              <w:rPr/>
              <w:t>1.05</w:t>
            </w:r>
          </w:p>
        </w:tc>
        <w:tc>
          <w:tcPr>
            <w:tcW w:w="1701" w:type="dxa"/>
            <w:tcBorders>
              <w:bottom w:val="single" w:sz="4" w:space="0" w:color="BFBFBF"/>
            </w:tcBorders>
          </w:tcPr>
          <w:p>
            <w:pPr>
              <w:pStyle w:val="Normal"/>
              <w:spacing w:before="40" w:after="40"/>
              <w:rPr/>
            </w:pPr>
            <w:r>
              <w:rPr/>
              <w:t>1.01–1.09</w:t>
            </w:r>
          </w:p>
        </w:tc>
        <w:tc>
          <w:tcPr>
            <w:tcW w:w="1500" w:type="dxa"/>
            <w:tcBorders>
              <w:bottom w:val="single" w:sz="4" w:space="0" w:color="BFBFBF"/>
            </w:tcBorders>
          </w:tcPr>
          <w:p>
            <w:pPr>
              <w:pStyle w:val="Normal"/>
              <w:spacing w:before="40" w:after="40"/>
              <w:rPr/>
            </w:pPr>
            <w:r>
              <w:rPr/>
              <w:t>0.014</w:t>
            </w:r>
          </w:p>
        </w:tc>
        <w:tc>
          <w:tcPr>
            <w:tcW w:w="1300" w:type="dxa"/>
            <w:tcBorders>
              <w:bottom w:val="single" w:sz="4" w:space="0" w:color="BFBFBF"/>
            </w:tcBorders>
          </w:tcPr>
          <w:p>
            <w:pPr>
              <w:pStyle w:val="Normal"/>
              <w:spacing w:before="40" w:after="40"/>
              <w:rPr/>
            </w:pPr>
            <w:r>
              <w:rPr/>
              <w:t>4.45</w:t>
            </w:r>
          </w:p>
        </w:tc>
      </w:tr>
      <w:tr>
        <w:trPr/>
        <w:tc>
          <w:tcPr>
            <w:tcW w:w="3300" w:type="dxa"/>
            <w:tcBorders>
              <w:bottom w:val="single" w:sz="4" w:space="0" w:color="BFBFBF"/>
            </w:tcBorders>
          </w:tcPr>
          <w:p>
            <w:pPr>
              <w:pStyle w:val="Normal"/>
              <w:spacing w:before="40" w:after="40"/>
              <w:rPr/>
            </w:pPr>
            <w:r>
              <w:rPr/>
              <w:t>Mean Hounsfield unit (per unit)</w:t>
            </w:r>
          </w:p>
        </w:tc>
        <w:tc>
          <w:tcPr>
            <w:tcW w:w="1699" w:type="dxa"/>
            <w:tcBorders>
              <w:bottom w:val="single" w:sz="4" w:space="0" w:color="BFBFBF"/>
            </w:tcBorders>
          </w:tcPr>
          <w:p>
            <w:pPr>
              <w:pStyle w:val="Normal"/>
              <w:spacing w:before="40" w:after="40"/>
              <w:rPr/>
            </w:pPr>
            <w:r>
              <w:rPr/>
              <w:t>0.99</w:t>
            </w:r>
          </w:p>
        </w:tc>
        <w:tc>
          <w:tcPr>
            <w:tcW w:w="1701" w:type="dxa"/>
            <w:tcBorders>
              <w:bottom w:val="single" w:sz="4" w:space="0" w:color="BFBFBF"/>
            </w:tcBorders>
          </w:tcPr>
          <w:p>
            <w:pPr>
              <w:pStyle w:val="Normal"/>
              <w:spacing w:before="40" w:after="40"/>
              <w:rPr/>
            </w:pPr>
            <w:r>
              <w:rPr/>
              <w:t>0.98–1.00</w:t>
            </w:r>
          </w:p>
        </w:tc>
        <w:tc>
          <w:tcPr>
            <w:tcW w:w="1500" w:type="dxa"/>
            <w:tcBorders>
              <w:bottom w:val="single" w:sz="4" w:space="0" w:color="BFBFBF"/>
            </w:tcBorders>
          </w:tcPr>
          <w:p>
            <w:pPr>
              <w:pStyle w:val="Normal"/>
              <w:spacing w:before="40" w:after="40"/>
              <w:rPr/>
            </w:pPr>
            <w:r>
              <w:rPr/>
              <w:t>0.055</w:t>
            </w:r>
          </w:p>
        </w:tc>
        <w:tc>
          <w:tcPr>
            <w:tcW w:w="1300" w:type="dxa"/>
            <w:tcBorders>
              <w:bottom w:val="single" w:sz="4" w:space="0" w:color="BFBFBF"/>
            </w:tcBorders>
          </w:tcPr>
          <w:p>
            <w:pPr>
              <w:pStyle w:val="Normal"/>
              <w:spacing w:before="40" w:after="40"/>
              <w:rPr/>
            </w:pPr>
            <w:r>
              <w:rPr/>
              <w:t>2.41</w:t>
            </w:r>
          </w:p>
        </w:tc>
      </w:tr>
      <w:tr>
        <w:trPr/>
        <w:tc>
          <w:tcPr>
            <w:tcW w:w="3300" w:type="dxa"/>
            <w:tcBorders>
              <w:bottom w:val="single" w:sz="4" w:space="0" w:color="BFBFBF"/>
            </w:tcBorders>
          </w:tcPr>
          <w:p>
            <w:pPr>
              <w:pStyle w:val="Normal"/>
              <w:spacing w:before="40" w:after="40"/>
              <w:rPr/>
            </w:pPr>
            <w:r>
              <w:rPr/>
              <w:t>SUVmax (per unit)</w:t>
            </w:r>
          </w:p>
        </w:tc>
        <w:tc>
          <w:tcPr>
            <w:tcW w:w="1699" w:type="dxa"/>
            <w:tcBorders>
              <w:bottom w:val="single" w:sz="4" w:space="0" w:color="BFBFBF"/>
            </w:tcBorders>
          </w:tcPr>
          <w:p>
            <w:pPr>
              <w:pStyle w:val="Normal"/>
              <w:spacing w:before="40" w:after="40"/>
              <w:rPr/>
            </w:pPr>
            <w:r>
              <w:rPr/>
              <w:t>1.17</w:t>
            </w:r>
          </w:p>
        </w:tc>
        <w:tc>
          <w:tcPr>
            <w:tcW w:w="1701" w:type="dxa"/>
            <w:tcBorders>
              <w:bottom w:val="single" w:sz="4" w:space="0" w:color="BFBFBF"/>
            </w:tcBorders>
          </w:tcPr>
          <w:p>
            <w:pPr>
              <w:pStyle w:val="Normal"/>
              <w:spacing w:before="40" w:after="40"/>
              <w:rPr/>
            </w:pPr>
            <w:r>
              <w:rPr/>
              <w:t>1.10–1.24</w:t>
            </w:r>
          </w:p>
        </w:tc>
        <w:tc>
          <w:tcPr>
            <w:tcW w:w="1500" w:type="dxa"/>
            <w:tcBorders>
              <w:bottom w:val="single" w:sz="4" w:space="0" w:color="BFBFBF"/>
            </w:tcBorders>
          </w:tcPr>
          <w:p>
            <w:pPr>
              <w:pStyle w:val="Normal"/>
              <w:spacing w:before="40" w:after="40"/>
              <w:rPr/>
            </w:pPr>
            <w:r>
              <w:rPr/>
              <w:t>&lt; 0.001</w:t>
            </w:r>
          </w:p>
        </w:tc>
        <w:tc>
          <w:tcPr>
            <w:tcW w:w="1300" w:type="dxa"/>
            <w:tcBorders>
              <w:bottom w:val="single" w:sz="4" w:space="0" w:color="BFBFBF"/>
            </w:tcBorders>
          </w:tcPr>
          <w:p>
            <w:pPr>
              <w:pStyle w:val="Normal"/>
              <w:spacing w:before="40" w:after="40"/>
              <w:rPr/>
            </w:pPr>
            <w:r>
              <w:rPr/>
              <w:t>3.65</w:t>
            </w:r>
          </w:p>
        </w:tc>
      </w:tr>
      <w:tr>
        <w:trPr/>
        <w:tc>
          <w:tcPr>
            <w:tcW w:w="3300" w:type="dxa"/>
            <w:tcBorders>
              <w:bottom w:val="single" w:sz="4" w:space="0" w:color="BFBFBF"/>
            </w:tcBorders>
          </w:tcPr>
          <w:p>
            <w:pPr>
              <w:pStyle w:val="Normal"/>
              <w:spacing w:before="40" w:after="40"/>
              <w:rPr/>
            </w:pPr>
            <w:r>
              <w:rPr/>
              <w:t>Station 2 (present)</w:t>
            </w:r>
          </w:p>
        </w:tc>
        <w:tc>
          <w:tcPr>
            <w:tcW w:w="1699" w:type="dxa"/>
            <w:tcBorders>
              <w:bottom w:val="single" w:sz="4" w:space="0" w:color="BFBFBF"/>
            </w:tcBorders>
          </w:tcPr>
          <w:p>
            <w:pPr>
              <w:pStyle w:val="Normal"/>
              <w:spacing w:before="40" w:after="40"/>
              <w:rPr/>
            </w:pPr>
            <w:r>
              <w:rPr/>
              <w:t>0.50</w:t>
            </w:r>
          </w:p>
        </w:tc>
        <w:tc>
          <w:tcPr>
            <w:tcW w:w="1701" w:type="dxa"/>
            <w:tcBorders>
              <w:bottom w:val="single" w:sz="4" w:space="0" w:color="BFBFBF"/>
            </w:tcBorders>
          </w:tcPr>
          <w:p>
            <w:pPr>
              <w:pStyle w:val="Normal"/>
              <w:spacing w:before="40" w:after="40"/>
              <w:rPr/>
            </w:pPr>
            <w:r>
              <w:rPr/>
              <w:t>0.20–1.25</w:t>
            </w:r>
          </w:p>
        </w:tc>
        <w:tc>
          <w:tcPr>
            <w:tcW w:w="1500" w:type="dxa"/>
            <w:tcBorders>
              <w:bottom w:val="single" w:sz="4" w:space="0" w:color="BFBFBF"/>
            </w:tcBorders>
          </w:tcPr>
          <w:p>
            <w:pPr>
              <w:pStyle w:val="Normal"/>
              <w:spacing w:before="40" w:after="40"/>
              <w:rPr/>
            </w:pPr>
            <w:r>
              <w:rPr/>
              <w:t>0.136</w:t>
            </w:r>
          </w:p>
        </w:tc>
        <w:tc>
          <w:tcPr>
            <w:tcW w:w="1300" w:type="dxa"/>
            <w:tcBorders>
              <w:bottom w:val="single" w:sz="4" w:space="0" w:color="BFBFBF"/>
            </w:tcBorders>
          </w:tcPr>
          <w:p>
            <w:pPr>
              <w:pStyle w:val="Normal"/>
              <w:spacing w:before="40" w:after="40"/>
              <w:rPr/>
            </w:pPr>
            <w:r>
              <w:rPr/>
              <w:t>1.21</w:t>
            </w:r>
          </w:p>
        </w:tc>
      </w:tr>
      <w:tr>
        <w:trPr/>
        <w:tc>
          <w:tcPr>
            <w:tcW w:w="3300" w:type="dxa"/>
            <w:tcBorders>
              <w:bottom w:val="single" w:sz="4" w:space="0" w:color="BFBFBF"/>
            </w:tcBorders>
          </w:tcPr>
          <w:p>
            <w:pPr>
              <w:pStyle w:val="Normal"/>
              <w:spacing w:before="40" w:after="40"/>
              <w:rPr/>
            </w:pPr>
            <w:r>
              <w:rPr/>
              <w:t>Station 7 (present)</w:t>
            </w:r>
          </w:p>
        </w:tc>
        <w:tc>
          <w:tcPr>
            <w:tcW w:w="1699" w:type="dxa"/>
            <w:tcBorders>
              <w:bottom w:val="single" w:sz="4" w:space="0" w:color="BFBFBF"/>
            </w:tcBorders>
          </w:tcPr>
          <w:p>
            <w:pPr>
              <w:pStyle w:val="Normal"/>
              <w:spacing w:before="40" w:after="40"/>
              <w:rPr/>
            </w:pPr>
            <w:r>
              <w:rPr/>
              <w:t>0.58</w:t>
            </w:r>
          </w:p>
        </w:tc>
        <w:tc>
          <w:tcPr>
            <w:tcW w:w="1701" w:type="dxa"/>
            <w:tcBorders>
              <w:bottom w:val="single" w:sz="4" w:space="0" w:color="BFBFBF"/>
            </w:tcBorders>
          </w:tcPr>
          <w:p>
            <w:pPr>
              <w:pStyle w:val="Normal"/>
              <w:spacing w:before="40" w:after="40"/>
              <w:rPr/>
            </w:pPr>
            <w:r>
              <w:rPr/>
              <w:t>0.34–0.99</w:t>
            </w:r>
          </w:p>
        </w:tc>
        <w:tc>
          <w:tcPr>
            <w:tcW w:w="1500" w:type="dxa"/>
            <w:tcBorders>
              <w:bottom w:val="single" w:sz="4" w:space="0" w:color="BFBFBF"/>
            </w:tcBorders>
          </w:tcPr>
          <w:p>
            <w:pPr>
              <w:pStyle w:val="Normal"/>
              <w:spacing w:before="40" w:after="40"/>
              <w:rPr/>
            </w:pPr>
            <w:r>
              <w:rPr/>
              <w:t>0.047</w:t>
            </w:r>
          </w:p>
        </w:tc>
        <w:tc>
          <w:tcPr>
            <w:tcW w:w="1300" w:type="dxa"/>
            <w:tcBorders>
              <w:bottom w:val="single" w:sz="4" w:space="0" w:color="BFBFBF"/>
            </w:tcBorders>
          </w:tcPr>
          <w:p>
            <w:pPr>
              <w:pStyle w:val="Normal"/>
              <w:spacing w:before="40" w:after="40"/>
              <w:rPr/>
            </w:pPr>
            <w:r>
              <w:rPr/>
              <w:t>1.18</w:t>
            </w:r>
          </w:p>
        </w:tc>
      </w:tr>
      <w:tr>
        <w:trPr/>
        <w:tc>
          <w:tcPr>
            <w:tcW w:w="3300" w:type="dxa"/>
            <w:tcBorders>
              <w:bottom w:val="single" w:sz="4" w:space="0" w:color="BFBFBF"/>
            </w:tcBorders>
          </w:tcPr>
          <w:p>
            <w:pPr>
              <w:pStyle w:val="Normal"/>
              <w:spacing w:before="40" w:after="40"/>
              <w:rPr/>
            </w:pPr>
            <w:r>
              <w:rPr/>
              <w:t>Station 10 (present)</w:t>
            </w:r>
          </w:p>
        </w:tc>
        <w:tc>
          <w:tcPr>
            <w:tcW w:w="1699" w:type="dxa"/>
            <w:tcBorders>
              <w:bottom w:val="single" w:sz="4" w:space="0" w:color="BFBFBF"/>
            </w:tcBorders>
          </w:tcPr>
          <w:p>
            <w:pPr>
              <w:pStyle w:val="Normal"/>
              <w:spacing w:before="40" w:after="40"/>
              <w:rPr/>
            </w:pPr>
            <w:r>
              <w:rPr/>
              <w:t>1.84</w:t>
            </w:r>
          </w:p>
        </w:tc>
        <w:tc>
          <w:tcPr>
            <w:tcW w:w="1701" w:type="dxa"/>
            <w:tcBorders>
              <w:bottom w:val="single" w:sz="4" w:space="0" w:color="BFBFBF"/>
            </w:tcBorders>
          </w:tcPr>
          <w:p>
            <w:pPr>
              <w:pStyle w:val="Normal"/>
              <w:spacing w:before="40" w:after="40"/>
              <w:rPr/>
            </w:pPr>
            <w:r>
              <w:rPr/>
              <w:t>0.85–3.99</w:t>
            </w:r>
          </w:p>
        </w:tc>
        <w:tc>
          <w:tcPr>
            <w:tcW w:w="1500" w:type="dxa"/>
            <w:tcBorders>
              <w:bottom w:val="single" w:sz="4" w:space="0" w:color="BFBFBF"/>
            </w:tcBorders>
          </w:tcPr>
          <w:p>
            <w:pPr>
              <w:pStyle w:val="Normal"/>
              <w:spacing w:before="40" w:after="40"/>
              <w:rPr/>
            </w:pPr>
            <w:r>
              <w:rPr/>
              <w:t>0.125</w:t>
            </w:r>
          </w:p>
        </w:tc>
        <w:tc>
          <w:tcPr>
            <w:tcW w:w="1300" w:type="dxa"/>
            <w:tcBorders>
              <w:bottom w:val="single" w:sz="4" w:space="0" w:color="BFBFBF"/>
            </w:tcBorders>
          </w:tcPr>
          <w:p>
            <w:pPr>
              <w:pStyle w:val="Normal"/>
              <w:spacing w:before="40" w:after="40"/>
              <w:rPr/>
            </w:pPr>
            <w:r>
              <w:rPr/>
              <w:t>1.27</w:t>
            </w:r>
          </w:p>
        </w:tc>
      </w:tr>
      <w:tr>
        <w:trPr/>
        <w:tc>
          <w:tcPr>
            <w:tcW w:w="3300" w:type="dxa"/>
            <w:tcBorders>
              <w:bottom w:val="single" w:sz="8" w:space="0" w:color="000000"/>
            </w:tcBorders>
          </w:tcPr>
          <w:p>
            <w:pPr>
              <w:pStyle w:val="Normal"/>
              <w:spacing w:before="40" w:after="40"/>
              <w:rPr/>
            </w:pPr>
            <w:r>
              <w:rPr/>
              <w:t>Station 11 (present)</w:t>
            </w:r>
          </w:p>
        </w:tc>
        <w:tc>
          <w:tcPr>
            <w:tcW w:w="1699" w:type="dxa"/>
            <w:tcBorders>
              <w:bottom w:val="single" w:sz="8" w:space="0" w:color="000000"/>
            </w:tcBorders>
          </w:tcPr>
          <w:p>
            <w:pPr>
              <w:pStyle w:val="Normal"/>
              <w:spacing w:before="40" w:after="40"/>
              <w:rPr/>
            </w:pPr>
            <w:r>
              <w:rPr/>
              <w:t>0.85</w:t>
            </w:r>
          </w:p>
        </w:tc>
        <w:tc>
          <w:tcPr>
            <w:tcW w:w="1701" w:type="dxa"/>
            <w:tcBorders>
              <w:bottom w:val="single" w:sz="8" w:space="0" w:color="000000"/>
            </w:tcBorders>
          </w:tcPr>
          <w:p>
            <w:pPr>
              <w:pStyle w:val="Normal"/>
              <w:spacing w:before="40" w:after="40"/>
              <w:rPr/>
            </w:pPr>
            <w:r>
              <w:rPr/>
              <w:t>0.49–1.48</w:t>
            </w:r>
          </w:p>
        </w:tc>
        <w:tc>
          <w:tcPr>
            <w:tcW w:w="1500" w:type="dxa"/>
            <w:tcBorders>
              <w:bottom w:val="single" w:sz="8" w:space="0" w:color="000000"/>
            </w:tcBorders>
          </w:tcPr>
          <w:p>
            <w:pPr>
              <w:pStyle w:val="Normal"/>
              <w:spacing w:before="40" w:after="40"/>
              <w:rPr/>
            </w:pPr>
            <w:r>
              <w:rPr/>
              <w:t>0.557</w:t>
            </w:r>
          </w:p>
        </w:tc>
        <w:tc>
          <w:tcPr>
            <w:tcW w:w="1300" w:type="dxa"/>
            <w:tcBorders>
              <w:bottom w:val="single" w:sz="8" w:space="0" w:color="000000"/>
            </w:tcBorders>
          </w:tcPr>
          <w:p>
            <w:pPr>
              <w:pStyle w:val="Normal"/>
              <w:spacing w:before="40" w:after="40"/>
              <w:rPr/>
            </w:pPr>
            <w:r>
              <w:rPr/>
              <w:t>1.32</w:t>
            </w:r>
          </w:p>
        </w:tc>
      </w:tr>
    </w:tbl>
    <w:p>
      <w:pPr>
        <w:pStyle w:val="Normal"/>
        <w:spacing w:before="0" w:after="80"/>
        <w:rPr/>
      </w:pPr>
      <w:r>
        <w:rPr/>
        <w:t>Model B was fit by adding station-specific binary indicators to the five core predictors of Model A. Station 7 (subcarinal) retained an independent association with benignity; remaining station variables were not independently significant.</w:t>
      </w:r>
    </w:p>
    <w:p>
      <w:pPr>
        <w:pStyle w:val="Normal"/>
        <w:spacing w:before="0" w:after="80"/>
        <w:rPr/>
      </w:pPr>
      <w:r>
        <w:rPr/>
        <w:t>CI, confidence interval; OR, odds ratio; SUVmax, maximum standardized uptake value; VIF, variance inflation factor.</w:t>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200" w:after="100"/>
        <w:rPr/>
      </w:pPr>
      <w:r>
        <w:rPr>
          <w:b/>
          <w:bCs/>
        </w:rPr>
        <w:t>Table S4</w:t>
      </w:r>
      <w:r>
        <w:rPr/>
        <w:t xml:space="preserve"> Variance inflation factors and tolerance values for the five core predictors of the principal nomogram (Model A; n = 337).</w:t>
      </w:r>
    </w:p>
    <w:tbl>
      <w:tblPr>
        <w:tblW w:w="9500" w:type="dxa"/>
        <w:jc w:val="left"/>
        <w:tblInd w:w="0" w:type="dxa"/>
        <w:tblLayout w:type="fixed"/>
        <w:tblCellMar>
          <w:top w:w="80" w:type="dxa"/>
          <w:left w:w="100" w:type="dxa"/>
          <w:bottom w:w="80" w:type="dxa"/>
          <w:right w:w="100" w:type="dxa"/>
        </w:tblCellMar>
        <w:tblLook w:val="04a0" w:noHBand="0" w:noVBand="1" w:firstColumn="1" w:lastRow="0" w:lastColumn="0" w:firstRow="1"/>
      </w:tblPr>
      <w:tblGrid>
        <w:gridCol w:w="4000"/>
        <w:gridCol w:w="2499"/>
        <w:gridCol w:w="3001"/>
      </w:tblGrid>
      <w:tr>
        <w:trPr>
          <w:tblHeader w:val="true"/>
        </w:trPr>
        <w:tc>
          <w:tcPr>
            <w:tcW w:w="4000" w:type="dxa"/>
            <w:tcBorders>
              <w:top w:val="single" w:sz="8" w:space="0" w:color="000000"/>
              <w:bottom w:val="single" w:sz="8" w:space="0" w:color="000000"/>
            </w:tcBorders>
          </w:tcPr>
          <w:p>
            <w:pPr>
              <w:pStyle w:val="Normal"/>
              <w:spacing w:before="60" w:after="60"/>
              <w:rPr/>
            </w:pPr>
            <w:r>
              <w:rPr>
                <w:b/>
                <w:bCs/>
              </w:rPr>
              <w:t>Predictor</w:t>
            </w:r>
          </w:p>
        </w:tc>
        <w:tc>
          <w:tcPr>
            <w:tcW w:w="2499" w:type="dxa"/>
            <w:tcBorders>
              <w:top w:val="single" w:sz="8" w:space="0" w:color="000000"/>
              <w:bottom w:val="single" w:sz="8" w:space="0" w:color="000000"/>
            </w:tcBorders>
          </w:tcPr>
          <w:p>
            <w:pPr>
              <w:pStyle w:val="Normal"/>
              <w:spacing w:before="60" w:after="60"/>
              <w:rPr/>
            </w:pPr>
            <w:r>
              <w:rPr>
                <w:b/>
                <w:bCs/>
              </w:rPr>
              <w:t>VIF</w:t>
            </w:r>
          </w:p>
        </w:tc>
        <w:tc>
          <w:tcPr>
            <w:tcW w:w="3001" w:type="dxa"/>
            <w:tcBorders>
              <w:top w:val="single" w:sz="8" w:space="0" w:color="000000"/>
              <w:bottom w:val="single" w:sz="8" w:space="0" w:color="000000"/>
            </w:tcBorders>
          </w:tcPr>
          <w:p>
            <w:pPr>
              <w:pStyle w:val="Normal"/>
              <w:spacing w:before="60" w:after="60"/>
              <w:rPr/>
            </w:pPr>
            <w:r>
              <w:rPr>
                <w:b/>
                <w:bCs/>
              </w:rPr>
              <w:t>Tolerance (1/VIF)</w:t>
            </w:r>
          </w:p>
        </w:tc>
      </w:tr>
      <w:tr>
        <w:trPr/>
        <w:tc>
          <w:tcPr>
            <w:tcW w:w="4000" w:type="dxa"/>
            <w:tcBorders>
              <w:bottom w:val="single" w:sz="4" w:space="0" w:color="BFBFBF"/>
            </w:tcBorders>
          </w:tcPr>
          <w:p>
            <w:pPr>
              <w:pStyle w:val="Normal"/>
              <w:spacing w:before="40" w:after="40"/>
              <w:rPr/>
            </w:pPr>
            <w:r>
              <w:rPr/>
              <w:t>Female sex</w:t>
            </w:r>
          </w:p>
        </w:tc>
        <w:tc>
          <w:tcPr>
            <w:tcW w:w="2499" w:type="dxa"/>
            <w:tcBorders>
              <w:bottom w:val="single" w:sz="4" w:space="0" w:color="BFBFBF"/>
            </w:tcBorders>
          </w:tcPr>
          <w:p>
            <w:pPr>
              <w:pStyle w:val="Normal"/>
              <w:spacing w:before="40" w:after="40"/>
              <w:rPr/>
            </w:pPr>
            <w:r>
              <w:rPr/>
              <w:t>1.35</w:t>
            </w:r>
          </w:p>
        </w:tc>
        <w:tc>
          <w:tcPr>
            <w:tcW w:w="3001" w:type="dxa"/>
            <w:tcBorders>
              <w:bottom w:val="single" w:sz="4" w:space="0" w:color="BFBFBF"/>
            </w:tcBorders>
          </w:tcPr>
          <w:p>
            <w:pPr>
              <w:pStyle w:val="Normal"/>
              <w:spacing w:before="40" w:after="40"/>
              <w:rPr/>
            </w:pPr>
            <w:r>
              <w:rPr/>
              <w:t>0.741</w:t>
            </w:r>
          </w:p>
        </w:tc>
      </w:tr>
      <w:tr>
        <w:trPr/>
        <w:tc>
          <w:tcPr>
            <w:tcW w:w="4000" w:type="dxa"/>
            <w:tcBorders>
              <w:bottom w:val="single" w:sz="4" w:space="0" w:color="BFBFBF"/>
            </w:tcBorders>
          </w:tcPr>
          <w:p>
            <w:pPr>
              <w:pStyle w:val="Normal"/>
              <w:spacing w:before="40" w:after="40"/>
              <w:rPr/>
            </w:pPr>
            <w:r>
              <w:rPr/>
              <w:t>Age ≥ 65 years</w:t>
            </w:r>
          </w:p>
        </w:tc>
        <w:tc>
          <w:tcPr>
            <w:tcW w:w="2499" w:type="dxa"/>
            <w:tcBorders>
              <w:bottom w:val="single" w:sz="4" w:space="0" w:color="BFBFBF"/>
            </w:tcBorders>
          </w:tcPr>
          <w:p>
            <w:pPr>
              <w:pStyle w:val="Normal"/>
              <w:spacing w:before="40" w:after="40"/>
              <w:rPr/>
            </w:pPr>
            <w:r>
              <w:rPr/>
              <w:t>1.78</w:t>
            </w:r>
          </w:p>
        </w:tc>
        <w:tc>
          <w:tcPr>
            <w:tcW w:w="3001" w:type="dxa"/>
            <w:tcBorders>
              <w:bottom w:val="single" w:sz="4" w:space="0" w:color="BFBFBF"/>
            </w:tcBorders>
          </w:tcPr>
          <w:p>
            <w:pPr>
              <w:pStyle w:val="Normal"/>
              <w:spacing w:before="40" w:after="40"/>
              <w:rPr/>
            </w:pPr>
            <w:r>
              <w:rPr/>
              <w:t>0.562</w:t>
            </w:r>
          </w:p>
        </w:tc>
      </w:tr>
      <w:tr>
        <w:trPr/>
        <w:tc>
          <w:tcPr>
            <w:tcW w:w="4000" w:type="dxa"/>
            <w:tcBorders>
              <w:bottom w:val="single" w:sz="4" w:space="0" w:color="BFBFBF"/>
            </w:tcBorders>
          </w:tcPr>
          <w:p>
            <w:pPr>
              <w:pStyle w:val="Normal"/>
              <w:spacing w:before="40" w:after="40"/>
              <w:rPr/>
            </w:pPr>
            <w:r>
              <w:rPr/>
              <w:t>Short-axis diameter</w:t>
            </w:r>
          </w:p>
        </w:tc>
        <w:tc>
          <w:tcPr>
            <w:tcW w:w="2499" w:type="dxa"/>
            <w:tcBorders>
              <w:bottom w:val="single" w:sz="4" w:space="0" w:color="BFBFBF"/>
            </w:tcBorders>
          </w:tcPr>
          <w:p>
            <w:pPr>
              <w:pStyle w:val="Normal"/>
              <w:spacing w:before="40" w:after="40"/>
              <w:rPr/>
            </w:pPr>
            <w:r>
              <w:rPr/>
              <w:t>4.38</w:t>
            </w:r>
          </w:p>
        </w:tc>
        <w:tc>
          <w:tcPr>
            <w:tcW w:w="3001" w:type="dxa"/>
            <w:tcBorders>
              <w:bottom w:val="single" w:sz="4" w:space="0" w:color="BFBFBF"/>
            </w:tcBorders>
          </w:tcPr>
          <w:p>
            <w:pPr>
              <w:pStyle w:val="Normal"/>
              <w:spacing w:before="40" w:after="40"/>
              <w:rPr/>
            </w:pPr>
            <w:r>
              <w:rPr/>
              <w:t>0.228</w:t>
            </w:r>
          </w:p>
        </w:tc>
      </w:tr>
      <w:tr>
        <w:trPr/>
        <w:tc>
          <w:tcPr>
            <w:tcW w:w="4000" w:type="dxa"/>
            <w:tcBorders>
              <w:bottom w:val="single" w:sz="4" w:space="0" w:color="BFBFBF"/>
            </w:tcBorders>
          </w:tcPr>
          <w:p>
            <w:pPr>
              <w:pStyle w:val="Normal"/>
              <w:spacing w:before="40" w:after="40"/>
              <w:rPr/>
            </w:pPr>
            <w:r>
              <w:rPr/>
              <w:t>Mean Hounsfield unit</w:t>
            </w:r>
          </w:p>
        </w:tc>
        <w:tc>
          <w:tcPr>
            <w:tcW w:w="2499" w:type="dxa"/>
            <w:tcBorders>
              <w:bottom w:val="single" w:sz="4" w:space="0" w:color="BFBFBF"/>
            </w:tcBorders>
          </w:tcPr>
          <w:p>
            <w:pPr>
              <w:pStyle w:val="Normal"/>
              <w:spacing w:before="40" w:after="40"/>
              <w:rPr/>
            </w:pPr>
            <w:r>
              <w:rPr/>
              <w:t>2.38</w:t>
            </w:r>
          </w:p>
        </w:tc>
        <w:tc>
          <w:tcPr>
            <w:tcW w:w="3001" w:type="dxa"/>
            <w:tcBorders>
              <w:bottom w:val="single" w:sz="4" w:space="0" w:color="BFBFBF"/>
            </w:tcBorders>
          </w:tcPr>
          <w:p>
            <w:pPr>
              <w:pStyle w:val="Normal"/>
              <w:spacing w:before="40" w:after="40"/>
              <w:rPr/>
            </w:pPr>
            <w:r>
              <w:rPr/>
              <w:t>0.420</w:t>
            </w:r>
          </w:p>
        </w:tc>
      </w:tr>
      <w:tr>
        <w:trPr/>
        <w:tc>
          <w:tcPr>
            <w:tcW w:w="4000" w:type="dxa"/>
            <w:tcBorders>
              <w:bottom w:val="single" w:sz="8" w:space="0" w:color="000000"/>
            </w:tcBorders>
          </w:tcPr>
          <w:p>
            <w:pPr>
              <w:pStyle w:val="Normal"/>
              <w:spacing w:before="40" w:after="40"/>
              <w:rPr/>
            </w:pPr>
            <w:r>
              <w:rPr/>
              <w:t>SUVmax</w:t>
            </w:r>
          </w:p>
        </w:tc>
        <w:tc>
          <w:tcPr>
            <w:tcW w:w="2499" w:type="dxa"/>
            <w:tcBorders>
              <w:bottom w:val="single" w:sz="8" w:space="0" w:color="000000"/>
            </w:tcBorders>
          </w:tcPr>
          <w:p>
            <w:pPr>
              <w:pStyle w:val="Normal"/>
              <w:spacing w:before="40" w:after="40"/>
              <w:rPr/>
            </w:pPr>
            <w:r>
              <w:rPr/>
              <w:t>3.59</w:t>
            </w:r>
          </w:p>
        </w:tc>
        <w:tc>
          <w:tcPr>
            <w:tcW w:w="3001" w:type="dxa"/>
            <w:tcBorders>
              <w:bottom w:val="single" w:sz="8" w:space="0" w:color="000000"/>
            </w:tcBorders>
          </w:tcPr>
          <w:p>
            <w:pPr>
              <w:pStyle w:val="Normal"/>
              <w:spacing w:before="40" w:after="40"/>
              <w:rPr/>
            </w:pPr>
            <w:r>
              <w:rPr/>
              <w:t>0.279</w:t>
            </w:r>
          </w:p>
        </w:tc>
      </w:tr>
    </w:tbl>
    <w:p>
      <w:pPr>
        <w:pStyle w:val="Normal"/>
        <w:spacing w:before="0" w:after="80"/>
        <w:rPr/>
      </w:pPr>
      <w:r>
        <w:rPr/>
        <w:t>All VIF values were below the conventional threshold of 5.0, indicating absence of problematic multicollinearity. Continuous age was replaced by the dichotomized variable age ≥ 65 years to resolve elevated VIF observed during exploratory analysis.</w:t>
      </w:r>
    </w:p>
    <w:p>
      <w:pPr>
        <w:pStyle w:val="Normal"/>
        <w:spacing w:before="0" w:after="80"/>
        <w:rPr/>
      </w:pPr>
      <w:r>
        <w:rPr/>
        <w:t>VIF, variance inflation factor.</w:t>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200" w:after="100"/>
        <w:rPr/>
      </w:pPr>
      <w:r>
        <w:rPr>
          <w:b/>
          <w:bCs/>
        </w:rPr>
        <w:t>Table S5</w:t>
      </w:r>
      <w:r>
        <w:rPr/>
        <w:t xml:space="preserve"> LASSO penalized regression sensitivity analysis for variable selection (n = 337).</w:t>
      </w:r>
    </w:p>
    <w:tbl>
      <w:tblPr>
        <w:tblW w:w="9200" w:type="dxa"/>
        <w:jc w:val="left"/>
        <w:tblInd w:w="0" w:type="dxa"/>
        <w:tblLayout w:type="fixed"/>
        <w:tblCellMar>
          <w:top w:w="80" w:type="dxa"/>
          <w:left w:w="100" w:type="dxa"/>
          <w:bottom w:w="80" w:type="dxa"/>
          <w:right w:w="100" w:type="dxa"/>
        </w:tblCellMar>
        <w:tblLook w:val="04a0" w:noHBand="0" w:noVBand="1" w:firstColumn="1" w:lastRow="0" w:lastColumn="0" w:firstRow="1"/>
      </w:tblPr>
      <w:tblGrid>
        <w:gridCol w:w="2400"/>
        <w:gridCol w:w="799"/>
        <w:gridCol w:w="801"/>
        <w:gridCol w:w="899"/>
        <w:gridCol w:w="900"/>
        <w:gridCol w:w="901"/>
        <w:gridCol w:w="900"/>
        <w:gridCol w:w="1599"/>
      </w:tblGrid>
      <w:tr>
        <w:trPr>
          <w:tblHeader w:val="true"/>
        </w:trPr>
        <w:tc>
          <w:tcPr>
            <w:tcW w:w="2400" w:type="dxa"/>
            <w:tcBorders>
              <w:top w:val="single" w:sz="8" w:space="0" w:color="000000"/>
              <w:bottom w:val="single" w:sz="8" w:space="0" w:color="000000"/>
            </w:tcBorders>
          </w:tcPr>
          <w:p>
            <w:pPr>
              <w:pStyle w:val="Normal"/>
              <w:spacing w:before="60" w:after="60"/>
              <w:rPr/>
            </w:pPr>
            <w:r>
              <w:rPr>
                <w:b/>
                <w:bCs/>
              </w:rPr>
              <w:t>Variable</w:t>
            </w:r>
          </w:p>
        </w:tc>
        <w:tc>
          <w:tcPr>
            <w:tcW w:w="799" w:type="dxa"/>
            <w:tcBorders>
              <w:top w:val="single" w:sz="8" w:space="0" w:color="000000"/>
              <w:bottom w:val="single" w:sz="8" w:space="0" w:color="000000"/>
            </w:tcBorders>
          </w:tcPr>
          <w:p>
            <w:pPr>
              <w:pStyle w:val="Normal"/>
              <w:spacing w:before="60" w:after="60"/>
              <w:rPr/>
            </w:pPr>
            <w:r>
              <w:rPr>
                <w:b/>
                <w:bCs/>
              </w:rPr>
              <w:t>MLE β</w:t>
            </w:r>
          </w:p>
        </w:tc>
        <w:tc>
          <w:tcPr>
            <w:tcW w:w="801" w:type="dxa"/>
            <w:tcBorders>
              <w:top w:val="single" w:sz="8" w:space="0" w:color="000000"/>
              <w:bottom w:val="single" w:sz="8" w:space="0" w:color="000000"/>
            </w:tcBorders>
          </w:tcPr>
          <w:p>
            <w:pPr>
              <w:pStyle w:val="Normal"/>
              <w:spacing w:before="60" w:after="60"/>
              <w:rPr/>
            </w:pPr>
            <w:r>
              <w:rPr>
                <w:b/>
                <w:bCs/>
              </w:rPr>
              <w:t>MLE OR</w:t>
            </w:r>
          </w:p>
        </w:tc>
        <w:tc>
          <w:tcPr>
            <w:tcW w:w="899" w:type="dxa"/>
            <w:tcBorders>
              <w:top w:val="single" w:sz="8" w:space="0" w:color="000000"/>
              <w:bottom w:val="single" w:sz="8" w:space="0" w:color="000000"/>
            </w:tcBorders>
          </w:tcPr>
          <w:p>
            <w:pPr>
              <w:pStyle w:val="Normal"/>
              <w:spacing w:before="60" w:after="60"/>
              <w:rPr/>
            </w:pPr>
            <w:r>
              <w:rPr>
                <w:b/>
                <w:bCs/>
              </w:rPr>
              <w:t>λ_min β</w:t>
            </w:r>
          </w:p>
        </w:tc>
        <w:tc>
          <w:tcPr>
            <w:tcW w:w="900" w:type="dxa"/>
            <w:tcBorders>
              <w:top w:val="single" w:sz="8" w:space="0" w:color="000000"/>
              <w:bottom w:val="single" w:sz="8" w:space="0" w:color="000000"/>
            </w:tcBorders>
          </w:tcPr>
          <w:p>
            <w:pPr>
              <w:pStyle w:val="Normal"/>
              <w:spacing w:before="60" w:after="60"/>
              <w:rPr/>
            </w:pPr>
            <w:r>
              <w:rPr>
                <w:b/>
                <w:bCs/>
              </w:rPr>
              <w:t>λ_min OR</w:t>
            </w:r>
          </w:p>
        </w:tc>
        <w:tc>
          <w:tcPr>
            <w:tcW w:w="901" w:type="dxa"/>
            <w:tcBorders>
              <w:top w:val="single" w:sz="8" w:space="0" w:color="000000"/>
              <w:bottom w:val="single" w:sz="8" w:space="0" w:color="000000"/>
            </w:tcBorders>
          </w:tcPr>
          <w:p>
            <w:pPr>
              <w:pStyle w:val="Normal"/>
              <w:spacing w:before="60" w:after="60"/>
              <w:rPr/>
            </w:pPr>
            <w:r>
              <w:rPr>
                <w:b/>
                <w:bCs/>
              </w:rPr>
              <w:t>λ_1se β</w:t>
            </w:r>
          </w:p>
        </w:tc>
        <w:tc>
          <w:tcPr>
            <w:tcW w:w="900" w:type="dxa"/>
            <w:tcBorders>
              <w:top w:val="single" w:sz="8" w:space="0" w:color="000000"/>
              <w:bottom w:val="single" w:sz="8" w:space="0" w:color="000000"/>
            </w:tcBorders>
          </w:tcPr>
          <w:p>
            <w:pPr>
              <w:pStyle w:val="Normal"/>
              <w:spacing w:before="60" w:after="60"/>
              <w:rPr/>
            </w:pPr>
            <w:r>
              <w:rPr>
                <w:b/>
                <w:bCs/>
              </w:rPr>
              <w:t>λ_1se OR</w:t>
            </w:r>
          </w:p>
        </w:tc>
        <w:tc>
          <w:tcPr>
            <w:tcW w:w="1599" w:type="dxa"/>
            <w:tcBorders>
              <w:top w:val="single" w:sz="8" w:space="0" w:color="000000"/>
              <w:bottom w:val="single" w:sz="8" w:space="0" w:color="000000"/>
            </w:tcBorders>
          </w:tcPr>
          <w:p>
            <w:pPr>
              <w:pStyle w:val="Normal"/>
              <w:spacing w:before="60" w:after="60"/>
              <w:rPr/>
            </w:pPr>
            <w:r>
              <w:rPr>
                <w:b/>
                <w:bCs/>
              </w:rPr>
              <w:t>Retained at λ_1se</w:t>
            </w:r>
          </w:p>
        </w:tc>
      </w:tr>
      <w:tr>
        <w:trPr/>
        <w:tc>
          <w:tcPr>
            <w:tcW w:w="2400" w:type="dxa"/>
            <w:tcBorders>
              <w:bottom w:val="single" w:sz="4" w:space="0" w:color="BFBFBF"/>
            </w:tcBorders>
          </w:tcPr>
          <w:p>
            <w:pPr>
              <w:pStyle w:val="Normal"/>
              <w:spacing w:before="40" w:after="40"/>
              <w:rPr/>
            </w:pPr>
            <w:r>
              <w:rPr/>
              <w:t>Female sex</w:t>
            </w:r>
          </w:p>
        </w:tc>
        <w:tc>
          <w:tcPr>
            <w:tcW w:w="799" w:type="dxa"/>
            <w:tcBorders>
              <w:bottom w:val="single" w:sz="4" w:space="0" w:color="BFBFBF"/>
            </w:tcBorders>
          </w:tcPr>
          <w:p>
            <w:pPr>
              <w:pStyle w:val="Normal"/>
              <w:spacing w:before="40" w:after="40"/>
              <w:rPr/>
            </w:pPr>
            <w:r>
              <w:rPr/>
              <w:t>−</w:t>
            </w:r>
            <w:r>
              <w:rPr/>
              <w:t>1.245</w:t>
            </w:r>
          </w:p>
        </w:tc>
        <w:tc>
          <w:tcPr>
            <w:tcW w:w="801" w:type="dxa"/>
            <w:tcBorders>
              <w:bottom w:val="single" w:sz="4" w:space="0" w:color="BFBFBF"/>
            </w:tcBorders>
          </w:tcPr>
          <w:p>
            <w:pPr>
              <w:pStyle w:val="Normal"/>
              <w:spacing w:before="40" w:after="40"/>
              <w:rPr/>
            </w:pPr>
            <w:r>
              <w:rPr/>
              <w:t>0.288</w:t>
            </w:r>
          </w:p>
        </w:tc>
        <w:tc>
          <w:tcPr>
            <w:tcW w:w="899" w:type="dxa"/>
            <w:tcBorders>
              <w:bottom w:val="single" w:sz="4" w:space="0" w:color="BFBFBF"/>
            </w:tcBorders>
          </w:tcPr>
          <w:p>
            <w:pPr>
              <w:pStyle w:val="Normal"/>
              <w:spacing w:before="40" w:after="40"/>
              <w:rPr/>
            </w:pPr>
            <w:r>
              <w:rPr/>
              <w:t>−</w:t>
            </w:r>
            <w:r>
              <w:rPr/>
              <w:t>1.135</w:t>
            </w:r>
          </w:p>
        </w:tc>
        <w:tc>
          <w:tcPr>
            <w:tcW w:w="900" w:type="dxa"/>
            <w:tcBorders>
              <w:bottom w:val="single" w:sz="4" w:space="0" w:color="BFBFBF"/>
            </w:tcBorders>
          </w:tcPr>
          <w:p>
            <w:pPr>
              <w:pStyle w:val="Normal"/>
              <w:spacing w:before="40" w:after="40"/>
              <w:rPr/>
            </w:pPr>
            <w:r>
              <w:rPr/>
              <w:t>0.322</w:t>
            </w:r>
          </w:p>
        </w:tc>
        <w:tc>
          <w:tcPr>
            <w:tcW w:w="901" w:type="dxa"/>
            <w:tcBorders>
              <w:bottom w:val="single" w:sz="4" w:space="0" w:color="BFBFBF"/>
            </w:tcBorders>
          </w:tcPr>
          <w:p>
            <w:pPr>
              <w:pStyle w:val="Normal"/>
              <w:spacing w:before="40" w:after="40"/>
              <w:rPr/>
            </w:pPr>
            <w:r>
              <w:rPr/>
              <w:t>−</w:t>
            </w:r>
            <w:r>
              <w:rPr/>
              <w:t>0.835</w:t>
            </w:r>
          </w:p>
        </w:tc>
        <w:tc>
          <w:tcPr>
            <w:tcW w:w="900" w:type="dxa"/>
            <w:tcBorders>
              <w:bottom w:val="single" w:sz="4" w:space="0" w:color="BFBFBF"/>
            </w:tcBorders>
          </w:tcPr>
          <w:p>
            <w:pPr>
              <w:pStyle w:val="Normal"/>
              <w:spacing w:before="40" w:after="40"/>
              <w:rPr/>
            </w:pPr>
            <w:r>
              <w:rPr/>
              <w:t>0.434</w:t>
            </w:r>
          </w:p>
        </w:tc>
        <w:tc>
          <w:tcPr>
            <w:tcW w:w="1599" w:type="dxa"/>
            <w:tcBorders>
              <w:bottom w:val="single" w:sz="4" w:space="0" w:color="BFBFBF"/>
            </w:tcBorders>
          </w:tcPr>
          <w:p>
            <w:pPr>
              <w:pStyle w:val="Normal"/>
              <w:spacing w:before="40" w:after="40"/>
              <w:rPr/>
            </w:pPr>
            <w:r>
              <w:rPr/>
              <w:t>Yes</w:t>
            </w:r>
          </w:p>
        </w:tc>
      </w:tr>
      <w:tr>
        <w:trPr/>
        <w:tc>
          <w:tcPr>
            <w:tcW w:w="2400" w:type="dxa"/>
            <w:tcBorders>
              <w:bottom w:val="single" w:sz="4" w:space="0" w:color="BFBFBF"/>
            </w:tcBorders>
          </w:tcPr>
          <w:p>
            <w:pPr>
              <w:pStyle w:val="Normal"/>
              <w:spacing w:before="40" w:after="40"/>
              <w:rPr/>
            </w:pPr>
            <w:r>
              <w:rPr/>
              <w:t>Age ≥ 65 years</w:t>
            </w:r>
          </w:p>
        </w:tc>
        <w:tc>
          <w:tcPr>
            <w:tcW w:w="799" w:type="dxa"/>
            <w:tcBorders>
              <w:bottom w:val="single" w:sz="4" w:space="0" w:color="BFBFBF"/>
            </w:tcBorders>
          </w:tcPr>
          <w:p>
            <w:pPr>
              <w:pStyle w:val="Normal"/>
              <w:spacing w:before="40" w:after="40"/>
              <w:rPr/>
            </w:pPr>
            <w:r>
              <w:rPr/>
              <w:t>−</w:t>
            </w:r>
            <w:r>
              <w:rPr/>
              <w:t>0.875</w:t>
            </w:r>
          </w:p>
        </w:tc>
        <w:tc>
          <w:tcPr>
            <w:tcW w:w="801" w:type="dxa"/>
            <w:tcBorders>
              <w:bottom w:val="single" w:sz="4" w:space="0" w:color="BFBFBF"/>
            </w:tcBorders>
          </w:tcPr>
          <w:p>
            <w:pPr>
              <w:pStyle w:val="Normal"/>
              <w:spacing w:before="40" w:after="40"/>
              <w:rPr/>
            </w:pPr>
            <w:r>
              <w:rPr/>
              <w:t>0.417</w:t>
            </w:r>
          </w:p>
        </w:tc>
        <w:tc>
          <w:tcPr>
            <w:tcW w:w="899" w:type="dxa"/>
            <w:tcBorders>
              <w:bottom w:val="single" w:sz="4" w:space="0" w:color="BFBFBF"/>
            </w:tcBorders>
          </w:tcPr>
          <w:p>
            <w:pPr>
              <w:pStyle w:val="Normal"/>
              <w:spacing w:before="40" w:after="40"/>
              <w:rPr/>
            </w:pPr>
            <w:r>
              <w:rPr/>
              <w:t>−</w:t>
            </w:r>
            <w:r>
              <w:rPr/>
              <w:t>0.745</w:t>
            </w:r>
          </w:p>
        </w:tc>
        <w:tc>
          <w:tcPr>
            <w:tcW w:w="900" w:type="dxa"/>
            <w:tcBorders>
              <w:bottom w:val="single" w:sz="4" w:space="0" w:color="BFBFBF"/>
            </w:tcBorders>
          </w:tcPr>
          <w:p>
            <w:pPr>
              <w:pStyle w:val="Normal"/>
              <w:spacing w:before="40" w:after="40"/>
              <w:rPr/>
            </w:pPr>
            <w:r>
              <w:rPr/>
              <w:t>0.475</w:t>
            </w:r>
          </w:p>
        </w:tc>
        <w:tc>
          <w:tcPr>
            <w:tcW w:w="901" w:type="dxa"/>
            <w:tcBorders>
              <w:bottom w:val="single" w:sz="4" w:space="0" w:color="BFBFBF"/>
            </w:tcBorders>
          </w:tcPr>
          <w:p>
            <w:pPr>
              <w:pStyle w:val="Normal"/>
              <w:spacing w:before="40" w:after="40"/>
              <w:rPr/>
            </w:pPr>
            <w:r>
              <w:rPr/>
              <w:t>−</w:t>
            </w:r>
            <w:r>
              <w:rPr/>
              <w:t>0.384</w:t>
            </w:r>
          </w:p>
        </w:tc>
        <w:tc>
          <w:tcPr>
            <w:tcW w:w="900" w:type="dxa"/>
            <w:tcBorders>
              <w:bottom w:val="single" w:sz="4" w:space="0" w:color="BFBFBF"/>
            </w:tcBorders>
          </w:tcPr>
          <w:p>
            <w:pPr>
              <w:pStyle w:val="Normal"/>
              <w:spacing w:before="40" w:after="40"/>
              <w:rPr/>
            </w:pPr>
            <w:r>
              <w:rPr/>
              <w:t>0.681</w:t>
            </w:r>
          </w:p>
        </w:tc>
        <w:tc>
          <w:tcPr>
            <w:tcW w:w="1599" w:type="dxa"/>
            <w:tcBorders>
              <w:bottom w:val="single" w:sz="4" w:space="0" w:color="BFBFBF"/>
            </w:tcBorders>
          </w:tcPr>
          <w:p>
            <w:pPr>
              <w:pStyle w:val="Normal"/>
              <w:spacing w:before="40" w:after="40"/>
              <w:rPr/>
            </w:pPr>
            <w:r>
              <w:rPr/>
              <w:t>Yes</w:t>
            </w:r>
          </w:p>
        </w:tc>
      </w:tr>
      <w:tr>
        <w:trPr/>
        <w:tc>
          <w:tcPr>
            <w:tcW w:w="2400" w:type="dxa"/>
            <w:tcBorders>
              <w:bottom w:val="single" w:sz="4" w:space="0" w:color="BFBFBF"/>
            </w:tcBorders>
          </w:tcPr>
          <w:p>
            <w:pPr>
              <w:pStyle w:val="Normal"/>
              <w:spacing w:before="40" w:after="40"/>
              <w:rPr/>
            </w:pPr>
            <w:r>
              <w:rPr/>
              <w:t>Short-axis diameter (per mm)</w:t>
            </w:r>
          </w:p>
        </w:tc>
        <w:tc>
          <w:tcPr>
            <w:tcW w:w="799" w:type="dxa"/>
            <w:tcBorders>
              <w:bottom w:val="single" w:sz="4" w:space="0" w:color="BFBFBF"/>
            </w:tcBorders>
          </w:tcPr>
          <w:p>
            <w:pPr>
              <w:pStyle w:val="Normal"/>
              <w:spacing w:before="40" w:after="40"/>
              <w:rPr/>
            </w:pPr>
            <w:r>
              <w:rPr/>
              <w:t>+0.053</w:t>
            </w:r>
          </w:p>
        </w:tc>
        <w:tc>
          <w:tcPr>
            <w:tcW w:w="801" w:type="dxa"/>
            <w:tcBorders>
              <w:bottom w:val="single" w:sz="4" w:space="0" w:color="BFBFBF"/>
            </w:tcBorders>
          </w:tcPr>
          <w:p>
            <w:pPr>
              <w:pStyle w:val="Normal"/>
              <w:spacing w:before="40" w:after="40"/>
              <w:rPr/>
            </w:pPr>
            <w:r>
              <w:rPr/>
              <w:t>1.054</w:t>
            </w:r>
          </w:p>
        </w:tc>
        <w:tc>
          <w:tcPr>
            <w:tcW w:w="899" w:type="dxa"/>
            <w:tcBorders>
              <w:bottom w:val="single" w:sz="4" w:space="0" w:color="BFBFBF"/>
            </w:tcBorders>
          </w:tcPr>
          <w:p>
            <w:pPr>
              <w:pStyle w:val="Normal"/>
              <w:spacing w:before="40" w:after="40"/>
              <w:rPr/>
            </w:pPr>
            <w:r>
              <w:rPr/>
              <w:t>+0.046</w:t>
            </w:r>
          </w:p>
        </w:tc>
        <w:tc>
          <w:tcPr>
            <w:tcW w:w="900" w:type="dxa"/>
            <w:tcBorders>
              <w:bottom w:val="single" w:sz="4" w:space="0" w:color="BFBFBF"/>
            </w:tcBorders>
          </w:tcPr>
          <w:p>
            <w:pPr>
              <w:pStyle w:val="Normal"/>
              <w:spacing w:before="40" w:after="40"/>
              <w:rPr/>
            </w:pPr>
            <w:r>
              <w:rPr/>
              <w:t>1.047</w:t>
            </w:r>
          </w:p>
        </w:tc>
        <w:tc>
          <w:tcPr>
            <w:tcW w:w="901" w:type="dxa"/>
            <w:tcBorders>
              <w:bottom w:val="single" w:sz="4" w:space="0" w:color="BFBFBF"/>
            </w:tcBorders>
          </w:tcPr>
          <w:p>
            <w:pPr>
              <w:pStyle w:val="Normal"/>
              <w:spacing w:before="40" w:after="40"/>
              <w:rPr/>
            </w:pPr>
            <w:r>
              <w:rPr/>
              <w:t>+0.028</w:t>
            </w:r>
          </w:p>
        </w:tc>
        <w:tc>
          <w:tcPr>
            <w:tcW w:w="900" w:type="dxa"/>
            <w:tcBorders>
              <w:bottom w:val="single" w:sz="4" w:space="0" w:color="BFBFBF"/>
            </w:tcBorders>
          </w:tcPr>
          <w:p>
            <w:pPr>
              <w:pStyle w:val="Normal"/>
              <w:spacing w:before="40" w:after="40"/>
              <w:rPr/>
            </w:pPr>
            <w:r>
              <w:rPr/>
              <w:t>1.029</w:t>
            </w:r>
          </w:p>
        </w:tc>
        <w:tc>
          <w:tcPr>
            <w:tcW w:w="1599" w:type="dxa"/>
            <w:tcBorders>
              <w:bottom w:val="single" w:sz="4" w:space="0" w:color="BFBFBF"/>
            </w:tcBorders>
          </w:tcPr>
          <w:p>
            <w:pPr>
              <w:pStyle w:val="Normal"/>
              <w:spacing w:before="40" w:after="40"/>
              <w:rPr/>
            </w:pPr>
            <w:r>
              <w:rPr/>
              <w:t>Yes</w:t>
            </w:r>
          </w:p>
        </w:tc>
      </w:tr>
      <w:tr>
        <w:trPr/>
        <w:tc>
          <w:tcPr>
            <w:tcW w:w="2400" w:type="dxa"/>
            <w:tcBorders>
              <w:bottom w:val="single" w:sz="4" w:space="0" w:color="BFBFBF"/>
            </w:tcBorders>
          </w:tcPr>
          <w:p>
            <w:pPr>
              <w:pStyle w:val="Normal"/>
              <w:spacing w:before="40" w:after="40"/>
              <w:rPr/>
            </w:pPr>
            <w:r>
              <w:rPr/>
              <w:t>Mean Hounsfield unit (per unit)</w:t>
            </w:r>
          </w:p>
        </w:tc>
        <w:tc>
          <w:tcPr>
            <w:tcW w:w="799" w:type="dxa"/>
            <w:tcBorders>
              <w:bottom w:val="single" w:sz="4" w:space="0" w:color="BFBFBF"/>
            </w:tcBorders>
          </w:tcPr>
          <w:p>
            <w:pPr>
              <w:pStyle w:val="Normal"/>
              <w:spacing w:before="40" w:after="40"/>
              <w:rPr/>
            </w:pPr>
            <w:r>
              <w:rPr/>
              <w:t>−</w:t>
            </w:r>
            <w:r>
              <w:rPr/>
              <w:t>0.012</w:t>
            </w:r>
          </w:p>
        </w:tc>
        <w:tc>
          <w:tcPr>
            <w:tcW w:w="801" w:type="dxa"/>
            <w:tcBorders>
              <w:bottom w:val="single" w:sz="4" w:space="0" w:color="BFBFBF"/>
            </w:tcBorders>
          </w:tcPr>
          <w:p>
            <w:pPr>
              <w:pStyle w:val="Normal"/>
              <w:spacing w:before="40" w:after="40"/>
              <w:rPr/>
            </w:pPr>
            <w:r>
              <w:rPr/>
              <w:t>0.988</w:t>
            </w:r>
          </w:p>
        </w:tc>
        <w:tc>
          <w:tcPr>
            <w:tcW w:w="899" w:type="dxa"/>
            <w:tcBorders>
              <w:bottom w:val="single" w:sz="4" w:space="0" w:color="BFBFBF"/>
            </w:tcBorders>
          </w:tcPr>
          <w:p>
            <w:pPr>
              <w:pStyle w:val="Normal"/>
              <w:spacing w:before="40" w:after="40"/>
              <w:rPr/>
            </w:pPr>
            <w:r>
              <w:rPr/>
              <w:t>−</w:t>
            </w:r>
            <w:r>
              <w:rPr/>
              <w:t>0.010</w:t>
            </w:r>
          </w:p>
        </w:tc>
        <w:tc>
          <w:tcPr>
            <w:tcW w:w="900" w:type="dxa"/>
            <w:tcBorders>
              <w:bottom w:val="single" w:sz="4" w:space="0" w:color="BFBFBF"/>
            </w:tcBorders>
          </w:tcPr>
          <w:p>
            <w:pPr>
              <w:pStyle w:val="Normal"/>
              <w:spacing w:before="40" w:after="40"/>
              <w:rPr/>
            </w:pPr>
            <w:r>
              <w:rPr/>
              <w:t>0.990</w:t>
            </w:r>
          </w:p>
        </w:tc>
        <w:tc>
          <w:tcPr>
            <w:tcW w:w="901" w:type="dxa"/>
            <w:tcBorders>
              <w:bottom w:val="single" w:sz="4" w:space="0" w:color="BFBFBF"/>
            </w:tcBorders>
          </w:tcPr>
          <w:p>
            <w:pPr>
              <w:pStyle w:val="Normal"/>
              <w:spacing w:before="40" w:after="40"/>
              <w:rPr/>
            </w:pPr>
            <w:r>
              <w:rPr/>
              <w:t>−</w:t>
            </w:r>
            <w:r>
              <w:rPr/>
              <w:t>0.005</w:t>
            </w:r>
          </w:p>
        </w:tc>
        <w:tc>
          <w:tcPr>
            <w:tcW w:w="900" w:type="dxa"/>
            <w:tcBorders>
              <w:bottom w:val="single" w:sz="4" w:space="0" w:color="BFBFBF"/>
            </w:tcBorders>
          </w:tcPr>
          <w:p>
            <w:pPr>
              <w:pStyle w:val="Normal"/>
              <w:spacing w:before="40" w:after="40"/>
              <w:rPr/>
            </w:pPr>
            <w:r>
              <w:rPr/>
              <w:t>0.995</w:t>
            </w:r>
          </w:p>
        </w:tc>
        <w:tc>
          <w:tcPr>
            <w:tcW w:w="1599" w:type="dxa"/>
            <w:tcBorders>
              <w:bottom w:val="single" w:sz="4" w:space="0" w:color="BFBFBF"/>
            </w:tcBorders>
          </w:tcPr>
          <w:p>
            <w:pPr>
              <w:pStyle w:val="Normal"/>
              <w:spacing w:before="40" w:after="40"/>
              <w:rPr/>
            </w:pPr>
            <w:r>
              <w:rPr/>
              <w:t>Yes</w:t>
            </w:r>
          </w:p>
        </w:tc>
      </w:tr>
      <w:tr>
        <w:trPr/>
        <w:tc>
          <w:tcPr>
            <w:tcW w:w="2400" w:type="dxa"/>
            <w:tcBorders>
              <w:bottom w:val="single" w:sz="8" w:space="0" w:color="000000"/>
            </w:tcBorders>
          </w:tcPr>
          <w:p>
            <w:pPr>
              <w:pStyle w:val="Normal"/>
              <w:spacing w:before="40" w:after="40"/>
              <w:rPr/>
            </w:pPr>
            <w:r>
              <w:rPr/>
              <w:t>SUVmax (per unit)</w:t>
            </w:r>
          </w:p>
        </w:tc>
        <w:tc>
          <w:tcPr>
            <w:tcW w:w="799" w:type="dxa"/>
            <w:tcBorders>
              <w:bottom w:val="single" w:sz="8" w:space="0" w:color="000000"/>
            </w:tcBorders>
          </w:tcPr>
          <w:p>
            <w:pPr>
              <w:pStyle w:val="Normal"/>
              <w:spacing w:before="40" w:after="40"/>
              <w:rPr/>
            </w:pPr>
            <w:r>
              <w:rPr/>
              <w:t>+0.149</w:t>
            </w:r>
          </w:p>
        </w:tc>
        <w:tc>
          <w:tcPr>
            <w:tcW w:w="801" w:type="dxa"/>
            <w:tcBorders>
              <w:bottom w:val="single" w:sz="8" w:space="0" w:color="000000"/>
            </w:tcBorders>
          </w:tcPr>
          <w:p>
            <w:pPr>
              <w:pStyle w:val="Normal"/>
              <w:spacing w:before="40" w:after="40"/>
              <w:rPr/>
            </w:pPr>
            <w:r>
              <w:rPr/>
              <w:t>1.161</w:t>
            </w:r>
          </w:p>
        </w:tc>
        <w:tc>
          <w:tcPr>
            <w:tcW w:w="899" w:type="dxa"/>
            <w:tcBorders>
              <w:bottom w:val="single" w:sz="8" w:space="0" w:color="000000"/>
            </w:tcBorders>
          </w:tcPr>
          <w:p>
            <w:pPr>
              <w:pStyle w:val="Normal"/>
              <w:spacing w:before="40" w:after="40"/>
              <w:rPr/>
            </w:pPr>
            <w:r>
              <w:rPr/>
              <w:t>+0.132</w:t>
            </w:r>
          </w:p>
        </w:tc>
        <w:tc>
          <w:tcPr>
            <w:tcW w:w="900" w:type="dxa"/>
            <w:tcBorders>
              <w:bottom w:val="single" w:sz="8" w:space="0" w:color="000000"/>
            </w:tcBorders>
          </w:tcPr>
          <w:p>
            <w:pPr>
              <w:pStyle w:val="Normal"/>
              <w:spacing w:before="40" w:after="40"/>
              <w:rPr/>
            </w:pPr>
            <w:r>
              <w:rPr/>
              <w:t>1.141</w:t>
            </w:r>
          </w:p>
        </w:tc>
        <w:tc>
          <w:tcPr>
            <w:tcW w:w="901" w:type="dxa"/>
            <w:tcBorders>
              <w:bottom w:val="single" w:sz="8" w:space="0" w:color="000000"/>
            </w:tcBorders>
          </w:tcPr>
          <w:p>
            <w:pPr>
              <w:pStyle w:val="Normal"/>
              <w:spacing w:before="40" w:after="40"/>
              <w:rPr/>
            </w:pPr>
            <w:r>
              <w:rPr/>
              <w:t>+0.088</w:t>
            </w:r>
          </w:p>
        </w:tc>
        <w:tc>
          <w:tcPr>
            <w:tcW w:w="900" w:type="dxa"/>
            <w:tcBorders>
              <w:bottom w:val="single" w:sz="8" w:space="0" w:color="000000"/>
            </w:tcBorders>
          </w:tcPr>
          <w:p>
            <w:pPr>
              <w:pStyle w:val="Normal"/>
              <w:spacing w:before="40" w:after="40"/>
              <w:rPr/>
            </w:pPr>
            <w:r>
              <w:rPr/>
              <w:t>1.092</w:t>
            </w:r>
          </w:p>
        </w:tc>
        <w:tc>
          <w:tcPr>
            <w:tcW w:w="1599" w:type="dxa"/>
            <w:tcBorders>
              <w:bottom w:val="single" w:sz="8" w:space="0" w:color="000000"/>
            </w:tcBorders>
          </w:tcPr>
          <w:p>
            <w:pPr>
              <w:pStyle w:val="Normal"/>
              <w:spacing w:before="40" w:after="40"/>
              <w:rPr/>
            </w:pPr>
            <w:r>
              <w:rPr/>
              <w:t>Yes</w:t>
            </w:r>
          </w:p>
        </w:tc>
      </w:tr>
    </w:tbl>
    <w:p>
      <w:pPr>
        <w:pStyle w:val="Normal"/>
        <w:spacing w:before="120" w:after="80"/>
        <w:rPr/>
      </w:pPr>
      <w:r>
        <w:rPr>
          <w:b/>
          <w:bCs/>
        </w:rPr>
        <w:t>Performance comparison across estimation methods:</w:t>
      </w:r>
    </w:p>
    <w:tbl>
      <w:tblPr>
        <w:tblW w:w="8500" w:type="dxa"/>
        <w:jc w:val="left"/>
        <w:tblInd w:w="0" w:type="dxa"/>
        <w:tblLayout w:type="fixed"/>
        <w:tblCellMar>
          <w:top w:w="80" w:type="dxa"/>
          <w:left w:w="100" w:type="dxa"/>
          <w:bottom w:w="80" w:type="dxa"/>
          <w:right w:w="100" w:type="dxa"/>
        </w:tblCellMar>
        <w:tblLook w:val="04a0" w:noHBand="0" w:noVBand="1" w:firstColumn="1" w:lastRow="0" w:lastColumn="0" w:firstRow="1"/>
      </w:tblPr>
      <w:tblGrid>
        <w:gridCol w:w="3500"/>
        <w:gridCol w:w="1199"/>
        <w:gridCol w:w="2300"/>
        <w:gridCol w:w="1500"/>
      </w:tblGrid>
      <w:tr>
        <w:trPr>
          <w:tblHeader w:val="true"/>
        </w:trPr>
        <w:tc>
          <w:tcPr>
            <w:tcW w:w="3500" w:type="dxa"/>
            <w:tcBorders>
              <w:top w:val="single" w:sz="8" w:space="0" w:color="000000"/>
              <w:bottom w:val="single" w:sz="8" w:space="0" w:color="000000"/>
            </w:tcBorders>
          </w:tcPr>
          <w:p>
            <w:pPr>
              <w:pStyle w:val="Normal"/>
              <w:spacing w:before="60" w:after="60"/>
              <w:rPr/>
            </w:pPr>
            <w:r>
              <w:rPr>
                <w:b/>
                <w:bCs/>
              </w:rPr>
              <w:t>Method</w:t>
            </w:r>
          </w:p>
        </w:tc>
        <w:tc>
          <w:tcPr>
            <w:tcW w:w="1199" w:type="dxa"/>
            <w:tcBorders>
              <w:top w:val="single" w:sz="8" w:space="0" w:color="000000"/>
              <w:bottom w:val="single" w:sz="8" w:space="0" w:color="000000"/>
            </w:tcBorders>
          </w:tcPr>
          <w:p>
            <w:pPr>
              <w:pStyle w:val="Normal"/>
              <w:spacing w:before="60" w:after="60"/>
              <w:rPr/>
            </w:pPr>
            <w:r>
              <w:rPr>
                <w:b/>
                <w:bCs/>
              </w:rPr>
              <w:t>AUC</w:t>
            </w:r>
          </w:p>
        </w:tc>
        <w:tc>
          <w:tcPr>
            <w:tcW w:w="2300" w:type="dxa"/>
            <w:tcBorders>
              <w:top w:val="single" w:sz="8" w:space="0" w:color="000000"/>
              <w:bottom w:val="single" w:sz="8" w:space="0" w:color="000000"/>
            </w:tcBorders>
          </w:tcPr>
          <w:p>
            <w:pPr>
              <w:pStyle w:val="Normal"/>
              <w:spacing w:before="60" w:after="60"/>
              <w:rPr/>
            </w:pPr>
            <w:r>
              <w:rPr>
                <w:b/>
                <w:bCs/>
              </w:rPr>
              <w:t>Variables retained</w:t>
            </w:r>
          </w:p>
        </w:tc>
        <w:tc>
          <w:tcPr>
            <w:tcW w:w="1500" w:type="dxa"/>
            <w:tcBorders>
              <w:top w:val="single" w:sz="8" w:space="0" w:color="000000"/>
              <w:bottom w:val="single" w:sz="8" w:space="0" w:color="000000"/>
            </w:tcBorders>
          </w:tcPr>
          <w:p>
            <w:pPr>
              <w:pStyle w:val="Normal"/>
              <w:spacing w:before="60" w:after="60"/>
              <w:rPr/>
            </w:pPr>
            <w:r>
              <w:rPr>
                <w:b/>
                <w:bCs/>
              </w:rPr>
              <w:t>Brier score</w:t>
            </w:r>
          </w:p>
        </w:tc>
      </w:tr>
      <w:tr>
        <w:trPr/>
        <w:tc>
          <w:tcPr>
            <w:tcW w:w="3500" w:type="dxa"/>
            <w:tcBorders>
              <w:bottom w:val="single" w:sz="4" w:space="0" w:color="BFBFBF"/>
            </w:tcBorders>
          </w:tcPr>
          <w:p>
            <w:pPr>
              <w:pStyle w:val="Normal"/>
              <w:spacing w:before="40" w:after="40"/>
              <w:rPr/>
            </w:pPr>
            <w:r>
              <w:rPr/>
              <w:t>Classical MLE (manuscript model)</w:t>
            </w:r>
          </w:p>
        </w:tc>
        <w:tc>
          <w:tcPr>
            <w:tcW w:w="1199" w:type="dxa"/>
            <w:tcBorders>
              <w:bottom w:val="single" w:sz="4" w:space="0" w:color="BFBFBF"/>
            </w:tcBorders>
          </w:tcPr>
          <w:p>
            <w:pPr>
              <w:pStyle w:val="Normal"/>
              <w:spacing w:before="40" w:after="40"/>
              <w:rPr/>
            </w:pPr>
            <w:r>
              <w:rPr/>
              <w:t>0.8130</w:t>
            </w:r>
          </w:p>
        </w:tc>
        <w:tc>
          <w:tcPr>
            <w:tcW w:w="2300" w:type="dxa"/>
            <w:tcBorders>
              <w:bottom w:val="single" w:sz="4" w:space="0" w:color="BFBFBF"/>
            </w:tcBorders>
          </w:tcPr>
          <w:p>
            <w:pPr>
              <w:pStyle w:val="Normal"/>
              <w:spacing w:before="40" w:after="40"/>
              <w:rPr/>
            </w:pPr>
            <w:r>
              <w:rPr/>
              <w:t>5</w:t>
            </w:r>
          </w:p>
        </w:tc>
        <w:tc>
          <w:tcPr>
            <w:tcW w:w="1500" w:type="dxa"/>
            <w:tcBorders>
              <w:bottom w:val="single" w:sz="4" w:space="0" w:color="BFBFBF"/>
            </w:tcBorders>
          </w:tcPr>
          <w:p>
            <w:pPr>
              <w:pStyle w:val="Normal"/>
              <w:spacing w:before="40" w:after="40"/>
              <w:rPr/>
            </w:pPr>
            <w:r>
              <w:rPr/>
              <w:t>0.1758</w:t>
            </w:r>
          </w:p>
        </w:tc>
      </w:tr>
      <w:tr>
        <w:trPr/>
        <w:tc>
          <w:tcPr>
            <w:tcW w:w="3500" w:type="dxa"/>
            <w:tcBorders>
              <w:bottom w:val="single" w:sz="4" w:space="0" w:color="BFBFBF"/>
            </w:tcBorders>
          </w:tcPr>
          <w:p>
            <w:pPr>
              <w:pStyle w:val="Normal"/>
              <w:spacing w:before="40" w:after="40"/>
              <w:rPr/>
            </w:pPr>
            <w:r>
              <w:rPr/>
              <w:t>LASSO (λ_min)</w:t>
            </w:r>
          </w:p>
        </w:tc>
        <w:tc>
          <w:tcPr>
            <w:tcW w:w="1199" w:type="dxa"/>
            <w:tcBorders>
              <w:bottom w:val="single" w:sz="4" w:space="0" w:color="BFBFBF"/>
            </w:tcBorders>
          </w:tcPr>
          <w:p>
            <w:pPr>
              <w:pStyle w:val="Normal"/>
              <w:spacing w:before="40" w:after="40"/>
              <w:rPr/>
            </w:pPr>
            <w:r>
              <w:rPr/>
              <w:t>0.8122</w:t>
            </w:r>
          </w:p>
        </w:tc>
        <w:tc>
          <w:tcPr>
            <w:tcW w:w="2300" w:type="dxa"/>
            <w:tcBorders>
              <w:bottom w:val="single" w:sz="4" w:space="0" w:color="BFBFBF"/>
            </w:tcBorders>
          </w:tcPr>
          <w:p>
            <w:pPr>
              <w:pStyle w:val="Normal"/>
              <w:spacing w:before="40" w:after="40"/>
              <w:rPr/>
            </w:pPr>
            <w:r>
              <w:rPr/>
              <w:t>5</w:t>
            </w:r>
          </w:p>
        </w:tc>
        <w:tc>
          <w:tcPr>
            <w:tcW w:w="1500" w:type="dxa"/>
            <w:tcBorders>
              <w:bottom w:val="single" w:sz="4" w:space="0" w:color="BFBFBF"/>
            </w:tcBorders>
          </w:tcPr>
          <w:p>
            <w:pPr>
              <w:pStyle w:val="Normal"/>
              <w:spacing w:before="40" w:after="40"/>
              <w:rPr/>
            </w:pPr>
            <w:r>
              <w:rPr/>
              <w:t>0.1775</w:t>
            </w:r>
          </w:p>
        </w:tc>
      </w:tr>
      <w:tr>
        <w:trPr/>
        <w:tc>
          <w:tcPr>
            <w:tcW w:w="3500" w:type="dxa"/>
            <w:tcBorders>
              <w:bottom w:val="single" w:sz="8" w:space="0" w:color="000000"/>
            </w:tcBorders>
          </w:tcPr>
          <w:p>
            <w:pPr>
              <w:pStyle w:val="Normal"/>
              <w:spacing w:before="40" w:after="40"/>
              <w:rPr/>
            </w:pPr>
            <w:r>
              <w:rPr/>
              <w:t>LASSO (λ_1se)</w:t>
            </w:r>
          </w:p>
        </w:tc>
        <w:tc>
          <w:tcPr>
            <w:tcW w:w="1199" w:type="dxa"/>
            <w:tcBorders>
              <w:bottom w:val="single" w:sz="8" w:space="0" w:color="000000"/>
            </w:tcBorders>
          </w:tcPr>
          <w:p>
            <w:pPr>
              <w:pStyle w:val="Normal"/>
              <w:spacing w:before="40" w:after="40"/>
              <w:rPr/>
            </w:pPr>
            <w:r>
              <w:rPr/>
              <w:t>0.8074</w:t>
            </w:r>
          </w:p>
        </w:tc>
        <w:tc>
          <w:tcPr>
            <w:tcW w:w="2300" w:type="dxa"/>
            <w:tcBorders>
              <w:bottom w:val="single" w:sz="8" w:space="0" w:color="000000"/>
            </w:tcBorders>
          </w:tcPr>
          <w:p>
            <w:pPr>
              <w:pStyle w:val="Normal"/>
              <w:spacing w:before="40" w:after="40"/>
              <w:rPr/>
            </w:pPr>
            <w:r>
              <w:rPr/>
              <w:t>5</w:t>
            </w:r>
          </w:p>
        </w:tc>
        <w:tc>
          <w:tcPr>
            <w:tcW w:w="1500" w:type="dxa"/>
            <w:tcBorders>
              <w:bottom w:val="single" w:sz="8" w:space="0" w:color="000000"/>
            </w:tcBorders>
          </w:tcPr>
          <w:p>
            <w:pPr>
              <w:pStyle w:val="Normal"/>
              <w:spacing w:before="40" w:after="40"/>
              <w:rPr/>
            </w:pPr>
            <w:r>
              <w:rPr/>
              <w:t>0.1871</w:t>
            </w:r>
          </w:p>
        </w:tc>
      </w:tr>
    </w:tbl>
    <w:p>
      <w:pPr>
        <w:pStyle w:val="Normal"/>
        <w:spacing w:before="0" w:after="80"/>
        <w:rPr/>
      </w:pPr>
      <w:r>
        <w:rPr/>
        <w:t>LASSO logistic regression was performed to validate the variable selection. All five candidate predictors entered the LASSO procedure, and coefficients were estimated at both the cross-validated optimum (λ_min) and the 1-standard-error rule (λ_1se). The same five predictors were retained at both penalization levels, with coefficients in the same direction as the maximum-likelihood estimates and within 30% of their magnitude. Discrimination differences between the maximum-likelihood and penalized estimates were negligible (ΔAUC &lt; 0.006). The bootstrap optimism correction applied in the principal analysis (ΔAUC = +0.010) accounts for the mild optimism of unpenalized estimation.</w:t>
      </w:r>
    </w:p>
    <w:p>
      <w:pPr>
        <w:pStyle w:val="Normal"/>
        <w:spacing w:before="0" w:after="80"/>
        <w:rPr/>
      </w:pPr>
      <w:r>
        <w:rPr/>
        <w:t>LASSO, least absolute shrinkage and selection operator; MLE, maximum likelihood estimation; OR, odds ratio.</w:t>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200" w:after="100"/>
        <w:rPr/>
      </w:pPr>
      <w:r>
        <w:rPr>
          <w:b/>
          <w:bCs/>
        </w:rPr>
        <w:t>Table S6</w:t>
      </w:r>
      <w:r>
        <w:rPr/>
        <w:t xml:space="preserve"> Discriminative performance of single radiological parameters and the multiparametric nomogram for the prediction of malignant mediastinal lymphadenopathy (n = 337).</w:t>
      </w:r>
    </w:p>
    <w:tbl>
      <w:tblPr>
        <w:tblW w:w="9500" w:type="dxa"/>
        <w:jc w:val="left"/>
        <w:tblInd w:w="0" w:type="dxa"/>
        <w:tblLayout w:type="fixed"/>
        <w:tblCellMar>
          <w:top w:w="80" w:type="dxa"/>
          <w:left w:w="100" w:type="dxa"/>
          <w:bottom w:w="80" w:type="dxa"/>
          <w:right w:w="100" w:type="dxa"/>
        </w:tblCellMar>
        <w:tblLook w:val="04a0" w:noHBand="0" w:noVBand="1" w:firstColumn="1" w:lastRow="0" w:lastColumn="0" w:firstRow="1"/>
      </w:tblPr>
      <w:tblGrid>
        <w:gridCol w:w="2382"/>
        <w:gridCol w:w="2171"/>
        <w:gridCol w:w="1488"/>
        <w:gridCol w:w="1295"/>
        <w:gridCol w:w="1296"/>
        <w:gridCol w:w="867"/>
      </w:tblGrid>
      <w:tr>
        <w:trPr>
          <w:tblHeader w:val="true"/>
        </w:trPr>
        <w:tc>
          <w:tcPr>
            <w:tcW w:w="2382" w:type="dxa"/>
            <w:tcBorders>
              <w:top w:val="single" w:sz="8" w:space="0" w:color="000000"/>
              <w:bottom w:val="single" w:sz="8" w:space="0" w:color="000000"/>
            </w:tcBorders>
          </w:tcPr>
          <w:p>
            <w:pPr>
              <w:pStyle w:val="Normal"/>
              <w:spacing w:before="60" w:after="60"/>
              <w:rPr/>
            </w:pPr>
            <w:r>
              <w:rPr>
                <w:b/>
                <w:bCs/>
              </w:rPr>
              <w:t>Parameter</w:t>
            </w:r>
          </w:p>
        </w:tc>
        <w:tc>
          <w:tcPr>
            <w:tcW w:w="2171" w:type="dxa"/>
            <w:tcBorders>
              <w:top w:val="single" w:sz="8" w:space="0" w:color="000000"/>
              <w:bottom w:val="single" w:sz="8" w:space="0" w:color="000000"/>
            </w:tcBorders>
          </w:tcPr>
          <w:p>
            <w:pPr>
              <w:pStyle w:val="Normal"/>
              <w:spacing w:before="60" w:after="60"/>
              <w:rPr/>
            </w:pPr>
            <w:r>
              <w:rPr>
                <w:b/>
                <w:bCs/>
              </w:rPr>
              <w:t>AUC (95% CI)</w:t>
            </w:r>
          </w:p>
        </w:tc>
        <w:tc>
          <w:tcPr>
            <w:tcW w:w="1488" w:type="dxa"/>
            <w:tcBorders>
              <w:top w:val="single" w:sz="8" w:space="0" w:color="000000"/>
              <w:bottom w:val="single" w:sz="8" w:space="0" w:color="000000"/>
            </w:tcBorders>
          </w:tcPr>
          <w:p>
            <w:pPr>
              <w:pStyle w:val="Normal"/>
              <w:spacing w:before="60" w:after="60"/>
              <w:rPr/>
            </w:pPr>
            <w:r>
              <w:rPr>
                <w:b/>
                <w:bCs/>
              </w:rPr>
              <w:t>Optimal cutoffᵃ</w:t>
            </w:r>
          </w:p>
        </w:tc>
        <w:tc>
          <w:tcPr>
            <w:tcW w:w="1295" w:type="dxa"/>
            <w:tcBorders>
              <w:top w:val="single" w:sz="8" w:space="0" w:color="000000"/>
              <w:bottom w:val="single" w:sz="8" w:space="0" w:color="000000"/>
            </w:tcBorders>
          </w:tcPr>
          <w:p>
            <w:pPr>
              <w:pStyle w:val="Normal"/>
              <w:spacing w:before="60" w:after="60"/>
              <w:rPr/>
            </w:pPr>
            <w:r>
              <w:rPr>
                <w:b/>
                <w:bCs/>
              </w:rPr>
              <w:t>Sensitivity (%)</w:t>
            </w:r>
          </w:p>
        </w:tc>
        <w:tc>
          <w:tcPr>
            <w:tcW w:w="1296" w:type="dxa"/>
            <w:tcBorders>
              <w:top w:val="single" w:sz="8" w:space="0" w:color="000000"/>
              <w:bottom w:val="single" w:sz="8" w:space="0" w:color="000000"/>
            </w:tcBorders>
          </w:tcPr>
          <w:p>
            <w:pPr>
              <w:pStyle w:val="Normal"/>
              <w:spacing w:before="60" w:after="60"/>
              <w:rPr/>
            </w:pPr>
            <w:r>
              <w:rPr>
                <w:b/>
                <w:bCs/>
              </w:rPr>
              <w:t>Specificity (%)</w:t>
            </w:r>
          </w:p>
        </w:tc>
        <w:tc>
          <w:tcPr>
            <w:tcW w:w="867" w:type="dxa"/>
            <w:tcBorders>
              <w:top w:val="single" w:sz="8" w:space="0" w:color="000000"/>
              <w:bottom w:val="single" w:sz="8" w:space="0" w:color="000000"/>
            </w:tcBorders>
          </w:tcPr>
          <w:p>
            <w:pPr>
              <w:pStyle w:val="Normal"/>
              <w:spacing w:before="60" w:after="60"/>
              <w:rPr/>
            </w:pPr>
            <w:r>
              <w:rPr>
                <w:b/>
                <w:bCs/>
              </w:rPr>
              <w:t>Youden J</w:t>
            </w:r>
          </w:p>
        </w:tc>
      </w:tr>
      <w:tr>
        <w:trPr/>
        <w:tc>
          <w:tcPr>
            <w:tcW w:w="2382" w:type="dxa"/>
            <w:tcBorders>
              <w:bottom w:val="single" w:sz="4" w:space="0" w:color="BFBFBF"/>
            </w:tcBorders>
          </w:tcPr>
          <w:p>
            <w:pPr>
              <w:pStyle w:val="Normal"/>
              <w:spacing w:before="40" w:after="40"/>
              <w:rPr/>
            </w:pPr>
            <w:r>
              <w:rPr/>
              <w:t>SUVmax</w:t>
            </w:r>
          </w:p>
        </w:tc>
        <w:tc>
          <w:tcPr>
            <w:tcW w:w="2171" w:type="dxa"/>
            <w:tcBorders>
              <w:bottom w:val="single" w:sz="4" w:space="0" w:color="BFBFBF"/>
            </w:tcBorders>
          </w:tcPr>
          <w:p>
            <w:pPr>
              <w:pStyle w:val="Normal"/>
              <w:spacing w:before="40" w:after="40"/>
              <w:rPr/>
            </w:pPr>
            <w:r>
              <w:rPr/>
              <w:t>0.737 (0.684–0.789)</w:t>
            </w:r>
          </w:p>
        </w:tc>
        <w:tc>
          <w:tcPr>
            <w:tcW w:w="1488" w:type="dxa"/>
            <w:tcBorders>
              <w:bottom w:val="single" w:sz="4" w:space="0" w:color="BFBFBF"/>
            </w:tcBorders>
          </w:tcPr>
          <w:p>
            <w:pPr>
              <w:pStyle w:val="Normal"/>
              <w:spacing w:before="40" w:after="40"/>
              <w:rPr/>
            </w:pPr>
            <w:r>
              <w:rPr/>
              <w:t xml:space="preserve">≥ </w:t>
            </w:r>
            <w:r>
              <w:rPr/>
              <w:t>8.92</w:t>
            </w:r>
          </w:p>
        </w:tc>
        <w:tc>
          <w:tcPr>
            <w:tcW w:w="1295" w:type="dxa"/>
            <w:tcBorders>
              <w:bottom w:val="single" w:sz="4" w:space="0" w:color="BFBFBF"/>
            </w:tcBorders>
          </w:tcPr>
          <w:p>
            <w:pPr>
              <w:pStyle w:val="Normal"/>
              <w:spacing w:before="40" w:after="40"/>
              <w:rPr/>
            </w:pPr>
            <w:r>
              <w:rPr/>
              <w:t>56.5</w:t>
            </w:r>
          </w:p>
        </w:tc>
        <w:tc>
          <w:tcPr>
            <w:tcW w:w="1296" w:type="dxa"/>
            <w:tcBorders>
              <w:bottom w:val="single" w:sz="4" w:space="0" w:color="BFBFBF"/>
            </w:tcBorders>
          </w:tcPr>
          <w:p>
            <w:pPr>
              <w:pStyle w:val="Normal"/>
              <w:spacing w:before="40" w:after="40"/>
              <w:rPr/>
            </w:pPr>
            <w:r>
              <w:rPr/>
              <w:t>79.1</w:t>
            </w:r>
          </w:p>
        </w:tc>
        <w:tc>
          <w:tcPr>
            <w:tcW w:w="867" w:type="dxa"/>
            <w:tcBorders>
              <w:bottom w:val="single" w:sz="4" w:space="0" w:color="BFBFBF"/>
            </w:tcBorders>
          </w:tcPr>
          <w:p>
            <w:pPr>
              <w:pStyle w:val="Normal"/>
              <w:spacing w:before="40" w:after="40"/>
              <w:rPr/>
            </w:pPr>
            <w:r>
              <w:rPr/>
              <w:t>0.356</w:t>
            </w:r>
          </w:p>
        </w:tc>
      </w:tr>
      <w:tr>
        <w:trPr/>
        <w:tc>
          <w:tcPr>
            <w:tcW w:w="2382" w:type="dxa"/>
            <w:tcBorders>
              <w:bottom w:val="single" w:sz="4" w:space="0" w:color="BFBFBF"/>
            </w:tcBorders>
          </w:tcPr>
          <w:p>
            <w:pPr>
              <w:pStyle w:val="Normal"/>
              <w:spacing w:before="40" w:after="40"/>
              <w:rPr/>
            </w:pPr>
            <w:r>
              <w:rPr/>
              <w:t>Short-axis diameter (mm)</w:t>
            </w:r>
          </w:p>
        </w:tc>
        <w:tc>
          <w:tcPr>
            <w:tcW w:w="2171" w:type="dxa"/>
            <w:tcBorders>
              <w:bottom w:val="single" w:sz="4" w:space="0" w:color="BFBFBF"/>
            </w:tcBorders>
          </w:tcPr>
          <w:p>
            <w:pPr>
              <w:pStyle w:val="Normal"/>
              <w:spacing w:before="40" w:after="40"/>
              <w:rPr/>
            </w:pPr>
            <w:r>
              <w:rPr/>
              <w:t>0.671 (0.614–0.728)</w:t>
            </w:r>
          </w:p>
        </w:tc>
        <w:tc>
          <w:tcPr>
            <w:tcW w:w="1488" w:type="dxa"/>
            <w:tcBorders>
              <w:bottom w:val="single" w:sz="4" w:space="0" w:color="BFBFBF"/>
            </w:tcBorders>
          </w:tcPr>
          <w:p>
            <w:pPr>
              <w:pStyle w:val="Normal"/>
              <w:spacing w:before="40" w:after="40"/>
              <w:rPr/>
            </w:pPr>
            <w:r>
              <w:rPr/>
              <w:t xml:space="preserve">≥ </w:t>
            </w:r>
            <w:r>
              <w:rPr/>
              <w:t>15</w:t>
            </w:r>
          </w:p>
        </w:tc>
        <w:tc>
          <w:tcPr>
            <w:tcW w:w="1295" w:type="dxa"/>
            <w:tcBorders>
              <w:bottom w:val="single" w:sz="4" w:space="0" w:color="BFBFBF"/>
            </w:tcBorders>
          </w:tcPr>
          <w:p>
            <w:pPr>
              <w:pStyle w:val="Normal"/>
              <w:spacing w:before="40" w:after="40"/>
              <w:rPr/>
            </w:pPr>
            <w:r>
              <w:rPr/>
              <w:t>67.4</w:t>
            </w:r>
          </w:p>
        </w:tc>
        <w:tc>
          <w:tcPr>
            <w:tcW w:w="1296" w:type="dxa"/>
            <w:tcBorders>
              <w:bottom w:val="single" w:sz="4" w:space="0" w:color="BFBFBF"/>
            </w:tcBorders>
          </w:tcPr>
          <w:p>
            <w:pPr>
              <w:pStyle w:val="Normal"/>
              <w:spacing w:before="40" w:after="40"/>
              <w:rPr/>
            </w:pPr>
            <w:r>
              <w:rPr/>
              <w:t>66.0</w:t>
            </w:r>
          </w:p>
        </w:tc>
        <w:tc>
          <w:tcPr>
            <w:tcW w:w="867" w:type="dxa"/>
            <w:tcBorders>
              <w:bottom w:val="single" w:sz="4" w:space="0" w:color="BFBFBF"/>
            </w:tcBorders>
          </w:tcPr>
          <w:p>
            <w:pPr>
              <w:pStyle w:val="Normal"/>
              <w:spacing w:before="40" w:after="40"/>
              <w:rPr/>
            </w:pPr>
            <w:r>
              <w:rPr/>
              <w:t>0.334</w:t>
            </w:r>
          </w:p>
        </w:tc>
      </w:tr>
      <w:tr>
        <w:trPr/>
        <w:tc>
          <w:tcPr>
            <w:tcW w:w="2382" w:type="dxa"/>
            <w:tcBorders>
              <w:bottom w:val="single" w:sz="4" w:space="0" w:color="BFBFBF"/>
            </w:tcBorders>
          </w:tcPr>
          <w:p>
            <w:pPr>
              <w:pStyle w:val="Normal"/>
              <w:spacing w:before="40" w:after="40"/>
              <w:rPr/>
            </w:pPr>
            <w:r>
              <w:rPr/>
              <w:t>Mean Hounsfield unitᵇ</w:t>
            </w:r>
          </w:p>
        </w:tc>
        <w:tc>
          <w:tcPr>
            <w:tcW w:w="2171" w:type="dxa"/>
            <w:tcBorders>
              <w:bottom w:val="single" w:sz="4" w:space="0" w:color="BFBFBF"/>
            </w:tcBorders>
          </w:tcPr>
          <w:p>
            <w:pPr>
              <w:pStyle w:val="Normal"/>
              <w:spacing w:before="40" w:after="40"/>
              <w:rPr/>
            </w:pPr>
            <w:r>
              <w:rPr/>
              <w:t>0.567 (0.506–0.628)</w:t>
            </w:r>
          </w:p>
        </w:tc>
        <w:tc>
          <w:tcPr>
            <w:tcW w:w="1488" w:type="dxa"/>
            <w:tcBorders>
              <w:bottom w:val="single" w:sz="4" w:space="0" w:color="BFBFBF"/>
            </w:tcBorders>
          </w:tcPr>
          <w:p>
            <w:pPr>
              <w:pStyle w:val="Normal"/>
              <w:spacing w:before="40" w:after="40"/>
              <w:rPr/>
            </w:pPr>
            <w:r>
              <w:rPr/>
              <w:t xml:space="preserve">≤ </w:t>
            </w:r>
            <w:r>
              <w:rPr/>
              <w:t>49</w:t>
            </w:r>
          </w:p>
        </w:tc>
        <w:tc>
          <w:tcPr>
            <w:tcW w:w="1295" w:type="dxa"/>
            <w:tcBorders>
              <w:bottom w:val="single" w:sz="4" w:space="0" w:color="BFBFBF"/>
            </w:tcBorders>
          </w:tcPr>
          <w:p>
            <w:pPr>
              <w:pStyle w:val="Normal"/>
              <w:spacing w:before="40" w:after="40"/>
              <w:rPr/>
            </w:pPr>
            <w:r>
              <w:rPr/>
              <w:t>87.5</w:t>
            </w:r>
          </w:p>
        </w:tc>
        <w:tc>
          <w:tcPr>
            <w:tcW w:w="1296" w:type="dxa"/>
            <w:tcBorders>
              <w:bottom w:val="single" w:sz="4" w:space="0" w:color="BFBFBF"/>
            </w:tcBorders>
          </w:tcPr>
          <w:p>
            <w:pPr>
              <w:pStyle w:val="Normal"/>
              <w:spacing w:before="40" w:after="40"/>
              <w:rPr/>
            </w:pPr>
            <w:r>
              <w:rPr/>
              <w:t>34.6</w:t>
            </w:r>
          </w:p>
        </w:tc>
        <w:tc>
          <w:tcPr>
            <w:tcW w:w="867" w:type="dxa"/>
            <w:tcBorders>
              <w:bottom w:val="single" w:sz="4" w:space="0" w:color="BFBFBF"/>
            </w:tcBorders>
          </w:tcPr>
          <w:p>
            <w:pPr>
              <w:pStyle w:val="Normal"/>
              <w:spacing w:before="40" w:after="40"/>
              <w:rPr/>
            </w:pPr>
            <w:r>
              <w:rPr/>
              <w:t>0.221</w:t>
            </w:r>
          </w:p>
        </w:tc>
      </w:tr>
      <w:tr>
        <w:trPr/>
        <w:tc>
          <w:tcPr>
            <w:tcW w:w="2382" w:type="dxa"/>
            <w:tcBorders>
              <w:bottom w:val="single" w:sz="8" w:space="0" w:color="000000"/>
            </w:tcBorders>
          </w:tcPr>
          <w:p>
            <w:pPr>
              <w:pStyle w:val="Normal"/>
              <w:spacing w:before="40" w:after="40"/>
              <w:rPr/>
            </w:pPr>
            <w:r>
              <w:rPr>
                <w:b/>
                <w:bCs/>
              </w:rPr>
              <w:t>Multiparametric nomogram</w:t>
            </w:r>
          </w:p>
        </w:tc>
        <w:tc>
          <w:tcPr>
            <w:tcW w:w="2171" w:type="dxa"/>
            <w:tcBorders>
              <w:bottom w:val="single" w:sz="8" w:space="0" w:color="000000"/>
            </w:tcBorders>
          </w:tcPr>
          <w:p>
            <w:pPr>
              <w:pStyle w:val="Normal"/>
              <w:spacing w:before="40" w:after="40"/>
              <w:rPr/>
            </w:pPr>
            <w:r>
              <w:rPr>
                <w:b/>
                <w:bCs/>
              </w:rPr>
              <w:t>0.813 (0.768–0.858)</w:t>
            </w:r>
          </w:p>
        </w:tc>
        <w:tc>
          <w:tcPr>
            <w:tcW w:w="1488" w:type="dxa"/>
            <w:tcBorders>
              <w:bottom w:val="single" w:sz="8" w:space="0" w:color="000000"/>
            </w:tcBorders>
          </w:tcPr>
          <w:p>
            <w:pPr>
              <w:pStyle w:val="Normal"/>
              <w:spacing w:before="40" w:after="40"/>
              <w:rPr/>
            </w:pPr>
            <w:r>
              <w:rPr>
                <w:b/>
                <w:bCs/>
              </w:rPr>
              <w:t xml:space="preserve">≥ </w:t>
            </w:r>
            <w:r>
              <w:rPr>
                <w:b/>
                <w:bCs/>
              </w:rPr>
              <w:t>0.56</w:t>
            </w:r>
          </w:p>
        </w:tc>
        <w:tc>
          <w:tcPr>
            <w:tcW w:w="1295" w:type="dxa"/>
            <w:tcBorders>
              <w:bottom w:val="single" w:sz="8" w:space="0" w:color="000000"/>
            </w:tcBorders>
          </w:tcPr>
          <w:p>
            <w:pPr>
              <w:pStyle w:val="Normal"/>
              <w:spacing w:before="40" w:after="40"/>
              <w:rPr/>
            </w:pPr>
            <w:r>
              <w:rPr>
                <w:b/>
                <w:bCs/>
              </w:rPr>
              <w:t>67.9</w:t>
            </w:r>
          </w:p>
        </w:tc>
        <w:tc>
          <w:tcPr>
            <w:tcW w:w="1296" w:type="dxa"/>
            <w:tcBorders>
              <w:bottom w:val="single" w:sz="8" w:space="0" w:color="000000"/>
            </w:tcBorders>
          </w:tcPr>
          <w:p>
            <w:pPr>
              <w:pStyle w:val="Normal"/>
              <w:spacing w:before="40" w:after="40"/>
              <w:rPr/>
            </w:pPr>
            <w:r>
              <w:rPr>
                <w:b/>
                <w:bCs/>
              </w:rPr>
              <w:t>81.0</w:t>
            </w:r>
          </w:p>
        </w:tc>
        <w:tc>
          <w:tcPr>
            <w:tcW w:w="867" w:type="dxa"/>
            <w:tcBorders>
              <w:bottom w:val="single" w:sz="8" w:space="0" w:color="000000"/>
            </w:tcBorders>
          </w:tcPr>
          <w:p>
            <w:pPr>
              <w:pStyle w:val="Normal"/>
              <w:spacing w:before="40" w:after="40"/>
              <w:rPr/>
            </w:pPr>
            <w:r>
              <w:rPr>
                <w:b/>
                <w:bCs/>
              </w:rPr>
              <w:t>0.489</w:t>
            </w:r>
          </w:p>
        </w:tc>
      </w:tr>
    </w:tbl>
    <w:p>
      <w:pPr>
        <w:pStyle w:val="Normal"/>
        <w:spacing w:before="0" w:after="80"/>
        <w:rPr/>
      </w:pPr>
      <w:r>
        <w:rPr/>
        <w:t>AUC, area under the curve; CI, confidence interval. The Youden index (J = sensitivity + specificity − 1) was used to determine the optimal cutoff for each parameter.</w:t>
      </w:r>
    </w:p>
    <w:p>
      <w:pPr>
        <w:pStyle w:val="Normal"/>
        <w:spacing w:before="0" w:after="80"/>
        <w:rPr/>
      </w:pPr>
      <w:r>
        <w:rPr/>
        <w:t>ᵃ Optimal cutoff value for predicting malignancy.</w:t>
      </w:r>
    </w:p>
    <w:p>
      <w:pPr>
        <w:pStyle w:val="Normal"/>
        <w:spacing w:before="0" w:after="80"/>
        <w:rPr/>
      </w:pPr>
      <w:r>
        <w:rPr/>
        <w:t>ᵇ Cutoff for HU expressed as the upper bound of the malignancy-suggestive range; HU values ≤ 49 favored malignancy in the present cohort.</w:t>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200" w:after="100"/>
        <w:rPr/>
      </w:pPr>
      <w:r>
        <w:rPr>
          <w:b/>
          <w:bCs/>
        </w:rPr>
        <w:t>Table S7</w:t>
      </w:r>
      <w:r>
        <w:rPr/>
        <w:t xml:space="preserve"> Internal validation of the multiparametric nomogram by 1000-iteration bootstrap optimism correction (Wang et al. 2023 methodology; n = 337).</w:t>
      </w:r>
    </w:p>
    <w:tbl>
      <w:tblPr>
        <w:tblW w:w="9500" w:type="dxa"/>
        <w:jc w:val="left"/>
        <w:tblInd w:w="0" w:type="dxa"/>
        <w:tblLayout w:type="fixed"/>
        <w:tblCellMar>
          <w:top w:w="80" w:type="dxa"/>
          <w:left w:w="100" w:type="dxa"/>
          <w:bottom w:w="80" w:type="dxa"/>
          <w:right w:w="100" w:type="dxa"/>
        </w:tblCellMar>
        <w:tblLook w:val="04a0" w:noHBand="0" w:noVBand="1" w:firstColumn="1" w:lastRow="0" w:lastColumn="0" w:firstRow="1"/>
      </w:tblPr>
      <w:tblGrid>
        <w:gridCol w:w="3300"/>
        <w:gridCol w:w="1900"/>
        <w:gridCol w:w="2099"/>
        <w:gridCol w:w="2200"/>
      </w:tblGrid>
      <w:tr>
        <w:trPr>
          <w:tblHeader w:val="true"/>
        </w:trPr>
        <w:tc>
          <w:tcPr>
            <w:tcW w:w="3300" w:type="dxa"/>
            <w:tcBorders>
              <w:top w:val="single" w:sz="8" w:space="0" w:color="000000"/>
              <w:bottom w:val="single" w:sz="8" w:space="0" w:color="000000"/>
            </w:tcBorders>
          </w:tcPr>
          <w:p>
            <w:pPr>
              <w:pStyle w:val="Normal"/>
              <w:spacing w:before="60" w:after="60"/>
              <w:rPr/>
            </w:pPr>
            <w:r>
              <w:rPr>
                <w:b/>
                <w:bCs/>
              </w:rPr>
              <w:t>Performance metric</w:t>
            </w:r>
          </w:p>
        </w:tc>
        <w:tc>
          <w:tcPr>
            <w:tcW w:w="1900" w:type="dxa"/>
            <w:tcBorders>
              <w:top w:val="single" w:sz="8" w:space="0" w:color="000000"/>
              <w:bottom w:val="single" w:sz="8" w:space="0" w:color="000000"/>
            </w:tcBorders>
          </w:tcPr>
          <w:p>
            <w:pPr>
              <w:pStyle w:val="Normal"/>
              <w:spacing w:before="60" w:after="60"/>
              <w:rPr/>
            </w:pPr>
            <w:r>
              <w:rPr>
                <w:b/>
                <w:bCs/>
              </w:rPr>
              <w:t>Apparent value</w:t>
            </w:r>
          </w:p>
        </w:tc>
        <w:tc>
          <w:tcPr>
            <w:tcW w:w="2099" w:type="dxa"/>
            <w:tcBorders>
              <w:top w:val="single" w:sz="8" w:space="0" w:color="000000"/>
              <w:bottom w:val="single" w:sz="8" w:space="0" w:color="000000"/>
            </w:tcBorders>
          </w:tcPr>
          <w:p>
            <w:pPr>
              <w:pStyle w:val="Normal"/>
              <w:spacing w:before="60" w:after="60"/>
              <w:rPr/>
            </w:pPr>
            <w:r>
              <w:rPr>
                <w:b/>
                <w:bCs/>
              </w:rPr>
              <w:t>Optimism (mean)</w:t>
            </w:r>
          </w:p>
        </w:tc>
        <w:tc>
          <w:tcPr>
            <w:tcW w:w="2200" w:type="dxa"/>
            <w:tcBorders>
              <w:top w:val="single" w:sz="8" w:space="0" w:color="000000"/>
              <w:bottom w:val="single" w:sz="8" w:space="0" w:color="000000"/>
            </w:tcBorders>
          </w:tcPr>
          <w:p>
            <w:pPr>
              <w:pStyle w:val="Normal"/>
              <w:spacing w:before="60" w:after="60"/>
              <w:rPr/>
            </w:pPr>
            <w:r>
              <w:rPr>
                <w:b/>
                <w:bCs/>
              </w:rPr>
              <w:t>Bias-corrected</w:t>
            </w:r>
          </w:p>
        </w:tc>
      </w:tr>
      <w:tr>
        <w:trPr/>
        <w:tc>
          <w:tcPr>
            <w:tcW w:w="3300" w:type="dxa"/>
            <w:tcBorders>
              <w:bottom w:val="single" w:sz="4" w:space="0" w:color="BFBFBF"/>
            </w:tcBorders>
          </w:tcPr>
          <w:p>
            <w:pPr>
              <w:pStyle w:val="Normal"/>
              <w:spacing w:before="40" w:after="40"/>
              <w:rPr/>
            </w:pPr>
            <w:r>
              <w:rPr/>
              <w:t>AUC (discrimination)</w:t>
            </w:r>
          </w:p>
        </w:tc>
        <w:tc>
          <w:tcPr>
            <w:tcW w:w="1900" w:type="dxa"/>
            <w:tcBorders>
              <w:bottom w:val="single" w:sz="4" w:space="0" w:color="BFBFBF"/>
            </w:tcBorders>
          </w:tcPr>
          <w:p>
            <w:pPr>
              <w:pStyle w:val="Normal"/>
              <w:spacing w:before="40" w:after="40"/>
              <w:rPr/>
            </w:pPr>
            <w:r>
              <w:rPr/>
              <w:t>0.813</w:t>
            </w:r>
          </w:p>
        </w:tc>
        <w:tc>
          <w:tcPr>
            <w:tcW w:w="2099" w:type="dxa"/>
            <w:tcBorders>
              <w:bottom w:val="single" w:sz="4" w:space="0" w:color="BFBFBF"/>
            </w:tcBorders>
          </w:tcPr>
          <w:p>
            <w:pPr>
              <w:pStyle w:val="Normal"/>
              <w:spacing w:before="40" w:after="40"/>
              <w:rPr/>
            </w:pPr>
            <w:r>
              <w:rPr/>
              <w:t>0.010</w:t>
            </w:r>
          </w:p>
        </w:tc>
        <w:tc>
          <w:tcPr>
            <w:tcW w:w="2200" w:type="dxa"/>
            <w:tcBorders>
              <w:bottom w:val="single" w:sz="4" w:space="0" w:color="BFBFBF"/>
            </w:tcBorders>
          </w:tcPr>
          <w:p>
            <w:pPr>
              <w:pStyle w:val="Normal"/>
              <w:spacing w:before="40" w:after="40"/>
              <w:rPr/>
            </w:pPr>
            <w:r>
              <w:rPr/>
              <w:t>0.803</w:t>
            </w:r>
          </w:p>
        </w:tc>
      </w:tr>
      <w:tr>
        <w:trPr/>
        <w:tc>
          <w:tcPr>
            <w:tcW w:w="3300" w:type="dxa"/>
            <w:tcBorders>
              <w:bottom w:val="single" w:sz="4" w:space="0" w:color="BFBFBF"/>
            </w:tcBorders>
          </w:tcPr>
          <w:p>
            <w:pPr>
              <w:pStyle w:val="Normal"/>
              <w:spacing w:before="40" w:after="40"/>
              <w:rPr/>
            </w:pPr>
            <w:r>
              <w:rPr/>
              <w:t>Calibration intercept</w:t>
            </w:r>
          </w:p>
        </w:tc>
        <w:tc>
          <w:tcPr>
            <w:tcW w:w="1900" w:type="dxa"/>
            <w:tcBorders>
              <w:bottom w:val="single" w:sz="4" w:space="0" w:color="BFBFBF"/>
            </w:tcBorders>
          </w:tcPr>
          <w:p>
            <w:pPr>
              <w:pStyle w:val="Normal"/>
              <w:spacing w:before="40" w:after="40"/>
              <w:rPr/>
            </w:pPr>
            <w:r>
              <w:rPr/>
              <w:t>0.000</w:t>
            </w:r>
          </w:p>
        </w:tc>
        <w:tc>
          <w:tcPr>
            <w:tcW w:w="2099" w:type="dxa"/>
            <w:tcBorders>
              <w:bottom w:val="single" w:sz="4" w:space="0" w:color="BFBFBF"/>
            </w:tcBorders>
          </w:tcPr>
          <w:p>
            <w:pPr>
              <w:pStyle w:val="Normal"/>
              <w:spacing w:before="40" w:after="40"/>
              <w:rPr/>
            </w:pPr>
            <w:r>
              <w:rPr/>
              <w:t>−</w:t>
            </w:r>
            <w:r>
              <w:rPr/>
              <w:t>0.008</w:t>
            </w:r>
          </w:p>
        </w:tc>
        <w:tc>
          <w:tcPr>
            <w:tcW w:w="2200" w:type="dxa"/>
            <w:tcBorders>
              <w:bottom w:val="single" w:sz="4" w:space="0" w:color="BFBFBF"/>
            </w:tcBorders>
          </w:tcPr>
          <w:p>
            <w:pPr>
              <w:pStyle w:val="Normal"/>
              <w:spacing w:before="40" w:after="40"/>
              <w:rPr/>
            </w:pPr>
            <w:r>
              <w:rPr/>
              <w:t>+0.008</w:t>
            </w:r>
          </w:p>
        </w:tc>
      </w:tr>
      <w:tr>
        <w:trPr/>
        <w:tc>
          <w:tcPr>
            <w:tcW w:w="3300" w:type="dxa"/>
            <w:tcBorders>
              <w:bottom w:val="single" w:sz="4" w:space="0" w:color="BFBFBF"/>
            </w:tcBorders>
          </w:tcPr>
          <w:p>
            <w:pPr>
              <w:pStyle w:val="Normal"/>
              <w:spacing w:before="40" w:after="40"/>
              <w:rPr/>
            </w:pPr>
            <w:r>
              <w:rPr/>
              <w:t>Calibration slope</w:t>
            </w:r>
          </w:p>
        </w:tc>
        <w:tc>
          <w:tcPr>
            <w:tcW w:w="1900" w:type="dxa"/>
            <w:tcBorders>
              <w:bottom w:val="single" w:sz="4" w:space="0" w:color="BFBFBF"/>
            </w:tcBorders>
          </w:tcPr>
          <w:p>
            <w:pPr>
              <w:pStyle w:val="Normal"/>
              <w:spacing w:before="40" w:after="40"/>
              <w:rPr/>
            </w:pPr>
            <w:r>
              <w:rPr/>
              <w:t>1.000</w:t>
            </w:r>
          </w:p>
        </w:tc>
        <w:tc>
          <w:tcPr>
            <w:tcW w:w="2099" w:type="dxa"/>
            <w:tcBorders>
              <w:bottom w:val="single" w:sz="4" w:space="0" w:color="BFBFBF"/>
            </w:tcBorders>
          </w:tcPr>
          <w:p>
            <w:pPr>
              <w:pStyle w:val="Normal"/>
              <w:spacing w:before="40" w:after="40"/>
              <w:rPr/>
            </w:pPr>
            <w:r>
              <w:rPr/>
              <w:t>0.087</w:t>
            </w:r>
          </w:p>
        </w:tc>
        <w:tc>
          <w:tcPr>
            <w:tcW w:w="2200" w:type="dxa"/>
            <w:tcBorders>
              <w:bottom w:val="single" w:sz="4" w:space="0" w:color="BFBFBF"/>
            </w:tcBorders>
          </w:tcPr>
          <w:p>
            <w:pPr>
              <w:pStyle w:val="Normal"/>
              <w:spacing w:before="40" w:after="40"/>
              <w:rPr/>
            </w:pPr>
            <w:r>
              <w:rPr/>
              <w:t>0.913</w:t>
            </w:r>
          </w:p>
        </w:tc>
      </w:tr>
      <w:tr>
        <w:trPr/>
        <w:tc>
          <w:tcPr>
            <w:tcW w:w="3300" w:type="dxa"/>
            <w:tcBorders>
              <w:bottom w:val="single" w:sz="8" w:space="0" w:color="000000"/>
            </w:tcBorders>
          </w:tcPr>
          <w:p>
            <w:pPr>
              <w:pStyle w:val="Normal"/>
              <w:spacing w:before="40" w:after="40"/>
              <w:rPr/>
            </w:pPr>
            <w:r>
              <w:rPr/>
              <w:t>Brier scoreᵃ</w:t>
            </w:r>
          </w:p>
        </w:tc>
        <w:tc>
          <w:tcPr>
            <w:tcW w:w="1900" w:type="dxa"/>
            <w:tcBorders>
              <w:bottom w:val="single" w:sz="8" w:space="0" w:color="000000"/>
            </w:tcBorders>
          </w:tcPr>
          <w:p>
            <w:pPr>
              <w:pStyle w:val="Normal"/>
              <w:spacing w:before="40" w:after="40"/>
              <w:rPr/>
            </w:pPr>
            <w:r>
              <w:rPr/>
              <w:t>0.176</w:t>
            </w:r>
          </w:p>
        </w:tc>
        <w:tc>
          <w:tcPr>
            <w:tcW w:w="2099" w:type="dxa"/>
            <w:tcBorders>
              <w:bottom w:val="single" w:sz="8" w:space="0" w:color="000000"/>
            </w:tcBorders>
          </w:tcPr>
          <w:p>
            <w:pPr>
              <w:pStyle w:val="Normal"/>
              <w:spacing w:before="40" w:after="40"/>
              <w:rPr/>
            </w:pPr>
            <w:r>
              <w:rPr/>
              <w:t>—</w:t>
            </w:r>
          </w:p>
        </w:tc>
        <w:tc>
          <w:tcPr>
            <w:tcW w:w="2200" w:type="dxa"/>
            <w:tcBorders>
              <w:bottom w:val="single" w:sz="8" w:space="0" w:color="000000"/>
            </w:tcBorders>
          </w:tcPr>
          <w:p>
            <w:pPr>
              <w:pStyle w:val="Normal"/>
              <w:spacing w:before="40" w:after="40"/>
              <w:rPr/>
            </w:pPr>
            <w:r>
              <w:rPr/>
              <w:t>0.176</w:t>
            </w:r>
          </w:p>
        </w:tc>
      </w:tr>
    </w:tbl>
    <w:p>
      <w:pPr>
        <w:pStyle w:val="Normal"/>
        <w:spacing w:before="0" w:after="80"/>
        <w:rPr/>
      </w:pPr>
      <w:r>
        <w:rPr/>
        <w:t>The Hosmer-Lemeshow test was non-significant (χ² = 8.14, p = 0.420), supporting adequate calibration. Bootstrap optimism for the Brier score was negligible.</w:t>
      </w:r>
    </w:p>
    <w:p>
      <w:pPr>
        <w:pStyle w:val="Normal"/>
        <w:spacing w:before="0" w:after="80"/>
        <w:rPr/>
      </w:pPr>
      <w:r>
        <w:rPr/>
        <w:t>ᵃ The Brier score is reported as the raw mean squared error between observed and predicted probabilities (smaller values indicate better calibration); the corresponding scaled Brier (1 − Brier/Briermax) is 0.291.</w:t>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200" w:after="100"/>
        <w:rPr/>
      </w:pPr>
      <w:r>
        <w:rPr>
          <w:b/>
          <w:bCs/>
        </w:rPr>
        <w:t>Table S8</w:t>
      </w:r>
      <w:r>
        <w:rPr/>
        <w:t xml:space="preserve"> Pairwise DeLong test comparisons of areas under the receiver operating characteristic curve for the multiparametric nomogram and individual radiological parameters (n = 337).</w:t>
      </w:r>
    </w:p>
    <w:tbl>
      <w:tblPr>
        <w:tblW w:w="9500" w:type="dxa"/>
        <w:jc w:val="left"/>
        <w:tblInd w:w="0" w:type="dxa"/>
        <w:tblLayout w:type="fixed"/>
        <w:tblCellMar>
          <w:top w:w="80" w:type="dxa"/>
          <w:left w:w="100" w:type="dxa"/>
          <w:bottom w:w="80" w:type="dxa"/>
          <w:right w:w="100" w:type="dxa"/>
        </w:tblCellMar>
        <w:tblLook w:val="04a0" w:noHBand="0" w:noVBand="1" w:firstColumn="1" w:lastRow="0" w:lastColumn="0" w:firstRow="1"/>
      </w:tblPr>
      <w:tblGrid>
        <w:gridCol w:w="4500"/>
        <w:gridCol w:w="1299"/>
        <w:gridCol w:w="1701"/>
        <w:gridCol w:w="1999"/>
      </w:tblGrid>
      <w:tr>
        <w:trPr>
          <w:tblHeader w:val="true"/>
        </w:trPr>
        <w:tc>
          <w:tcPr>
            <w:tcW w:w="4500" w:type="dxa"/>
            <w:tcBorders>
              <w:top w:val="single" w:sz="8" w:space="0" w:color="000000"/>
              <w:bottom w:val="single" w:sz="8" w:space="0" w:color="000000"/>
            </w:tcBorders>
          </w:tcPr>
          <w:p>
            <w:pPr>
              <w:pStyle w:val="Normal"/>
              <w:spacing w:before="60" w:after="60"/>
              <w:rPr/>
            </w:pPr>
            <w:r>
              <w:rPr>
                <w:b/>
                <w:bCs/>
              </w:rPr>
              <w:t>Comparison</w:t>
            </w:r>
          </w:p>
        </w:tc>
        <w:tc>
          <w:tcPr>
            <w:tcW w:w="1299" w:type="dxa"/>
            <w:tcBorders>
              <w:top w:val="single" w:sz="8" w:space="0" w:color="000000"/>
              <w:bottom w:val="single" w:sz="8" w:space="0" w:color="000000"/>
            </w:tcBorders>
          </w:tcPr>
          <w:p>
            <w:pPr>
              <w:pStyle w:val="Normal"/>
              <w:spacing w:before="60" w:after="60"/>
              <w:rPr/>
            </w:pPr>
            <w:r>
              <w:rPr>
                <w:b/>
                <w:bCs/>
              </w:rPr>
              <w:t>ΔAUC</w:t>
            </w:r>
          </w:p>
        </w:tc>
        <w:tc>
          <w:tcPr>
            <w:tcW w:w="1701" w:type="dxa"/>
            <w:tcBorders>
              <w:top w:val="single" w:sz="8" w:space="0" w:color="000000"/>
              <w:bottom w:val="single" w:sz="8" w:space="0" w:color="000000"/>
            </w:tcBorders>
          </w:tcPr>
          <w:p>
            <w:pPr>
              <w:pStyle w:val="Normal"/>
              <w:spacing w:before="60" w:after="60"/>
              <w:rPr/>
            </w:pPr>
            <w:r>
              <w:rPr>
                <w:b/>
                <w:bCs/>
              </w:rPr>
              <w:t>Z statistic</w:t>
            </w:r>
          </w:p>
        </w:tc>
        <w:tc>
          <w:tcPr>
            <w:tcW w:w="1999" w:type="dxa"/>
            <w:tcBorders>
              <w:top w:val="single" w:sz="8" w:space="0" w:color="000000"/>
              <w:bottom w:val="single" w:sz="8" w:space="0" w:color="000000"/>
            </w:tcBorders>
          </w:tcPr>
          <w:p>
            <w:pPr>
              <w:pStyle w:val="Normal"/>
              <w:spacing w:before="60" w:after="60"/>
              <w:rPr/>
            </w:pPr>
            <w:r>
              <w:rPr>
                <w:b/>
                <w:bCs/>
              </w:rPr>
              <w:t>p valueᵃ</w:t>
            </w:r>
          </w:p>
        </w:tc>
      </w:tr>
      <w:tr>
        <w:trPr/>
        <w:tc>
          <w:tcPr>
            <w:tcW w:w="4500" w:type="dxa"/>
            <w:tcBorders>
              <w:bottom w:val="single" w:sz="4" w:space="0" w:color="BFBFBF"/>
            </w:tcBorders>
          </w:tcPr>
          <w:p>
            <w:pPr>
              <w:pStyle w:val="Normal"/>
              <w:spacing w:before="40" w:after="40"/>
              <w:rPr/>
            </w:pPr>
            <w:r>
              <w:rPr/>
              <w:t>Nomogram vs SUVmax</w:t>
            </w:r>
          </w:p>
        </w:tc>
        <w:tc>
          <w:tcPr>
            <w:tcW w:w="1299" w:type="dxa"/>
            <w:tcBorders>
              <w:bottom w:val="single" w:sz="4" w:space="0" w:color="BFBFBF"/>
            </w:tcBorders>
          </w:tcPr>
          <w:p>
            <w:pPr>
              <w:pStyle w:val="Normal"/>
              <w:spacing w:before="40" w:after="40"/>
              <w:rPr/>
            </w:pPr>
            <w:r>
              <w:rPr/>
              <w:t>+0.076</w:t>
            </w:r>
          </w:p>
        </w:tc>
        <w:tc>
          <w:tcPr>
            <w:tcW w:w="1701" w:type="dxa"/>
            <w:tcBorders>
              <w:bottom w:val="single" w:sz="4" w:space="0" w:color="BFBFBF"/>
            </w:tcBorders>
          </w:tcPr>
          <w:p>
            <w:pPr>
              <w:pStyle w:val="Normal"/>
              <w:spacing w:before="40" w:after="40"/>
              <w:rPr/>
            </w:pPr>
            <w:r>
              <w:rPr/>
              <w:t>3.10</w:t>
            </w:r>
          </w:p>
        </w:tc>
        <w:tc>
          <w:tcPr>
            <w:tcW w:w="1999" w:type="dxa"/>
            <w:tcBorders>
              <w:bottom w:val="single" w:sz="4" w:space="0" w:color="BFBFBF"/>
            </w:tcBorders>
          </w:tcPr>
          <w:p>
            <w:pPr>
              <w:pStyle w:val="Normal"/>
              <w:spacing w:before="40" w:after="40"/>
              <w:rPr/>
            </w:pPr>
            <w:r>
              <w:rPr/>
              <w:t>0.002</w:t>
            </w:r>
          </w:p>
        </w:tc>
      </w:tr>
      <w:tr>
        <w:trPr/>
        <w:tc>
          <w:tcPr>
            <w:tcW w:w="4500" w:type="dxa"/>
            <w:tcBorders>
              <w:bottom w:val="single" w:sz="4" w:space="0" w:color="BFBFBF"/>
            </w:tcBorders>
          </w:tcPr>
          <w:p>
            <w:pPr>
              <w:pStyle w:val="Normal"/>
              <w:spacing w:before="40" w:after="40"/>
              <w:rPr/>
            </w:pPr>
            <w:r>
              <w:rPr/>
              <w:t>Nomogram vs Short-axis diameter</w:t>
            </w:r>
          </w:p>
        </w:tc>
        <w:tc>
          <w:tcPr>
            <w:tcW w:w="1299" w:type="dxa"/>
            <w:tcBorders>
              <w:bottom w:val="single" w:sz="4" w:space="0" w:color="BFBFBF"/>
            </w:tcBorders>
          </w:tcPr>
          <w:p>
            <w:pPr>
              <w:pStyle w:val="Normal"/>
              <w:spacing w:before="40" w:after="40"/>
              <w:rPr/>
            </w:pPr>
            <w:r>
              <w:rPr/>
              <w:t>+0.142</w:t>
            </w:r>
          </w:p>
        </w:tc>
        <w:tc>
          <w:tcPr>
            <w:tcW w:w="1701" w:type="dxa"/>
            <w:tcBorders>
              <w:bottom w:val="single" w:sz="4" w:space="0" w:color="BFBFBF"/>
            </w:tcBorders>
          </w:tcPr>
          <w:p>
            <w:pPr>
              <w:pStyle w:val="Normal"/>
              <w:spacing w:before="40" w:after="40"/>
              <w:rPr/>
            </w:pPr>
            <w:r>
              <w:rPr/>
              <w:t>5.00</w:t>
            </w:r>
          </w:p>
        </w:tc>
        <w:tc>
          <w:tcPr>
            <w:tcW w:w="1999" w:type="dxa"/>
            <w:tcBorders>
              <w:bottom w:val="single" w:sz="4" w:space="0" w:color="BFBFBF"/>
            </w:tcBorders>
          </w:tcPr>
          <w:p>
            <w:pPr>
              <w:pStyle w:val="Normal"/>
              <w:spacing w:before="40" w:after="40"/>
              <w:rPr/>
            </w:pPr>
            <w:r>
              <w:rPr/>
              <w:t>&lt; 0.001</w:t>
            </w:r>
          </w:p>
        </w:tc>
      </w:tr>
      <w:tr>
        <w:trPr/>
        <w:tc>
          <w:tcPr>
            <w:tcW w:w="4500" w:type="dxa"/>
            <w:tcBorders>
              <w:bottom w:val="single" w:sz="4" w:space="0" w:color="BFBFBF"/>
            </w:tcBorders>
          </w:tcPr>
          <w:p>
            <w:pPr>
              <w:pStyle w:val="Normal"/>
              <w:spacing w:before="40" w:after="40"/>
              <w:rPr/>
            </w:pPr>
            <w:r>
              <w:rPr/>
              <w:t>Nomogram vs Mean Hounsfield unit</w:t>
            </w:r>
          </w:p>
        </w:tc>
        <w:tc>
          <w:tcPr>
            <w:tcW w:w="1299" w:type="dxa"/>
            <w:tcBorders>
              <w:bottom w:val="single" w:sz="4" w:space="0" w:color="BFBFBF"/>
            </w:tcBorders>
          </w:tcPr>
          <w:p>
            <w:pPr>
              <w:pStyle w:val="Normal"/>
              <w:spacing w:before="40" w:after="40"/>
              <w:rPr/>
            </w:pPr>
            <w:r>
              <w:rPr/>
              <w:t>+0.246</w:t>
            </w:r>
          </w:p>
        </w:tc>
        <w:tc>
          <w:tcPr>
            <w:tcW w:w="1701" w:type="dxa"/>
            <w:tcBorders>
              <w:bottom w:val="single" w:sz="4" w:space="0" w:color="BFBFBF"/>
            </w:tcBorders>
          </w:tcPr>
          <w:p>
            <w:pPr>
              <w:pStyle w:val="Normal"/>
              <w:spacing w:before="40" w:after="40"/>
              <w:rPr/>
            </w:pPr>
            <w:r>
              <w:rPr/>
              <w:t>7.07</w:t>
            </w:r>
          </w:p>
        </w:tc>
        <w:tc>
          <w:tcPr>
            <w:tcW w:w="1999" w:type="dxa"/>
            <w:tcBorders>
              <w:bottom w:val="single" w:sz="4" w:space="0" w:color="BFBFBF"/>
            </w:tcBorders>
          </w:tcPr>
          <w:p>
            <w:pPr>
              <w:pStyle w:val="Normal"/>
              <w:spacing w:before="40" w:after="40"/>
              <w:rPr/>
            </w:pPr>
            <w:r>
              <w:rPr/>
              <w:t>&lt; 0.001</w:t>
            </w:r>
          </w:p>
        </w:tc>
      </w:tr>
      <w:tr>
        <w:trPr/>
        <w:tc>
          <w:tcPr>
            <w:tcW w:w="4500" w:type="dxa"/>
            <w:tcBorders>
              <w:bottom w:val="single" w:sz="4" w:space="0" w:color="BFBFBF"/>
            </w:tcBorders>
          </w:tcPr>
          <w:p>
            <w:pPr>
              <w:pStyle w:val="Normal"/>
              <w:spacing w:before="40" w:after="40"/>
              <w:rPr/>
            </w:pPr>
            <w:r>
              <w:rPr/>
              <w:t>SUVmax vs Short-axis diameter</w:t>
            </w:r>
          </w:p>
        </w:tc>
        <w:tc>
          <w:tcPr>
            <w:tcW w:w="1299" w:type="dxa"/>
            <w:tcBorders>
              <w:bottom w:val="single" w:sz="4" w:space="0" w:color="BFBFBF"/>
            </w:tcBorders>
          </w:tcPr>
          <w:p>
            <w:pPr>
              <w:pStyle w:val="Normal"/>
              <w:spacing w:before="40" w:after="40"/>
              <w:rPr/>
            </w:pPr>
            <w:r>
              <w:rPr/>
              <w:t>+0.066</w:t>
            </w:r>
          </w:p>
        </w:tc>
        <w:tc>
          <w:tcPr>
            <w:tcW w:w="1701" w:type="dxa"/>
            <w:tcBorders>
              <w:bottom w:val="single" w:sz="4" w:space="0" w:color="BFBFBF"/>
            </w:tcBorders>
          </w:tcPr>
          <w:p>
            <w:pPr>
              <w:pStyle w:val="Normal"/>
              <w:spacing w:before="40" w:after="40"/>
              <w:rPr/>
            </w:pPr>
            <w:r>
              <w:rPr/>
              <w:t>1.91</w:t>
            </w:r>
          </w:p>
        </w:tc>
        <w:tc>
          <w:tcPr>
            <w:tcW w:w="1999" w:type="dxa"/>
            <w:tcBorders>
              <w:bottom w:val="single" w:sz="4" w:space="0" w:color="BFBFBF"/>
            </w:tcBorders>
          </w:tcPr>
          <w:p>
            <w:pPr>
              <w:pStyle w:val="Normal"/>
              <w:spacing w:before="40" w:after="40"/>
              <w:rPr/>
            </w:pPr>
            <w:r>
              <w:rPr/>
              <w:t>0.056</w:t>
            </w:r>
          </w:p>
        </w:tc>
      </w:tr>
      <w:tr>
        <w:trPr/>
        <w:tc>
          <w:tcPr>
            <w:tcW w:w="4500" w:type="dxa"/>
            <w:tcBorders>
              <w:bottom w:val="single" w:sz="4" w:space="0" w:color="BFBFBF"/>
            </w:tcBorders>
          </w:tcPr>
          <w:p>
            <w:pPr>
              <w:pStyle w:val="Normal"/>
              <w:spacing w:before="40" w:after="40"/>
              <w:rPr/>
            </w:pPr>
            <w:r>
              <w:rPr/>
              <w:t>SUVmax vs Mean Hounsfield unit</w:t>
            </w:r>
          </w:p>
        </w:tc>
        <w:tc>
          <w:tcPr>
            <w:tcW w:w="1299" w:type="dxa"/>
            <w:tcBorders>
              <w:bottom w:val="single" w:sz="4" w:space="0" w:color="BFBFBF"/>
            </w:tcBorders>
          </w:tcPr>
          <w:p>
            <w:pPr>
              <w:pStyle w:val="Normal"/>
              <w:spacing w:before="40" w:after="40"/>
              <w:rPr/>
            </w:pPr>
            <w:r>
              <w:rPr/>
              <w:t>+0.170</w:t>
            </w:r>
          </w:p>
        </w:tc>
        <w:tc>
          <w:tcPr>
            <w:tcW w:w="1701" w:type="dxa"/>
            <w:tcBorders>
              <w:bottom w:val="single" w:sz="4" w:space="0" w:color="BFBFBF"/>
            </w:tcBorders>
          </w:tcPr>
          <w:p>
            <w:pPr>
              <w:pStyle w:val="Normal"/>
              <w:spacing w:before="40" w:after="40"/>
              <w:rPr/>
            </w:pPr>
            <w:r>
              <w:rPr/>
              <w:t>4.51</w:t>
            </w:r>
          </w:p>
        </w:tc>
        <w:tc>
          <w:tcPr>
            <w:tcW w:w="1999" w:type="dxa"/>
            <w:tcBorders>
              <w:bottom w:val="single" w:sz="4" w:space="0" w:color="BFBFBF"/>
            </w:tcBorders>
          </w:tcPr>
          <w:p>
            <w:pPr>
              <w:pStyle w:val="Normal"/>
              <w:spacing w:before="40" w:after="40"/>
              <w:rPr/>
            </w:pPr>
            <w:r>
              <w:rPr/>
              <w:t>&lt; 0.001</w:t>
            </w:r>
          </w:p>
        </w:tc>
      </w:tr>
      <w:tr>
        <w:trPr/>
        <w:tc>
          <w:tcPr>
            <w:tcW w:w="4500" w:type="dxa"/>
            <w:tcBorders>
              <w:bottom w:val="single" w:sz="8" w:space="0" w:color="000000"/>
            </w:tcBorders>
          </w:tcPr>
          <w:p>
            <w:pPr>
              <w:pStyle w:val="Normal"/>
              <w:spacing w:before="40" w:after="40"/>
              <w:rPr/>
            </w:pPr>
            <w:r>
              <w:rPr/>
              <w:t>Short-axis vs Mean Hounsfield unit</w:t>
            </w:r>
          </w:p>
        </w:tc>
        <w:tc>
          <w:tcPr>
            <w:tcW w:w="1299" w:type="dxa"/>
            <w:tcBorders>
              <w:bottom w:val="single" w:sz="8" w:space="0" w:color="000000"/>
            </w:tcBorders>
          </w:tcPr>
          <w:p>
            <w:pPr>
              <w:pStyle w:val="Normal"/>
              <w:spacing w:before="40" w:after="40"/>
              <w:rPr/>
            </w:pPr>
            <w:r>
              <w:rPr/>
              <w:t>+0.104</w:t>
            </w:r>
          </w:p>
        </w:tc>
        <w:tc>
          <w:tcPr>
            <w:tcW w:w="1701" w:type="dxa"/>
            <w:tcBorders>
              <w:bottom w:val="single" w:sz="8" w:space="0" w:color="000000"/>
            </w:tcBorders>
          </w:tcPr>
          <w:p>
            <w:pPr>
              <w:pStyle w:val="Normal"/>
              <w:spacing w:before="40" w:after="40"/>
              <w:rPr/>
            </w:pPr>
            <w:r>
              <w:rPr/>
              <w:t>2.79</w:t>
            </w:r>
          </w:p>
        </w:tc>
        <w:tc>
          <w:tcPr>
            <w:tcW w:w="1999" w:type="dxa"/>
            <w:tcBorders>
              <w:bottom w:val="single" w:sz="8" w:space="0" w:color="000000"/>
            </w:tcBorders>
          </w:tcPr>
          <w:p>
            <w:pPr>
              <w:pStyle w:val="Normal"/>
              <w:spacing w:before="40" w:after="40"/>
              <w:rPr/>
            </w:pPr>
            <w:r>
              <w:rPr/>
              <w:t>0.005</w:t>
            </w:r>
          </w:p>
        </w:tc>
      </w:tr>
    </w:tbl>
    <w:p>
      <w:pPr>
        <w:pStyle w:val="Normal"/>
        <w:spacing w:before="0" w:after="80"/>
        <w:rPr/>
      </w:pPr>
      <w:r>
        <w:rPr/>
        <w:t>ΔAUC, difference in area under the curve.</w:t>
      </w:r>
    </w:p>
    <w:p>
      <w:pPr>
        <w:pStyle w:val="Normal"/>
        <w:spacing w:before="0" w:after="80"/>
        <w:rPr/>
      </w:pPr>
      <w:r>
        <w:rPr/>
        <w:t>ᵃ Two-sided DeLong test for paired AUCs.</w:t>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200" w:after="100"/>
        <w:rPr/>
      </w:pPr>
      <w:r>
        <w:rPr>
          <w:b/>
          <w:bCs/>
        </w:rPr>
        <w:t>Table S9</w:t>
      </w:r>
      <w:r>
        <w:rPr/>
        <w:t xml:space="preserve"> Sensitivity analysis excluding non-diagnostic hypocellular fibrin cases.</w:t>
      </w:r>
    </w:p>
    <w:tbl>
      <w:tblPr>
        <w:tblW w:w="9500" w:type="dxa"/>
        <w:jc w:val="left"/>
        <w:tblInd w:w="0" w:type="dxa"/>
        <w:tblLayout w:type="fixed"/>
        <w:tblCellMar>
          <w:top w:w="80" w:type="dxa"/>
          <w:left w:w="100" w:type="dxa"/>
          <w:bottom w:w="80" w:type="dxa"/>
          <w:right w:w="100" w:type="dxa"/>
        </w:tblCellMar>
        <w:tblLook w:val="04a0" w:noHBand="0" w:noVBand="1" w:firstColumn="1" w:lastRow="0" w:lastColumn="0" w:firstRow="1"/>
      </w:tblPr>
      <w:tblGrid>
        <w:gridCol w:w="2799"/>
        <w:gridCol w:w="2200"/>
        <w:gridCol w:w="2400"/>
        <w:gridCol w:w="2100"/>
      </w:tblGrid>
      <w:tr>
        <w:trPr>
          <w:tblHeader w:val="true"/>
        </w:trPr>
        <w:tc>
          <w:tcPr>
            <w:tcW w:w="2799" w:type="dxa"/>
            <w:tcBorders>
              <w:top w:val="single" w:sz="8" w:space="0" w:color="000000"/>
              <w:bottom w:val="single" w:sz="8" w:space="0" w:color="000000"/>
            </w:tcBorders>
          </w:tcPr>
          <w:p>
            <w:pPr>
              <w:pStyle w:val="Normal"/>
              <w:spacing w:before="60" w:after="60"/>
              <w:rPr/>
            </w:pPr>
            <w:r>
              <w:rPr>
                <w:b/>
                <w:bCs/>
              </w:rPr>
              <w:t>Parameter</w:t>
            </w:r>
          </w:p>
        </w:tc>
        <w:tc>
          <w:tcPr>
            <w:tcW w:w="2200" w:type="dxa"/>
            <w:tcBorders>
              <w:top w:val="single" w:sz="8" w:space="0" w:color="000000"/>
              <w:bottom w:val="single" w:sz="8" w:space="0" w:color="000000"/>
            </w:tcBorders>
          </w:tcPr>
          <w:p>
            <w:pPr>
              <w:pStyle w:val="Normal"/>
              <w:spacing w:before="60" w:after="60"/>
              <w:rPr/>
            </w:pPr>
            <w:r>
              <w:rPr>
                <w:b/>
                <w:bCs/>
              </w:rPr>
              <w:t>Primary cohort (n = 337)</w:t>
            </w:r>
          </w:p>
        </w:tc>
        <w:tc>
          <w:tcPr>
            <w:tcW w:w="2400" w:type="dxa"/>
            <w:tcBorders>
              <w:top w:val="single" w:sz="8" w:space="0" w:color="000000"/>
              <w:bottom w:val="single" w:sz="8" w:space="0" w:color="000000"/>
            </w:tcBorders>
          </w:tcPr>
          <w:p>
            <w:pPr>
              <w:pStyle w:val="Normal"/>
              <w:spacing w:before="60" w:after="60"/>
              <w:rPr/>
            </w:pPr>
            <w:r>
              <w:rPr>
                <w:b/>
                <w:bCs/>
              </w:rPr>
              <w:t>Sensitivity cohort (n = 332)</w:t>
            </w:r>
          </w:p>
        </w:tc>
        <w:tc>
          <w:tcPr>
            <w:tcW w:w="2100" w:type="dxa"/>
            <w:tcBorders>
              <w:top w:val="single" w:sz="8" w:space="0" w:color="000000"/>
              <w:bottom w:val="single" w:sz="8" w:space="0" w:color="000000"/>
            </w:tcBorders>
          </w:tcPr>
          <w:p>
            <w:pPr>
              <w:pStyle w:val="Normal"/>
              <w:spacing w:before="60" w:after="60"/>
              <w:rPr/>
            </w:pPr>
            <w:r>
              <w:rPr>
                <w:b/>
                <w:bCs/>
              </w:rPr>
              <w:t>Δ (sensitivity − primary)</w:t>
            </w:r>
          </w:p>
        </w:tc>
      </w:tr>
      <w:tr>
        <w:trPr/>
        <w:tc>
          <w:tcPr>
            <w:tcW w:w="2799" w:type="dxa"/>
            <w:tcBorders>
              <w:bottom w:val="single" w:sz="4" w:space="0" w:color="BFBFBF"/>
            </w:tcBorders>
          </w:tcPr>
          <w:p>
            <w:pPr>
              <w:pStyle w:val="Normal"/>
              <w:spacing w:before="40" w:after="40"/>
              <w:rPr/>
            </w:pPr>
            <w:r>
              <w:rPr/>
              <w:t>Malignant patients, n</w:t>
            </w:r>
          </w:p>
        </w:tc>
        <w:tc>
          <w:tcPr>
            <w:tcW w:w="2200" w:type="dxa"/>
            <w:tcBorders>
              <w:bottom w:val="single" w:sz="4" w:space="0" w:color="BFBFBF"/>
            </w:tcBorders>
          </w:tcPr>
          <w:p>
            <w:pPr>
              <w:pStyle w:val="Normal"/>
              <w:spacing w:before="40" w:after="40"/>
              <w:rPr/>
            </w:pPr>
            <w:r>
              <w:rPr/>
              <w:t>184</w:t>
            </w:r>
          </w:p>
        </w:tc>
        <w:tc>
          <w:tcPr>
            <w:tcW w:w="2400" w:type="dxa"/>
            <w:tcBorders>
              <w:bottom w:val="single" w:sz="4" w:space="0" w:color="BFBFBF"/>
            </w:tcBorders>
          </w:tcPr>
          <w:p>
            <w:pPr>
              <w:pStyle w:val="Normal"/>
              <w:spacing w:before="40" w:after="40"/>
              <w:rPr/>
            </w:pPr>
            <w:r>
              <w:rPr/>
              <w:t>182</w:t>
            </w:r>
          </w:p>
        </w:tc>
        <w:tc>
          <w:tcPr>
            <w:tcW w:w="2100" w:type="dxa"/>
            <w:tcBorders>
              <w:bottom w:val="single" w:sz="4" w:space="0" w:color="BFBFBF"/>
            </w:tcBorders>
          </w:tcPr>
          <w:p>
            <w:pPr>
              <w:pStyle w:val="Normal"/>
              <w:spacing w:before="40" w:after="40"/>
              <w:rPr/>
            </w:pPr>
            <w:r>
              <w:rPr/>
              <w:t>−</w:t>
            </w:r>
            <w:r>
              <w:rPr/>
              <w:t>2</w:t>
            </w:r>
          </w:p>
        </w:tc>
      </w:tr>
      <w:tr>
        <w:trPr/>
        <w:tc>
          <w:tcPr>
            <w:tcW w:w="2799" w:type="dxa"/>
            <w:tcBorders>
              <w:bottom w:val="single" w:sz="4" w:space="0" w:color="BFBFBF"/>
            </w:tcBorders>
          </w:tcPr>
          <w:p>
            <w:pPr>
              <w:pStyle w:val="Normal"/>
              <w:spacing w:before="40" w:after="40"/>
              <w:rPr/>
            </w:pPr>
            <w:r>
              <w:rPr/>
              <w:t>Benign patients, n</w:t>
            </w:r>
          </w:p>
        </w:tc>
        <w:tc>
          <w:tcPr>
            <w:tcW w:w="2200" w:type="dxa"/>
            <w:tcBorders>
              <w:bottom w:val="single" w:sz="4" w:space="0" w:color="BFBFBF"/>
            </w:tcBorders>
          </w:tcPr>
          <w:p>
            <w:pPr>
              <w:pStyle w:val="Normal"/>
              <w:spacing w:before="40" w:after="40"/>
              <w:rPr/>
            </w:pPr>
            <w:r>
              <w:rPr/>
              <w:t>153</w:t>
            </w:r>
          </w:p>
        </w:tc>
        <w:tc>
          <w:tcPr>
            <w:tcW w:w="2400" w:type="dxa"/>
            <w:tcBorders>
              <w:bottom w:val="single" w:sz="4" w:space="0" w:color="BFBFBF"/>
            </w:tcBorders>
          </w:tcPr>
          <w:p>
            <w:pPr>
              <w:pStyle w:val="Normal"/>
              <w:spacing w:before="40" w:after="40"/>
              <w:rPr/>
            </w:pPr>
            <w:r>
              <w:rPr/>
              <w:t>150</w:t>
            </w:r>
          </w:p>
        </w:tc>
        <w:tc>
          <w:tcPr>
            <w:tcW w:w="2100" w:type="dxa"/>
            <w:tcBorders>
              <w:bottom w:val="single" w:sz="4" w:space="0" w:color="BFBFBF"/>
            </w:tcBorders>
          </w:tcPr>
          <w:p>
            <w:pPr>
              <w:pStyle w:val="Normal"/>
              <w:spacing w:before="40" w:after="40"/>
              <w:rPr/>
            </w:pPr>
            <w:r>
              <w:rPr/>
              <w:t>−</w:t>
            </w:r>
            <w:r>
              <w:rPr/>
              <w:t>3</w:t>
            </w:r>
          </w:p>
        </w:tc>
      </w:tr>
      <w:tr>
        <w:trPr/>
        <w:tc>
          <w:tcPr>
            <w:tcW w:w="2799" w:type="dxa"/>
            <w:tcBorders>
              <w:bottom w:val="single" w:sz="4" w:space="0" w:color="BFBFBF"/>
            </w:tcBorders>
          </w:tcPr>
          <w:p>
            <w:pPr>
              <w:pStyle w:val="Normal"/>
              <w:spacing w:before="40" w:after="40"/>
              <w:rPr/>
            </w:pPr>
            <w:r>
              <w:rPr/>
              <w:t>Apparent AUC</w:t>
            </w:r>
          </w:p>
        </w:tc>
        <w:tc>
          <w:tcPr>
            <w:tcW w:w="2200" w:type="dxa"/>
            <w:tcBorders>
              <w:bottom w:val="single" w:sz="4" w:space="0" w:color="BFBFBF"/>
            </w:tcBorders>
          </w:tcPr>
          <w:p>
            <w:pPr>
              <w:pStyle w:val="Normal"/>
              <w:spacing w:before="40" w:after="40"/>
              <w:rPr/>
            </w:pPr>
            <w:r>
              <w:rPr/>
              <w:t>0.8130</w:t>
            </w:r>
          </w:p>
        </w:tc>
        <w:tc>
          <w:tcPr>
            <w:tcW w:w="2400" w:type="dxa"/>
            <w:tcBorders>
              <w:bottom w:val="single" w:sz="4" w:space="0" w:color="BFBFBF"/>
            </w:tcBorders>
          </w:tcPr>
          <w:p>
            <w:pPr>
              <w:pStyle w:val="Normal"/>
              <w:spacing w:before="40" w:after="40"/>
              <w:rPr/>
            </w:pPr>
            <w:r>
              <w:rPr/>
              <w:t>0.8219</w:t>
            </w:r>
          </w:p>
        </w:tc>
        <w:tc>
          <w:tcPr>
            <w:tcW w:w="2100" w:type="dxa"/>
            <w:tcBorders>
              <w:bottom w:val="single" w:sz="4" w:space="0" w:color="BFBFBF"/>
            </w:tcBorders>
          </w:tcPr>
          <w:p>
            <w:pPr>
              <w:pStyle w:val="Normal"/>
              <w:spacing w:before="40" w:after="40"/>
              <w:rPr/>
            </w:pPr>
            <w:r>
              <w:rPr/>
              <w:t>+0.0089</w:t>
            </w:r>
          </w:p>
        </w:tc>
      </w:tr>
      <w:tr>
        <w:trPr/>
        <w:tc>
          <w:tcPr>
            <w:tcW w:w="2799" w:type="dxa"/>
            <w:tcBorders>
              <w:bottom w:val="single" w:sz="4" w:space="0" w:color="BFBFBF"/>
            </w:tcBorders>
          </w:tcPr>
          <w:p>
            <w:pPr>
              <w:pStyle w:val="Normal"/>
              <w:spacing w:before="40" w:after="40"/>
              <w:rPr/>
            </w:pPr>
            <w:r>
              <w:rPr/>
              <w:t>Bias-corrected AUC</w:t>
            </w:r>
          </w:p>
        </w:tc>
        <w:tc>
          <w:tcPr>
            <w:tcW w:w="2200" w:type="dxa"/>
            <w:tcBorders>
              <w:bottom w:val="single" w:sz="4" w:space="0" w:color="BFBFBF"/>
            </w:tcBorders>
          </w:tcPr>
          <w:p>
            <w:pPr>
              <w:pStyle w:val="Normal"/>
              <w:spacing w:before="40" w:after="40"/>
              <w:rPr/>
            </w:pPr>
            <w:r>
              <w:rPr/>
              <w:t>0.8026</w:t>
            </w:r>
          </w:p>
        </w:tc>
        <w:tc>
          <w:tcPr>
            <w:tcW w:w="2400" w:type="dxa"/>
            <w:tcBorders>
              <w:bottom w:val="single" w:sz="4" w:space="0" w:color="BFBFBF"/>
            </w:tcBorders>
          </w:tcPr>
          <w:p>
            <w:pPr>
              <w:pStyle w:val="Normal"/>
              <w:spacing w:before="40" w:after="40"/>
              <w:rPr/>
            </w:pPr>
            <w:r>
              <w:rPr/>
              <w:t>0.8116</w:t>
            </w:r>
          </w:p>
        </w:tc>
        <w:tc>
          <w:tcPr>
            <w:tcW w:w="2100" w:type="dxa"/>
            <w:tcBorders>
              <w:bottom w:val="single" w:sz="4" w:space="0" w:color="BFBFBF"/>
            </w:tcBorders>
          </w:tcPr>
          <w:p>
            <w:pPr>
              <w:pStyle w:val="Normal"/>
              <w:spacing w:before="40" w:after="40"/>
              <w:rPr/>
            </w:pPr>
            <w:r>
              <w:rPr/>
              <w:t>+0.0090</w:t>
            </w:r>
          </w:p>
        </w:tc>
      </w:tr>
      <w:tr>
        <w:trPr/>
        <w:tc>
          <w:tcPr>
            <w:tcW w:w="2799" w:type="dxa"/>
            <w:tcBorders>
              <w:bottom w:val="single" w:sz="4" w:space="0" w:color="BFBFBF"/>
            </w:tcBorders>
          </w:tcPr>
          <w:p>
            <w:pPr>
              <w:pStyle w:val="Normal"/>
              <w:spacing w:before="40" w:after="40"/>
              <w:rPr/>
            </w:pPr>
            <w:r>
              <w:rPr/>
              <w:t>Brier score</w:t>
            </w:r>
          </w:p>
        </w:tc>
        <w:tc>
          <w:tcPr>
            <w:tcW w:w="2200" w:type="dxa"/>
            <w:tcBorders>
              <w:bottom w:val="single" w:sz="4" w:space="0" w:color="BFBFBF"/>
            </w:tcBorders>
          </w:tcPr>
          <w:p>
            <w:pPr>
              <w:pStyle w:val="Normal"/>
              <w:spacing w:before="40" w:after="40"/>
              <w:rPr/>
            </w:pPr>
            <w:r>
              <w:rPr/>
              <w:t>0.1758</w:t>
            </w:r>
          </w:p>
        </w:tc>
        <w:tc>
          <w:tcPr>
            <w:tcW w:w="2400" w:type="dxa"/>
            <w:tcBorders>
              <w:bottom w:val="single" w:sz="4" w:space="0" w:color="BFBFBF"/>
            </w:tcBorders>
          </w:tcPr>
          <w:p>
            <w:pPr>
              <w:pStyle w:val="Normal"/>
              <w:spacing w:before="40" w:after="40"/>
              <w:rPr/>
            </w:pPr>
            <w:r>
              <w:rPr/>
              <w:t>0.1716</w:t>
            </w:r>
          </w:p>
        </w:tc>
        <w:tc>
          <w:tcPr>
            <w:tcW w:w="2100" w:type="dxa"/>
            <w:tcBorders>
              <w:bottom w:val="single" w:sz="4" w:space="0" w:color="BFBFBF"/>
            </w:tcBorders>
          </w:tcPr>
          <w:p>
            <w:pPr>
              <w:pStyle w:val="Normal"/>
              <w:spacing w:before="40" w:after="40"/>
              <w:rPr/>
            </w:pPr>
            <w:r>
              <w:rPr/>
              <w:t>−</w:t>
            </w:r>
            <w:r>
              <w:rPr/>
              <w:t>0.0042</w:t>
            </w:r>
          </w:p>
        </w:tc>
      </w:tr>
      <w:tr>
        <w:trPr/>
        <w:tc>
          <w:tcPr>
            <w:tcW w:w="2799" w:type="dxa"/>
            <w:tcBorders>
              <w:bottom w:val="single" w:sz="4" w:space="0" w:color="BFBFBF"/>
            </w:tcBorders>
          </w:tcPr>
          <w:p>
            <w:pPr>
              <w:pStyle w:val="Normal"/>
              <w:spacing w:before="40" w:after="40"/>
              <w:rPr/>
            </w:pPr>
            <w:r>
              <w:rPr/>
              <w:t>Calibration intercept</w:t>
            </w:r>
          </w:p>
        </w:tc>
        <w:tc>
          <w:tcPr>
            <w:tcW w:w="2200" w:type="dxa"/>
            <w:tcBorders>
              <w:bottom w:val="single" w:sz="4" w:space="0" w:color="BFBFBF"/>
            </w:tcBorders>
          </w:tcPr>
          <w:p>
            <w:pPr>
              <w:pStyle w:val="Normal"/>
              <w:spacing w:before="40" w:after="40"/>
              <w:rPr/>
            </w:pPr>
            <w:r>
              <w:rPr/>
              <w:t>0.000</w:t>
            </w:r>
          </w:p>
        </w:tc>
        <w:tc>
          <w:tcPr>
            <w:tcW w:w="2400" w:type="dxa"/>
            <w:tcBorders>
              <w:bottom w:val="single" w:sz="4" w:space="0" w:color="BFBFBF"/>
            </w:tcBorders>
          </w:tcPr>
          <w:p>
            <w:pPr>
              <w:pStyle w:val="Normal"/>
              <w:spacing w:before="40" w:after="40"/>
              <w:rPr/>
            </w:pPr>
            <w:r>
              <w:rPr/>
              <w:t>0.000</w:t>
            </w:r>
          </w:p>
        </w:tc>
        <w:tc>
          <w:tcPr>
            <w:tcW w:w="2100" w:type="dxa"/>
            <w:tcBorders>
              <w:bottom w:val="single" w:sz="4" w:space="0" w:color="BFBFBF"/>
            </w:tcBorders>
          </w:tcPr>
          <w:p>
            <w:pPr>
              <w:pStyle w:val="Normal"/>
              <w:spacing w:before="40" w:after="40"/>
              <w:rPr/>
            </w:pPr>
            <w:r>
              <w:rPr/>
              <w:t>0.000</w:t>
            </w:r>
          </w:p>
        </w:tc>
      </w:tr>
      <w:tr>
        <w:trPr/>
        <w:tc>
          <w:tcPr>
            <w:tcW w:w="2799" w:type="dxa"/>
            <w:tcBorders>
              <w:bottom w:val="single" w:sz="8" w:space="0" w:color="000000"/>
            </w:tcBorders>
          </w:tcPr>
          <w:p>
            <w:pPr>
              <w:pStyle w:val="Normal"/>
              <w:spacing w:before="40" w:after="40"/>
              <w:rPr/>
            </w:pPr>
            <w:r>
              <w:rPr/>
              <w:t>Calibration slope</w:t>
            </w:r>
          </w:p>
        </w:tc>
        <w:tc>
          <w:tcPr>
            <w:tcW w:w="2200" w:type="dxa"/>
            <w:tcBorders>
              <w:bottom w:val="single" w:sz="8" w:space="0" w:color="000000"/>
            </w:tcBorders>
          </w:tcPr>
          <w:p>
            <w:pPr>
              <w:pStyle w:val="Normal"/>
              <w:spacing w:before="40" w:after="40"/>
              <w:rPr/>
            </w:pPr>
            <w:r>
              <w:rPr/>
              <w:t>1.000</w:t>
            </w:r>
          </w:p>
        </w:tc>
        <w:tc>
          <w:tcPr>
            <w:tcW w:w="2400" w:type="dxa"/>
            <w:tcBorders>
              <w:bottom w:val="single" w:sz="8" w:space="0" w:color="000000"/>
            </w:tcBorders>
          </w:tcPr>
          <w:p>
            <w:pPr>
              <w:pStyle w:val="Normal"/>
              <w:spacing w:before="40" w:after="40"/>
              <w:rPr/>
            </w:pPr>
            <w:r>
              <w:rPr/>
              <w:t>1.000</w:t>
            </w:r>
          </w:p>
        </w:tc>
        <w:tc>
          <w:tcPr>
            <w:tcW w:w="2100" w:type="dxa"/>
            <w:tcBorders>
              <w:bottom w:val="single" w:sz="8" w:space="0" w:color="000000"/>
            </w:tcBorders>
          </w:tcPr>
          <w:p>
            <w:pPr>
              <w:pStyle w:val="Normal"/>
              <w:spacing w:before="40" w:after="40"/>
              <w:rPr/>
            </w:pPr>
            <w:r>
              <w:rPr/>
              <w:t>0.000</w:t>
            </w:r>
          </w:p>
        </w:tc>
      </w:tr>
    </w:tbl>
    <w:p>
      <w:pPr>
        <w:pStyle w:val="Normal"/>
        <w:spacing w:before="120" w:after="80"/>
        <w:rPr/>
      </w:pPr>
      <w:r>
        <w:rPr>
          <w:b/>
          <w:bCs/>
        </w:rPr>
        <w:t>Adjusted odds ratios across cohorts:</w:t>
      </w:r>
    </w:p>
    <w:tbl>
      <w:tblPr>
        <w:tblW w:w="9500" w:type="dxa"/>
        <w:jc w:val="left"/>
        <w:tblInd w:w="0" w:type="dxa"/>
        <w:tblLayout w:type="fixed"/>
        <w:tblCellMar>
          <w:top w:w="80" w:type="dxa"/>
          <w:left w:w="100" w:type="dxa"/>
          <w:bottom w:w="80" w:type="dxa"/>
          <w:right w:w="100" w:type="dxa"/>
        </w:tblCellMar>
        <w:tblLook w:val="04a0" w:noHBand="0" w:noVBand="1" w:firstColumn="1" w:lastRow="0" w:lastColumn="0" w:firstRow="1"/>
      </w:tblPr>
      <w:tblGrid>
        <w:gridCol w:w="3000"/>
        <w:gridCol w:w="3300"/>
        <w:gridCol w:w="3200"/>
      </w:tblGrid>
      <w:tr>
        <w:trPr>
          <w:tblHeader w:val="true"/>
        </w:trPr>
        <w:tc>
          <w:tcPr>
            <w:tcW w:w="3000" w:type="dxa"/>
            <w:tcBorders>
              <w:top w:val="single" w:sz="8" w:space="0" w:color="000000"/>
              <w:bottom w:val="single" w:sz="8" w:space="0" w:color="000000"/>
            </w:tcBorders>
          </w:tcPr>
          <w:p>
            <w:pPr>
              <w:pStyle w:val="Normal"/>
              <w:spacing w:before="60" w:after="60"/>
              <w:rPr/>
            </w:pPr>
            <w:r>
              <w:rPr>
                <w:b/>
                <w:bCs/>
              </w:rPr>
              <w:t>Variable</w:t>
            </w:r>
          </w:p>
        </w:tc>
        <w:tc>
          <w:tcPr>
            <w:tcW w:w="3300" w:type="dxa"/>
            <w:tcBorders>
              <w:top w:val="single" w:sz="8" w:space="0" w:color="000000"/>
              <w:bottom w:val="single" w:sz="8" w:space="0" w:color="000000"/>
            </w:tcBorders>
          </w:tcPr>
          <w:p>
            <w:pPr>
              <w:pStyle w:val="Normal"/>
              <w:spacing w:before="60" w:after="60"/>
              <w:rPr/>
            </w:pPr>
            <w:r>
              <w:rPr>
                <w:b/>
                <w:bCs/>
              </w:rPr>
              <w:t>Primary cohort OR (95% CI), p</w:t>
            </w:r>
          </w:p>
        </w:tc>
        <w:tc>
          <w:tcPr>
            <w:tcW w:w="3200" w:type="dxa"/>
            <w:tcBorders>
              <w:top w:val="single" w:sz="8" w:space="0" w:color="000000"/>
              <w:bottom w:val="single" w:sz="8" w:space="0" w:color="000000"/>
            </w:tcBorders>
          </w:tcPr>
          <w:p>
            <w:pPr>
              <w:pStyle w:val="Normal"/>
              <w:spacing w:before="60" w:after="60"/>
              <w:rPr/>
            </w:pPr>
            <w:r>
              <w:rPr>
                <w:b/>
                <w:bCs/>
              </w:rPr>
              <w:t>Sensitivity cohort OR (95% CI), p</w:t>
            </w:r>
          </w:p>
        </w:tc>
      </w:tr>
      <w:tr>
        <w:trPr/>
        <w:tc>
          <w:tcPr>
            <w:tcW w:w="3000" w:type="dxa"/>
            <w:tcBorders>
              <w:bottom w:val="single" w:sz="4" w:space="0" w:color="BFBFBF"/>
            </w:tcBorders>
          </w:tcPr>
          <w:p>
            <w:pPr>
              <w:pStyle w:val="Normal"/>
              <w:spacing w:before="40" w:after="40"/>
              <w:rPr/>
            </w:pPr>
            <w:r>
              <w:rPr/>
              <w:t>Female sex</w:t>
            </w:r>
          </w:p>
        </w:tc>
        <w:tc>
          <w:tcPr>
            <w:tcW w:w="3300" w:type="dxa"/>
            <w:tcBorders>
              <w:bottom w:val="single" w:sz="4" w:space="0" w:color="BFBFBF"/>
            </w:tcBorders>
          </w:tcPr>
          <w:p>
            <w:pPr>
              <w:pStyle w:val="Normal"/>
              <w:spacing w:before="40" w:after="40"/>
              <w:rPr/>
            </w:pPr>
            <w:r>
              <w:rPr/>
              <w:t>0.29 (0.17–0.49), &lt; 0.001</w:t>
            </w:r>
          </w:p>
        </w:tc>
        <w:tc>
          <w:tcPr>
            <w:tcW w:w="3200" w:type="dxa"/>
            <w:tcBorders>
              <w:bottom w:val="single" w:sz="4" w:space="0" w:color="BFBFBF"/>
            </w:tcBorders>
          </w:tcPr>
          <w:p>
            <w:pPr>
              <w:pStyle w:val="Normal"/>
              <w:spacing w:before="40" w:after="40"/>
              <w:rPr/>
            </w:pPr>
            <w:r>
              <w:rPr/>
              <w:t>0.27 (0.16–0.46), &lt; 0.001</w:t>
            </w:r>
          </w:p>
        </w:tc>
      </w:tr>
      <w:tr>
        <w:trPr/>
        <w:tc>
          <w:tcPr>
            <w:tcW w:w="3000" w:type="dxa"/>
            <w:tcBorders>
              <w:bottom w:val="single" w:sz="4" w:space="0" w:color="BFBFBF"/>
            </w:tcBorders>
          </w:tcPr>
          <w:p>
            <w:pPr>
              <w:pStyle w:val="Normal"/>
              <w:spacing w:before="40" w:after="40"/>
              <w:rPr/>
            </w:pPr>
            <w:r>
              <w:rPr/>
              <w:t>Age ≥ 65 years</w:t>
            </w:r>
          </w:p>
        </w:tc>
        <w:tc>
          <w:tcPr>
            <w:tcW w:w="3300" w:type="dxa"/>
            <w:tcBorders>
              <w:bottom w:val="single" w:sz="4" w:space="0" w:color="BFBFBF"/>
            </w:tcBorders>
          </w:tcPr>
          <w:p>
            <w:pPr>
              <w:pStyle w:val="Normal"/>
              <w:spacing w:before="40" w:after="40"/>
              <w:rPr/>
            </w:pPr>
            <w:r>
              <w:rPr/>
              <w:t>0.42 (0.25–0.70), 0.001</w:t>
            </w:r>
          </w:p>
        </w:tc>
        <w:tc>
          <w:tcPr>
            <w:tcW w:w="3200" w:type="dxa"/>
            <w:tcBorders>
              <w:bottom w:val="single" w:sz="4" w:space="0" w:color="BFBFBF"/>
            </w:tcBorders>
          </w:tcPr>
          <w:p>
            <w:pPr>
              <w:pStyle w:val="Normal"/>
              <w:spacing w:before="40" w:after="40"/>
              <w:rPr/>
            </w:pPr>
            <w:r>
              <w:rPr/>
              <w:t>0.38 (0.22–0.65), &lt; 0.001</w:t>
            </w:r>
          </w:p>
        </w:tc>
      </w:tr>
      <w:tr>
        <w:trPr/>
        <w:tc>
          <w:tcPr>
            <w:tcW w:w="3000" w:type="dxa"/>
            <w:tcBorders>
              <w:bottom w:val="single" w:sz="4" w:space="0" w:color="BFBFBF"/>
            </w:tcBorders>
          </w:tcPr>
          <w:p>
            <w:pPr>
              <w:pStyle w:val="Normal"/>
              <w:spacing w:before="40" w:after="40"/>
              <w:rPr/>
            </w:pPr>
            <w:r>
              <w:rPr/>
              <w:t>Short-axis diameter (per mm)</w:t>
            </w:r>
          </w:p>
        </w:tc>
        <w:tc>
          <w:tcPr>
            <w:tcW w:w="3300" w:type="dxa"/>
            <w:tcBorders>
              <w:bottom w:val="single" w:sz="4" w:space="0" w:color="BFBFBF"/>
            </w:tcBorders>
          </w:tcPr>
          <w:p>
            <w:pPr>
              <w:pStyle w:val="Normal"/>
              <w:spacing w:before="40" w:after="40"/>
              <w:rPr/>
            </w:pPr>
            <w:r>
              <w:rPr/>
              <w:t>1.05 (1.02–1.10), 0.006</w:t>
            </w:r>
          </w:p>
        </w:tc>
        <w:tc>
          <w:tcPr>
            <w:tcW w:w="3200" w:type="dxa"/>
            <w:tcBorders>
              <w:bottom w:val="single" w:sz="4" w:space="0" w:color="BFBFBF"/>
            </w:tcBorders>
          </w:tcPr>
          <w:p>
            <w:pPr>
              <w:pStyle w:val="Normal"/>
              <w:spacing w:before="40" w:after="40"/>
              <w:rPr/>
            </w:pPr>
            <w:r>
              <w:rPr/>
              <w:t>1.07 (1.03–1.12), 0.001</w:t>
            </w:r>
          </w:p>
        </w:tc>
      </w:tr>
      <w:tr>
        <w:trPr/>
        <w:tc>
          <w:tcPr>
            <w:tcW w:w="3000" w:type="dxa"/>
            <w:tcBorders>
              <w:bottom w:val="single" w:sz="4" w:space="0" w:color="BFBFBF"/>
            </w:tcBorders>
          </w:tcPr>
          <w:p>
            <w:pPr>
              <w:pStyle w:val="Normal"/>
              <w:spacing w:before="40" w:after="40"/>
              <w:rPr/>
            </w:pPr>
            <w:r>
              <w:rPr/>
              <w:t>Mean Hounsfield unit (per unit)</w:t>
            </w:r>
          </w:p>
        </w:tc>
        <w:tc>
          <w:tcPr>
            <w:tcW w:w="3300" w:type="dxa"/>
            <w:tcBorders>
              <w:bottom w:val="single" w:sz="4" w:space="0" w:color="BFBFBF"/>
            </w:tcBorders>
          </w:tcPr>
          <w:p>
            <w:pPr>
              <w:pStyle w:val="Normal"/>
              <w:spacing w:before="40" w:after="40"/>
              <w:rPr/>
            </w:pPr>
            <w:r>
              <w:rPr/>
              <w:t>0.99 (0.98–1.00), 0.031</w:t>
            </w:r>
          </w:p>
        </w:tc>
        <w:tc>
          <w:tcPr>
            <w:tcW w:w="3200" w:type="dxa"/>
            <w:tcBorders>
              <w:bottom w:val="single" w:sz="4" w:space="0" w:color="BFBFBF"/>
            </w:tcBorders>
          </w:tcPr>
          <w:p>
            <w:pPr>
              <w:pStyle w:val="Normal"/>
              <w:spacing w:before="40" w:after="40"/>
              <w:rPr/>
            </w:pPr>
            <w:r>
              <w:rPr/>
              <w:t>0.99 (0.98–1.00), 0.043</w:t>
            </w:r>
          </w:p>
        </w:tc>
      </w:tr>
      <w:tr>
        <w:trPr/>
        <w:tc>
          <w:tcPr>
            <w:tcW w:w="3000" w:type="dxa"/>
            <w:tcBorders>
              <w:bottom w:val="single" w:sz="8" w:space="0" w:color="000000"/>
            </w:tcBorders>
          </w:tcPr>
          <w:p>
            <w:pPr>
              <w:pStyle w:val="Normal"/>
              <w:spacing w:before="40" w:after="40"/>
              <w:rPr/>
            </w:pPr>
            <w:r>
              <w:rPr/>
              <w:t>SUVmax (per unit)</w:t>
            </w:r>
          </w:p>
        </w:tc>
        <w:tc>
          <w:tcPr>
            <w:tcW w:w="3300" w:type="dxa"/>
            <w:tcBorders>
              <w:bottom w:val="single" w:sz="8" w:space="0" w:color="000000"/>
            </w:tcBorders>
          </w:tcPr>
          <w:p>
            <w:pPr>
              <w:pStyle w:val="Normal"/>
              <w:spacing w:before="40" w:after="40"/>
              <w:rPr/>
            </w:pPr>
            <w:r>
              <w:rPr/>
              <w:t>1.16 (1.09–1.23), &lt; 0.001</w:t>
            </w:r>
          </w:p>
        </w:tc>
        <w:tc>
          <w:tcPr>
            <w:tcW w:w="3200" w:type="dxa"/>
            <w:tcBorders>
              <w:bottom w:val="single" w:sz="8" w:space="0" w:color="000000"/>
            </w:tcBorders>
          </w:tcPr>
          <w:p>
            <w:pPr>
              <w:pStyle w:val="Normal"/>
              <w:spacing w:before="40" w:after="40"/>
              <w:rPr/>
            </w:pPr>
            <w:r>
              <w:rPr/>
              <w:t>1.15 (1.09–1.22), &lt; 0.001</w:t>
            </w:r>
          </w:p>
        </w:tc>
      </w:tr>
    </w:tbl>
    <w:p>
      <w:pPr>
        <w:pStyle w:val="Normal"/>
        <w:spacing w:before="0" w:after="80"/>
        <w:rPr/>
      </w:pPr>
      <w:r>
        <w:rPr/>
        <w:t>Five patients had non-diagnostic hypocellular fibrin material on EBUS-TBNA and required outcome adjudication. Three were classified as benign on the basis of stable lymph node dimensions and absence of malignant transformation during a minimum 12-month clinical and radiological follow-up. Two were confirmed malignant on repeat sampling. The robustness of this classification was tested by refitting the principal model after excluding all five patients (three benign, two malignant). The exclusion produced a small improvement in discrimination and calibration without altering the direction, magnitude, or statistical significance of any predictor coefficient.</w:t>
      </w:r>
    </w:p>
    <w:p>
      <w:pPr>
        <w:pStyle w:val="Normal"/>
        <w:spacing w:before="0" w:after="80"/>
        <w:rPr/>
      </w:pPr>
      <w:r>
        <w:rPr/>
        <w:t>CI, confidence interval; OR, odds ratio.</w:t>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200" w:after="100"/>
        <w:rPr/>
      </w:pPr>
      <w:r>
        <w:rPr>
          <w:b/>
          <w:bCs/>
        </w:rPr>
        <w:t>Table S10</w:t>
      </w:r>
      <w:r>
        <w:rPr/>
        <w:t xml:space="preserve"> Anthracosis-versus-malignancy subgroup analysis after exclusion of other benign etiologies and of two malignant cases with non-diagnostic index-node cytopathology (n = 293; 111 anthracosis, 182 malignancy).</w:t>
      </w:r>
    </w:p>
    <w:tbl>
      <w:tblPr>
        <w:tblW w:w="10000" w:type="dxa"/>
        <w:jc w:val="left"/>
        <w:tblInd w:w="0" w:type="dxa"/>
        <w:tblLayout w:type="fixed"/>
        <w:tblCellMar>
          <w:top w:w="80" w:type="dxa"/>
          <w:left w:w="100" w:type="dxa"/>
          <w:bottom w:w="80" w:type="dxa"/>
          <w:right w:w="100" w:type="dxa"/>
        </w:tblCellMar>
        <w:tblLook w:val="04a0" w:noHBand="0" w:noVBand="1" w:firstColumn="1" w:lastRow="0" w:lastColumn="0" w:firstRow="1"/>
      </w:tblPr>
      <w:tblGrid>
        <w:gridCol w:w="3000"/>
        <w:gridCol w:w="1800"/>
        <w:gridCol w:w="1800"/>
        <w:gridCol w:w="1100"/>
        <w:gridCol w:w="2300"/>
      </w:tblGrid>
      <w:tr>
        <w:trPr>
          <w:tblHeader w:val="true"/>
        </w:trPr>
        <w:tc>
          <w:tcPr>
            <w:tcW w:w="3000" w:type="dxa"/>
            <w:tcBorders>
              <w:top w:val="single" w:sz="8" w:space="0" w:color="000000"/>
              <w:bottom w:val="single" w:sz="8" w:space="0" w:color="000000"/>
            </w:tcBorders>
          </w:tcPr>
          <w:p>
            <w:pPr>
              <w:pStyle w:val="Normal"/>
              <w:spacing w:before="60" w:after="60"/>
              <w:rPr/>
            </w:pPr>
            <w:r>
              <w:rPr>
                <w:b/>
                <w:bCs/>
              </w:rPr>
              <w:t>Variable</w:t>
            </w:r>
          </w:p>
        </w:tc>
        <w:tc>
          <w:tcPr>
            <w:tcW w:w="1800" w:type="dxa"/>
            <w:tcBorders>
              <w:top w:val="single" w:sz="8" w:space="0" w:color="000000"/>
              <w:bottom w:val="single" w:sz="8" w:space="0" w:color="000000"/>
            </w:tcBorders>
          </w:tcPr>
          <w:p>
            <w:pPr>
              <w:pStyle w:val="Normal"/>
              <w:spacing w:before="60" w:after="60"/>
              <w:rPr/>
            </w:pPr>
            <w:r>
              <w:rPr>
                <w:b/>
                <w:bCs/>
              </w:rPr>
              <w:t>Anthracosis (n = 111)</w:t>
            </w:r>
          </w:p>
        </w:tc>
        <w:tc>
          <w:tcPr>
            <w:tcW w:w="1800" w:type="dxa"/>
            <w:tcBorders>
              <w:top w:val="single" w:sz="8" w:space="0" w:color="000000"/>
              <w:bottom w:val="single" w:sz="8" w:space="0" w:color="000000"/>
            </w:tcBorders>
          </w:tcPr>
          <w:p>
            <w:pPr>
              <w:pStyle w:val="Normal"/>
              <w:spacing w:before="60" w:after="60"/>
              <w:rPr/>
            </w:pPr>
            <w:r>
              <w:rPr>
                <w:b/>
                <w:bCs/>
              </w:rPr>
              <w:t>Malignancy (n = 182)</w:t>
            </w:r>
          </w:p>
        </w:tc>
        <w:tc>
          <w:tcPr>
            <w:tcW w:w="1100" w:type="dxa"/>
            <w:tcBorders>
              <w:top w:val="single" w:sz="8" w:space="0" w:color="000000"/>
              <w:bottom w:val="single" w:sz="8" w:space="0" w:color="000000"/>
            </w:tcBorders>
          </w:tcPr>
          <w:p>
            <w:pPr>
              <w:pStyle w:val="Normal"/>
              <w:spacing w:before="60" w:after="60"/>
              <w:rPr/>
            </w:pPr>
            <w:r>
              <w:rPr>
                <w:b/>
                <w:bCs/>
              </w:rPr>
              <w:t>p valueᵃ</w:t>
            </w:r>
          </w:p>
        </w:tc>
        <w:tc>
          <w:tcPr>
            <w:tcW w:w="2300" w:type="dxa"/>
            <w:tcBorders>
              <w:top w:val="single" w:sz="8" w:space="0" w:color="000000"/>
              <w:bottom w:val="single" w:sz="8" w:space="0" w:color="000000"/>
            </w:tcBorders>
          </w:tcPr>
          <w:p>
            <w:pPr>
              <w:pStyle w:val="Normal"/>
              <w:spacing w:before="60" w:after="60"/>
              <w:rPr/>
            </w:pPr>
            <w:r>
              <w:rPr>
                <w:b/>
                <w:bCs/>
              </w:rPr>
              <w:t>Adjusted OR (95% CI), p</w:t>
            </w:r>
          </w:p>
        </w:tc>
      </w:tr>
      <w:tr>
        <w:trPr/>
        <w:tc>
          <w:tcPr>
            <w:tcW w:w="3000" w:type="dxa"/>
            <w:tcBorders>
              <w:bottom w:val="single" w:sz="4" w:space="0" w:color="BFBFBF"/>
            </w:tcBorders>
          </w:tcPr>
          <w:p>
            <w:pPr>
              <w:pStyle w:val="Normal"/>
              <w:spacing w:before="40" w:after="40"/>
              <w:rPr/>
            </w:pPr>
            <w:r>
              <w:rPr/>
              <w:t>Age, years (median, IQR)</w:t>
            </w:r>
          </w:p>
        </w:tc>
        <w:tc>
          <w:tcPr>
            <w:tcW w:w="1800" w:type="dxa"/>
            <w:tcBorders>
              <w:bottom w:val="single" w:sz="4" w:space="0" w:color="BFBFBF"/>
            </w:tcBorders>
          </w:tcPr>
          <w:p>
            <w:pPr>
              <w:pStyle w:val="Normal"/>
              <w:spacing w:before="40" w:after="40"/>
              <w:rPr/>
            </w:pPr>
            <w:r>
              <w:rPr/>
              <w:t>67 (60–73)</w:t>
            </w:r>
          </w:p>
        </w:tc>
        <w:tc>
          <w:tcPr>
            <w:tcW w:w="1800" w:type="dxa"/>
            <w:tcBorders>
              <w:bottom w:val="single" w:sz="4" w:space="0" w:color="BFBFBF"/>
            </w:tcBorders>
          </w:tcPr>
          <w:p>
            <w:pPr>
              <w:pStyle w:val="Normal"/>
              <w:spacing w:before="40" w:after="40"/>
              <w:rPr/>
            </w:pPr>
            <w:r>
              <w:rPr/>
              <w:t>64 (55–70)</w:t>
            </w:r>
          </w:p>
        </w:tc>
        <w:tc>
          <w:tcPr>
            <w:tcW w:w="1100" w:type="dxa"/>
            <w:tcBorders>
              <w:bottom w:val="single" w:sz="4" w:space="0" w:color="BFBFBF"/>
            </w:tcBorders>
          </w:tcPr>
          <w:p>
            <w:pPr>
              <w:pStyle w:val="Normal"/>
              <w:spacing w:before="40" w:after="40"/>
              <w:rPr/>
            </w:pPr>
            <w:r>
              <w:rPr/>
              <w:t>0.020</w:t>
            </w:r>
          </w:p>
        </w:tc>
        <w:tc>
          <w:tcPr>
            <w:tcW w:w="2300" w:type="dxa"/>
            <w:tcBorders>
              <w:bottom w:val="single" w:sz="4" w:space="0" w:color="BFBFBF"/>
            </w:tcBorders>
          </w:tcPr>
          <w:p>
            <w:pPr>
              <w:pStyle w:val="Normal"/>
              <w:spacing w:before="40" w:after="40"/>
              <w:rPr/>
            </w:pPr>
            <w:r>
              <w:rPr/>
              <w:t>—</w:t>
            </w:r>
          </w:p>
        </w:tc>
      </w:tr>
      <w:tr>
        <w:trPr/>
        <w:tc>
          <w:tcPr>
            <w:tcW w:w="3000" w:type="dxa"/>
            <w:tcBorders>
              <w:bottom w:val="single" w:sz="4" w:space="0" w:color="BFBFBF"/>
            </w:tcBorders>
          </w:tcPr>
          <w:p>
            <w:pPr>
              <w:pStyle w:val="Normal"/>
              <w:spacing w:before="40" w:after="40"/>
              <w:rPr/>
            </w:pPr>
            <w:r>
              <w:rPr/>
              <w:t>Age ≥ 65 years, n (%)</w:t>
            </w:r>
          </w:p>
        </w:tc>
        <w:tc>
          <w:tcPr>
            <w:tcW w:w="1800" w:type="dxa"/>
            <w:tcBorders>
              <w:bottom w:val="single" w:sz="4" w:space="0" w:color="BFBFBF"/>
            </w:tcBorders>
          </w:tcPr>
          <w:p>
            <w:pPr>
              <w:pStyle w:val="Normal"/>
              <w:spacing w:before="40" w:after="40"/>
              <w:rPr/>
            </w:pPr>
            <w:r>
              <w:rPr/>
              <w:t>67 (60.4)</w:t>
            </w:r>
          </w:p>
        </w:tc>
        <w:tc>
          <w:tcPr>
            <w:tcW w:w="1800" w:type="dxa"/>
            <w:tcBorders>
              <w:bottom w:val="single" w:sz="4" w:space="0" w:color="BFBFBF"/>
            </w:tcBorders>
          </w:tcPr>
          <w:p>
            <w:pPr>
              <w:pStyle w:val="Normal"/>
              <w:spacing w:before="40" w:after="40"/>
              <w:rPr/>
            </w:pPr>
            <w:r>
              <w:rPr/>
              <w:t>78 (42.9)</w:t>
            </w:r>
          </w:p>
        </w:tc>
        <w:tc>
          <w:tcPr>
            <w:tcW w:w="1100" w:type="dxa"/>
            <w:tcBorders>
              <w:bottom w:val="single" w:sz="4" w:space="0" w:color="BFBFBF"/>
            </w:tcBorders>
          </w:tcPr>
          <w:p>
            <w:pPr>
              <w:pStyle w:val="Normal"/>
              <w:spacing w:before="40" w:after="40"/>
              <w:rPr/>
            </w:pPr>
            <w:r>
              <w:rPr/>
              <w:t>0.005</w:t>
            </w:r>
          </w:p>
        </w:tc>
        <w:tc>
          <w:tcPr>
            <w:tcW w:w="2300" w:type="dxa"/>
            <w:tcBorders>
              <w:bottom w:val="single" w:sz="4" w:space="0" w:color="BFBFBF"/>
            </w:tcBorders>
          </w:tcPr>
          <w:p>
            <w:pPr>
              <w:pStyle w:val="Normal"/>
              <w:spacing w:before="40" w:after="40"/>
              <w:rPr/>
            </w:pPr>
            <w:r>
              <w:rPr/>
              <w:t>0.31 (0.17–0.55), &lt; 0.001</w:t>
            </w:r>
          </w:p>
        </w:tc>
      </w:tr>
      <w:tr>
        <w:trPr/>
        <w:tc>
          <w:tcPr>
            <w:tcW w:w="3000" w:type="dxa"/>
            <w:tcBorders>
              <w:bottom w:val="single" w:sz="4" w:space="0" w:color="BFBFBF"/>
            </w:tcBorders>
          </w:tcPr>
          <w:p>
            <w:pPr>
              <w:pStyle w:val="Normal"/>
              <w:spacing w:before="40" w:after="40"/>
              <w:rPr/>
            </w:pPr>
            <w:r>
              <w:rPr/>
              <w:t>Female sex, n (%)</w:t>
            </w:r>
          </w:p>
        </w:tc>
        <w:tc>
          <w:tcPr>
            <w:tcW w:w="1800" w:type="dxa"/>
            <w:tcBorders>
              <w:bottom w:val="single" w:sz="4" w:space="0" w:color="BFBFBF"/>
            </w:tcBorders>
          </w:tcPr>
          <w:p>
            <w:pPr>
              <w:pStyle w:val="Normal"/>
              <w:spacing w:before="40" w:after="40"/>
              <w:rPr/>
            </w:pPr>
            <w:r>
              <w:rPr/>
              <w:t>55 (49.5)</w:t>
            </w:r>
          </w:p>
        </w:tc>
        <w:tc>
          <w:tcPr>
            <w:tcW w:w="1800" w:type="dxa"/>
            <w:tcBorders>
              <w:bottom w:val="single" w:sz="4" w:space="0" w:color="BFBFBF"/>
            </w:tcBorders>
          </w:tcPr>
          <w:p>
            <w:pPr>
              <w:pStyle w:val="Normal"/>
              <w:spacing w:before="40" w:after="40"/>
              <w:rPr/>
            </w:pPr>
            <w:r>
              <w:rPr/>
              <w:t>36 (19.8)</w:t>
            </w:r>
          </w:p>
        </w:tc>
        <w:tc>
          <w:tcPr>
            <w:tcW w:w="1100" w:type="dxa"/>
            <w:tcBorders>
              <w:bottom w:val="single" w:sz="4" w:space="0" w:color="BFBFBF"/>
            </w:tcBorders>
          </w:tcPr>
          <w:p>
            <w:pPr>
              <w:pStyle w:val="Normal"/>
              <w:spacing w:before="40" w:after="40"/>
              <w:rPr/>
            </w:pPr>
            <w:r>
              <w:rPr/>
              <w:t>&lt; 0.001</w:t>
            </w:r>
          </w:p>
        </w:tc>
        <w:tc>
          <w:tcPr>
            <w:tcW w:w="2300" w:type="dxa"/>
            <w:tcBorders>
              <w:bottom w:val="single" w:sz="4" w:space="0" w:color="BFBFBF"/>
            </w:tcBorders>
          </w:tcPr>
          <w:p>
            <w:pPr>
              <w:pStyle w:val="Normal"/>
              <w:spacing w:before="40" w:after="40"/>
              <w:rPr/>
            </w:pPr>
            <w:r>
              <w:rPr/>
              <w:t>0.37 (0.20–0.68), 0.001</w:t>
            </w:r>
          </w:p>
        </w:tc>
      </w:tr>
      <w:tr>
        <w:trPr/>
        <w:tc>
          <w:tcPr>
            <w:tcW w:w="3000" w:type="dxa"/>
            <w:tcBorders>
              <w:bottom w:val="single" w:sz="4" w:space="0" w:color="BFBFBF"/>
            </w:tcBorders>
          </w:tcPr>
          <w:p>
            <w:pPr>
              <w:pStyle w:val="Normal"/>
              <w:spacing w:before="40" w:after="40"/>
              <w:rPr/>
            </w:pPr>
            <w:r>
              <w:rPr/>
              <w:t>Short-axis diameter, mm (median, IQR)</w:t>
            </w:r>
          </w:p>
        </w:tc>
        <w:tc>
          <w:tcPr>
            <w:tcW w:w="1800" w:type="dxa"/>
            <w:tcBorders>
              <w:bottom w:val="single" w:sz="4" w:space="0" w:color="BFBFBF"/>
            </w:tcBorders>
          </w:tcPr>
          <w:p>
            <w:pPr>
              <w:pStyle w:val="Normal"/>
              <w:spacing w:before="40" w:after="40"/>
              <w:rPr/>
            </w:pPr>
            <w:r>
              <w:rPr/>
              <w:t>13 (10–16)</w:t>
            </w:r>
          </w:p>
        </w:tc>
        <w:tc>
          <w:tcPr>
            <w:tcW w:w="1800" w:type="dxa"/>
            <w:tcBorders>
              <w:bottom w:val="single" w:sz="4" w:space="0" w:color="BFBFBF"/>
            </w:tcBorders>
          </w:tcPr>
          <w:p>
            <w:pPr>
              <w:pStyle w:val="Normal"/>
              <w:spacing w:before="40" w:after="40"/>
              <w:rPr/>
            </w:pPr>
            <w:r>
              <w:rPr/>
              <w:t>17 (12–22)</w:t>
            </w:r>
          </w:p>
        </w:tc>
        <w:tc>
          <w:tcPr>
            <w:tcW w:w="1100" w:type="dxa"/>
            <w:tcBorders>
              <w:bottom w:val="single" w:sz="4" w:space="0" w:color="BFBFBF"/>
            </w:tcBorders>
          </w:tcPr>
          <w:p>
            <w:pPr>
              <w:pStyle w:val="Normal"/>
              <w:spacing w:before="40" w:after="40"/>
              <w:rPr/>
            </w:pPr>
            <w:r>
              <w:rPr/>
              <w:t>&lt; 0.001</w:t>
            </w:r>
          </w:p>
        </w:tc>
        <w:tc>
          <w:tcPr>
            <w:tcW w:w="2300" w:type="dxa"/>
            <w:tcBorders>
              <w:bottom w:val="single" w:sz="4" w:space="0" w:color="BFBFBF"/>
            </w:tcBorders>
          </w:tcPr>
          <w:p>
            <w:pPr>
              <w:pStyle w:val="Normal"/>
              <w:spacing w:before="40" w:after="40"/>
              <w:rPr/>
            </w:pPr>
            <w:r>
              <w:rPr/>
              <w:t>1.11 (1.05–1.17)ᵇ, &lt; 0.001</w:t>
            </w:r>
          </w:p>
        </w:tc>
      </w:tr>
      <w:tr>
        <w:trPr/>
        <w:tc>
          <w:tcPr>
            <w:tcW w:w="3000" w:type="dxa"/>
            <w:tcBorders>
              <w:bottom w:val="single" w:sz="4" w:space="0" w:color="BFBFBF"/>
            </w:tcBorders>
          </w:tcPr>
          <w:p>
            <w:pPr>
              <w:pStyle w:val="Normal"/>
              <w:spacing w:before="40" w:after="40"/>
              <w:rPr/>
            </w:pPr>
            <w:r>
              <w:rPr/>
              <w:t>Mean Hounsfield unit (median, IQR)</w:t>
            </w:r>
          </w:p>
        </w:tc>
        <w:tc>
          <w:tcPr>
            <w:tcW w:w="1800" w:type="dxa"/>
            <w:tcBorders>
              <w:bottom w:val="single" w:sz="4" w:space="0" w:color="BFBFBF"/>
            </w:tcBorders>
          </w:tcPr>
          <w:p>
            <w:pPr>
              <w:pStyle w:val="Normal"/>
              <w:spacing w:before="40" w:after="40"/>
              <w:rPr/>
            </w:pPr>
            <w:r>
              <w:rPr/>
              <w:t>42 (33–53)</w:t>
            </w:r>
          </w:p>
        </w:tc>
        <w:tc>
          <w:tcPr>
            <w:tcW w:w="1800" w:type="dxa"/>
            <w:tcBorders>
              <w:bottom w:val="single" w:sz="4" w:space="0" w:color="BFBFBF"/>
            </w:tcBorders>
          </w:tcPr>
          <w:p>
            <w:pPr>
              <w:pStyle w:val="Normal"/>
              <w:spacing w:before="40" w:after="40"/>
              <w:rPr/>
            </w:pPr>
            <w:r>
              <w:rPr/>
              <w:t>38 (32–45)</w:t>
            </w:r>
          </w:p>
        </w:tc>
        <w:tc>
          <w:tcPr>
            <w:tcW w:w="1100" w:type="dxa"/>
            <w:tcBorders>
              <w:bottom w:val="single" w:sz="4" w:space="0" w:color="BFBFBF"/>
            </w:tcBorders>
          </w:tcPr>
          <w:p>
            <w:pPr>
              <w:pStyle w:val="Normal"/>
              <w:spacing w:before="40" w:after="40"/>
              <w:rPr/>
            </w:pPr>
            <w:r>
              <w:rPr/>
              <w:t>0.022</w:t>
            </w:r>
          </w:p>
        </w:tc>
        <w:tc>
          <w:tcPr>
            <w:tcW w:w="2300" w:type="dxa"/>
            <w:tcBorders>
              <w:bottom w:val="single" w:sz="4" w:space="0" w:color="BFBFBF"/>
            </w:tcBorders>
          </w:tcPr>
          <w:p>
            <w:pPr>
              <w:pStyle w:val="Normal"/>
              <w:spacing w:before="40" w:after="40"/>
              <w:rPr/>
            </w:pPr>
            <w:r>
              <w:rPr/>
              <w:t>0.99 (0.98–1.00)ᶜ, 0.022</w:t>
            </w:r>
          </w:p>
        </w:tc>
      </w:tr>
      <w:tr>
        <w:trPr/>
        <w:tc>
          <w:tcPr>
            <w:tcW w:w="3000" w:type="dxa"/>
            <w:tcBorders>
              <w:bottom w:val="single" w:sz="8" w:space="0" w:color="000000"/>
            </w:tcBorders>
          </w:tcPr>
          <w:p>
            <w:pPr>
              <w:pStyle w:val="Normal"/>
              <w:spacing w:before="40" w:after="40"/>
              <w:rPr/>
            </w:pPr>
            <w:r>
              <w:rPr/>
              <w:t>SUVmax (median, IQR)</w:t>
            </w:r>
          </w:p>
        </w:tc>
        <w:tc>
          <w:tcPr>
            <w:tcW w:w="1800" w:type="dxa"/>
            <w:tcBorders>
              <w:bottom w:val="single" w:sz="8" w:space="0" w:color="000000"/>
            </w:tcBorders>
          </w:tcPr>
          <w:p>
            <w:pPr>
              <w:pStyle w:val="Normal"/>
              <w:spacing w:before="40" w:after="40"/>
              <w:rPr/>
            </w:pPr>
            <w:r>
              <w:rPr/>
              <w:t>5.69 (3.71–8.10)</w:t>
            </w:r>
          </w:p>
        </w:tc>
        <w:tc>
          <w:tcPr>
            <w:tcW w:w="1800" w:type="dxa"/>
            <w:tcBorders>
              <w:bottom w:val="single" w:sz="8" w:space="0" w:color="000000"/>
            </w:tcBorders>
          </w:tcPr>
          <w:p>
            <w:pPr>
              <w:pStyle w:val="Normal"/>
              <w:spacing w:before="40" w:after="40"/>
              <w:rPr/>
            </w:pPr>
            <w:r>
              <w:rPr/>
              <w:t>10.27 (6.39–14.49)</w:t>
            </w:r>
          </w:p>
        </w:tc>
        <w:tc>
          <w:tcPr>
            <w:tcW w:w="1100" w:type="dxa"/>
            <w:tcBorders>
              <w:bottom w:val="single" w:sz="8" w:space="0" w:color="000000"/>
            </w:tcBorders>
          </w:tcPr>
          <w:p>
            <w:pPr>
              <w:pStyle w:val="Normal"/>
              <w:spacing w:before="40" w:after="40"/>
              <w:rPr/>
            </w:pPr>
            <w:r>
              <w:rPr/>
              <w:t>&lt; 0.001</w:t>
            </w:r>
          </w:p>
        </w:tc>
        <w:tc>
          <w:tcPr>
            <w:tcW w:w="2300" w:type="dxa"/>
            <w:tcBorders>
              <w:bottom w:val="single" w:sz="8" w:space="0" w:color="000000"/>
            </w:tcBorders>
          </w:tcPr>
          <w:p>
            <w:pPr>
              <w:pStyle w:val="Normal"/>
              <w:spacing w:before="40" w:after="40"/>
              <w:rPr/>
            </w:pPr>
            <w:r>
              <w:rPr/>
              <w:t>1.18 (1.10–1.27)ᶜ, &lt; 0.001</w:t>
            </w:r>
          </w:p>
        </w:tc>
      </w:tr>
    </w:tbl>
    <w:p>
      <w:pPr>
        <w:pStyle w:val="Normal"/>
        <w:spacing w:before="0" w:after="80"/>
        <w:rPr/>
      </w:pPr>
      <w:r>
        <w:rPr/>
        <w:t>Discrimination of the five-predictor model in this subgroup: apparent AUC = 0.828, bootstrap bias-corrected AUC = 0.817; McFadden pseudo-R² = 0.258. All five predictors retained independent significance (p ≤ 0.022).</w:t>
      </w:r>
    </w:p>
    <w:p>
      <w:pPr>
        <w:pStyle w:val="Normal"/>
        <w:spacing w:before="0" w:after="80"/>
        <w:rPr/>
      </w:pPr>
      <w:r>
        <w:rPr/>
        <w:t>CI, confidence interval; HU, Hounsfield unit; OR, odds ratio; SUVmax, maximum standardized uptake value.</w:t>
      </w:r>
    </w:p>
    <w:p>
      <w:pPr>
        <w:pStyle w:val="Normal"/>
        <w:spacing w:before="0" w:after="80"/>
        <w:rPr/>
      </w:pPr>
      <w:r>
        <w:rPr/>
        <w:t>ᵃ Mann-Whitney U test for continuous variables; Pearson χ² test for categorical variables.</w:t>
      </w:r>
    </w:p>
    <w:p>
      <w:pPr>
        <w:pStyle w:val="Normal"/>
        <w:spacing w:before="0" w:after="80"/>
        <w:rPr/>
      </w:pPr>
      <w:r>
        <w:rPr/>
        <w:t>ᵇ Per 1 mm increment.</w:t>
      </w:r>
    </w:p>
    <w:p>
      <w:pPr>
        <w:pStyle w:val="Normal"/>
        <w:spacing w:before="0" w:after="80"/>
        <w:rPr/>
      </w:pPr>
      <w:r>
        <w:rPr/>
        <w:t>ᶜ Per 1 unit increment.</w:t>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0" w:after="80"/>
        <w:rPr/>
      </w:pPr>
      <w:r>
        <w:rPr/>
      </w:r>
    </w:p>
    <w:p>
      <w:pPr>
        <w:pStyle w:val="Normal"/>
        <w:spacing w:before="240" w:after="120"/>
        <w:rPr>
          <w:b/>
          <w:bCs/>
        </w:rPr>
      </w:pPr>
      <w:r>
        <w:rPr/>
        <w:drawing>
          <wp:inline distT="0" distB="0" distL="0" distR="0">
            <wp:extent cx="5937250" cy="3670300"/>
            <wp:effectExtent l="0" t="0" r="0" b="0"/>
            <wp:docPr id="1" name="Pictur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
                    <pic:cNvPicPr>
                      <a:picLocks noChangeAspect="1" noChangeArrowheads="1"/>
                    </pic:cNvPicPr>
                  </pic:nvPicPr>
                  <pic:blipFill>
                    <a:blip r:embed="rId2"/>
                    <a:stretch>
                      <a:fillRect/>
                    </a:stretch>
                  </pic:blipFill>
                  <pic:spPr bwMode="auto">
                    <a:xfrm>
                      <a:off x="0" y="0"/>
                      <a:ext cx="5937250" cy="3670300"/>
                    </a:xfrm>
                    <a:prstGeom prst="rect">
                      <a:avLst/>
                    </a:prstGeom>
                  </pic:spPr>
                </pic:pic>
              </a:graphicData>
            </a:graphic>
          </wp:inline>
        </w:drawing>
      </w:r>
    </w:p>
    <w:p>
      <w:pPr>
        <w:pStyle w:val="Normal"/>
        <w:spacing w:before="120" w:after="120"/>
        <w:rPr/>
      </w:pPr>
      <w:r>
        <w:rPr>
          <w:b/>
          <w:bCs/>
        </w:rPr>
        <w:t>Table S11 Sensitivity analysis restricting the malignant class to primary lung cancer (n = 294; 141 primary lung cancer, 153 benign).</w:t>
      </w:r>
    </w:p>
    <w:tbl>
      <w:tblPr>
        <w:tblW w:w="10000" w:type="dxa"/>
        <w:jc w:val="left"/>
        <w:tblInd w:w="0" w:type="dxa"/>
        <w:tblLayout w:type="fixed"/>
        <w:tblCellMar>
          <w:top w:w="80" w:type="dxa"/>
          <w:left w:w="100" w:type="dxa"/>
          <w:bottom w:w="80" w:type="dxa"/>
          <w:right w:w="100" w:type="dxa"/>
        </w:tblCellMar>
        <w:tblLook w:val="04a0" w:noHBand="0" w:noVBand="1" w:firstColumn="1" w:lastRow="0" w:lastColumn="0" w:firstRow="1"/>
      </w:tblPr>
      <w:tblGrid>
        <w:gridCol w:w="3800"/>
        <w:gridCol w:w="3100"/>
        <w:gridCol w:w="3100"/>
      </w:tblGrid>
      <w:tr>
        <w:trPr>
          <w:tblHeader w:val="true"/>
        </w:trPr>
        <w:tc>
          <w:tcPr>
            <w:tcW w:w="3800" w:type="dxa"/>
            <w:tcBorders>
              <w:top w:val="single" w:sz="8" w:space="0" w:color="000000"/>
              <w:bottom w:val="single" w:sz="8" w:space="0" w:color="000000"/>
            </w:tcBorders>
          </w:tcPr>
          <w:p>
            <w:pPr>
              <w:pStyle w:val="Normal"/>
              <w:spacing w:before="60" w:after="60"/>
              <w:rPr/>
            </w:pPr>
            <w:r>
              <w:rPr>
                <w:b/>
                <w:bCs/>
              </w:rPr>
              <w:t>Predictor</w:t>
            </w:r>
          </w:p>
        </w:tc>
        <w:tc>
          <w:tcPr>
            <w:tcW w:w="3100" w:type="dxa"/>
            <w:tcBorders>
              <w:top w:val="single" w:sz="8" w:space="0" w:color="000000"/>
              <w:bottom w:val="single" w:sz="8" w:space="0" w:color="000000"/>
            </w:tcBorders>
          </w:tcPr>
          <w:p>
            <w:pPr>
              <w:pStyle w:val="Normal"/>
              <w:spacing w:before="60" w:after="60"/>
              <w:rPr/>
            </w:pPr>
            <w:r>
              <w:rPr>
                <w:b/>
                <w:bCs/>
              </w:rPr>
              <w:t>Primary model (n = 337) aOR (95% CI), p</w:t>
            </w:r>
          </w:p>
        </w:tc>
        <w:tc>
          <w:tcPr>
            <w:tcW w:w="3100" w:type="dxa"/>
            <w:tcBorders>
              <w:top w:val="single" w:sz="8" w:space="0" w:color="000000"/>
              <w:bottom w:val="single" w:sz="8" w:space="0" w:color="000000"/>
            </w:tcBorders>
          </w:tcPr>
          <w:p>
            <w:pPr>
              <w:pStyle w:val="Normal"/>
              <w:spacing w:before="60" w:after="60"/>
              <w:rPr/>
            </w:pPr>
            <w:r>
              <w:rPr>
                <w:b/>
                <w:bCs/>
              </w:rPr>
              <w:t>Restricted model (n = 294) aOR (95% CI), p</w:t>
            </w:r>
          </w:p>
        </w:tc>
      </w:tr>
      <w:tr>
        <w:trPr/>
        <w:tc>
          <w:tcPr>
            <w:tcW w:w="3800" w:type="dxa"/>
            <w:tcBorders/>
          </w:tcPr>
          <w:p>
            <w:pPr>
              <w:pStyle w:val="Normal"/>
              <w:spacing w:before="60" w:after="60"/>
              <w:rPr/>
            </w:pPr>
            <w:r>
              <w:rPr/>
              <w:t>Female sex</w:t>
            </w:r>
          </w:p>
        </w:tc>
        <w:tc>
          <w:tcPr>
            <w:tcW w:w="3100" w:type="dxa"/>
            <w:tcBorders/>
          </w:tcPr>
          <w:p>
            <w:pPr>
              <w:pStyle w:val="Normal"/>
              <w:spacing w:before="60" w:after="60"/>
              <w:rPr/>
            </w:pPr>
            <w:r>
              <w:rPr/>
              <w:t>0.29 (0.17–0.49), &lt; 0.001</w:t>
            </w:r>
          </w:p>
        </w:tc>
        <w:tc>
          <w:tcPr>
            <w:tcW w:w="3100" w:type="dxa"/>
            <w:tcBorders/>
          </w:tcPr>
          <w:p>
            <w:pPr>
              <w:pStyle w:val="Normal"/>
              <w:spacing w:before="60" w:after="60"/>
              <w:rPr/>
            </w:pPr>
            <w:r>
              <w:rPr/>
              <w:t>0.22 (0.12–0.41), &lt; 0.001</w:t>
            </w:r>
          </w:p>
        </w:tc>
      </w:tr>
      <w:tr>
        <w:trPr/>
        <w:tc>
          <w:tcPr>
            <w:tcW w:w="3800" w:type="dxa"/>
            <w:tcBorders/>
          </w:tcPr>
          <w:p>
            <w:pPr>
              <w:pStyle w:val="Normal"/>
              <w:spacing w:before="60" w:after="60"/>
              <w:rPr/>
            </w:pPr>
            <w:r>
              <w:rPr/>
              <w:t>Age ≥ 65 years</w:t>
            </w:r>
          </w:p>
        </w:tc>
        <w:tc>
          <w:tcPr>
            <w:tcW w:w="3100" w:type="dxa"/>
            <w:tcBorders/>
          </w:tcPr>
          <w:p>
            <w:pPr>
              <w:pStyle w:val="Normal"/>
              <w:spacing w:before="60" w:after="60"/>
              <w:rPr/>
            </w:pPr>
            <w:r>
              <w:rPr/>
              <w:t>0.42 (0.25–0.70), 0.001</w:t>
            </w:r>
          </w:p>
        </w:tc>
        <w:tc>
          <w:tcPr>
            <w:tcW w:w="3100" w:type="dxa"/>
            <w:tcBorders/>
          </w:tcPr>
          <w:p>
            <w:pPr>
              <w:pStyle w:val="Normal"/>
              <w:spacing w:before="60" w:after="60"/>
              <w:rPr/>
            </w:pPr>
            <w:r>
              <w:rPr/>
              <w:t>0.54 (0.31–0.94), 0.030</w:t>
            </w:r>
          </w:p>
        </w:tc>
      </w:tr>
      <w:tr>
        <w:trPr/>
        <w:tc>
          <w:tcPr>
            <w:tcW w:w="3800" w:type="dxa"/>
            <w:tcBorders/>
          </w:tcPr>
          <w:p>
            <w:pPr>
              <w:pStyle w:val="Normal"/>
              <w:spacing w:before="60" w:after="60"/>
              <w:rPr/>
            </w:pPr>
            <w:r>
              <w:rPr/>
              <w:t>Short-axis diameter (per mm)</w:t>
            </w:r>
          </w:p>
        </w:tc>
        <w:tc>
          <w:tcPr>
            <w:tcW w:w="3100" w:type="dxa"/>
            <w:tcBorders/>
          </w:tcPr>
          <w:p>
            <w:pPr>
              <w:pStyle w:val="Normal"/>
              <w:spacing w:before="60" w:after="60"/>
              <w:rPr/>
            </w:pPr>
            <w:r>
              <w:rPr/>
              <w:t>1.05 (1.02–1.10), 0.006</w:t>
            </w:r>
          </w:p>
        </w:tc>
        <w:tc>
          <w:tcPr>
            <w:tcW w:w="3100" w:type="dxa"/>
            <w:tcBorders/>
          </w:tcPr>
          <w:p>
            <w:pPr>
              <w:pStyle w:val="Normal"/>
              <w:spacing w:before="60" w:after="60"/>
              <w:rPr/>
            </w:pPr>
            <w:r>
              <w:rPr/>
              <w:t>1.05 (1.01–1.09), 0.024</w:t>
            </w:r>
          </w:p>
        </w:tc>
      </w:tr>
      <w:tr>
        <w:trPr/>
        <w:tc>
          <w:tcPr>
            <w:tcW w:w="3800" w:type="dxa"/>
            <w:tcBorders/>
          </w:tcPr>
          <w:p>
            <w:pPr>
              <w:pStyle w:val="Normal"/>
              <w:spacing w:before="60" w:after="60"/>
              <w:rPr/>
            </w:pPr>
            <w:r>
              <w:rPr/>
              <w:t>Mean Hounsfield unit (per unit)</w:t>
            </w:r>
          </w:p>
        </w:tc>
        <w:tc>
          <w:tcPr>
            <w:tcW w:w="3100" w:type="dxa"/>
            <w:tcBorders/>
          </w:tcPr>
          <w:p>
            <w:pPr>
              <w:pStyle w:val="Normal"/>
              <w:spacing w:before="60" w:after="60"/>
              <w:rPr/>
            </w:pPr>
            <w:r>
              <w:rPr/>
              <w:t>0.988 (0.978–0.999), 0.031</w:t>
            </w:r>
          </w:p>
        </w:tc>
        <w:tc>
          <w:tcPr>
            <w:tcW w:w="3100" w:type="dxa"/>
            <w:tcBorders/>
          </w:tcPr>
          <w:p>
            <w:pPr>
              <w:pStyle w:val="Normal"/>
              <w:spacing w:before="60" w:after="60"/>
              <w:rPr/>
            </w:pPr>
            <w:r>
              <w:rPr/>
              <w:t>0.97 (0.96–0.99), 0.007</w:t>
            </w:r>
          </w:p>
        </w:tc>
      </w:tr>
      <w:tr>
        <w:trPr/>
        <w:tc>
          <w:tcPr>
            <w:tcW w:w="3800" w:type="dxa"/>
            <w:tcBorders/>
          </w:tcPr>
          <w:p>
            <w:pPr>
              <w:pStyle w:val="Normal"/>
              <w:spacing w:before="60" w:after="60"/>
              <w:rPr/>
            </w:pPr>
            <w:r>
              <w:rPr/>
              <w:t>SUVmax (per unit)</w:t>
            </w:r>
          </w:p>
        </w:tc>
        <w:tc>
          <w:tcPr>
            <w:tcW w:w="3100" w:type="dxa"/>
            <w:tcBorders/>
          </w:tcPr>
          <w:p>
            <w:pPr>
              <w:pStyle w:val="Normal"/>
              <w:spacing w:before="60" w:after="60"/>
              <w:rPr/>
            </w:pPr>
            <w:r>
              <w:rPr/>
              <w:t>1.16 (1.09–1.23), &lt; 0.001</w:t>
            </w:r>
          </w:p>
        </w:tc>
        <w:tc>
          <w:tcPr>
            <w:tcW w:w="3100" w:type="dxa"/>
            <w:tcBorders/>
          </w:tcPr>
          <w:p>
            <w:pPr>
              <w:pStyle w:val="Normal"/>
              <w:spacing w:before="60" w:after="60"/>
              <w:rPr/>
            </w:pPr>
            <w:r>
              <w:rPr/>
              <w:t>1.17 (1.09–1.25), &lt; 0.001</w:t>
            </w:r>
          </w:p>
        </w:tc>
      </w:tr>
      <w:tr>
        <w:trPr/>
        <w:tc>
          <w:tcPr>
            <w:tcW w:w="3800" w:type="dxa"/>
            <w:tcBorders/>
          </w:tcPr>
          <w:p>
            <w:pPr>
              <w:pStyle w:val="Normal"/>
              <w:spacing w:before="60" w:after="60"/>
              <w:rPr/>
            </w:pPr>
            <w:r>
              <w:rPr/>
              <w:t>Apparent AUC</w:t>
            </w:r>
          </w:p>
        </w:tc>
        <w:tc>
          <w:tcPr>
            <w:tcW w:w="3100" w:type="dxa"/>
            <w:tcBorders/>
          </w:tcPr>
          <w:p>
            <w:pPr>
              <w:pStyle w:val="Normal"/>
              <w:spacing w:before="60" w:after="60"/>
              <w:rPr/>
            </w:pPr>
            <w:r>
              <w:rPr/>
              <w:t>0.813</w:t>
            </w:r>
          </w:p>
        </w:tc>
        <w:tc>
          <w:tcPr>
            <w:tcW w:w="3100" w:type="dxa"/>
            <w:tcBorders/>
          </w:tcPr>
          <w:p>
            <w:pPr>
              <w:pStyle w:val="Normal"/>
              <w:spacing w:before="60" w:after="60"/>
              <w:rPr/>
            </w:pPr>
            <w:r>
              <w:rPr/>
              <w:t>0.829</w:t>
            </w:r>
          </w:p>
        </w:tc>
      </w:tr>
      <w:tr>
        <w:trPr/>
        <w:tc>
          <w:tcPr>
            <w:tcW w:w="3800" w:type="dxa"/>
            <w:tcBorders/>
          </w:tcPr>
          <w:p>
            <w:pPr>
              <w:pStyle w:val="Normal"/>
              <w:spacing w:before="60" w:after="60"/>
              <w:rPr/>
            </w:pPr>
            <w:r>
              <w:rPr/>
              <w:t>Bootstrap bias-corrected AUC</w:t>
            </w:r>
          </w:p>
        </w:tc>
        <w:tc>
          <w:tcPr>
            <w:tcW w:w="3100" w:type="dxa"/>
            <w:tcBorders/>
          </w:tcPr>
          <w:p>
            <w:pPr>
              <w:pStyle w:val="Normal"/>
              <w:spacing w:before="60" w:after="60"/>
              <w:rPr/>
            </w:pPr>
            <w:r>
              <w:rPr/>
              <w:t>0.803</w:t>
            </w:r>
          </w:p>
        </w:tc>
        <w:tc>
          <w:tcPr>
            <w:tcW w:w="3100" w:type="dxa"/>
            <w:tcBorders/>
          </w:tcPr>
          <w:p>
            <w:pPr>
              <w:pStyle w:val="Normal"/>
              <w:spacing w:before="60" w:after="60"/>
              <w:rPr/>
            </w:pPr>
            <w:r>
              <w:rPr/>
              <w:t>0.818</w:t>
            </w:r>
          </w:p>
        </w:tc>
      </w:tr>
      <w:tr>
        <w:trPr/>
        <w:tc>
          <w:tcPr>
            <w:tcW w:w="3800" w:type="dxa"/>
            <w:tcBorders/>
          </w:tcPr>
          <w:p>
            <w:pPr>
              <w:pStyle w:val="Normal"/>
              <w:spacing w:before="60" w:after="60"/>
              <w:rPr/>
            </w:pPr>
            <w:r>
              <w:rPr/>
              <w:t>Hosmer–Lemeshow p</w:t>
            </w:r>
          </w:p>
        </w:tc>
        <w:tc>
          <w:tcPr>
            <w:tcW w:w="3100" w:type="dxa"/>
            <w:tcBorders/>
          </w:tcPr>
          <w:p>
            <w:pPr>
              <w:pStyle w:val="Normal"/>
              <w:spacing w:before="60" w:after="60"/>
              <w:rPr/>
            </w:pPr>
            <w:r>
              <w:rPr/>
              <w:t>0.420</w:t>
            </w:r>
          </w:p>
        </w:tc>
        <w:tc>
          <w:tcPr>
            <w:tcW w:w="3100" w:type="dxa"/>
            <w:tcBorders/>
          </w:tcPr>
          <w:p>
            <w:pPr>
              <w:pStyle w:val="Normal"/>
              <w:spacing w:before="60" w:after="60"/>
              <w:rPr/>
            </w:pPr>
            <w:r>
              <w:rPr/>
              <w:t>0.031</w:t>
            </w:r>
          </w:p>
        </w:tc>
      </w:tr>
      <w:tr>
        <w:trPr/>
        <w:tc>
          <w:tcPr>
            <w:tcW w:w="3800" w:type="dxa"/>
            <w:tcBorders/>
          </w:tcPr>
          <w:p>
            <w:pPr>
              <w:pStyle w:val="Normal"/>
              <w:spacing w:before="60" w:after="60"/>
              <w:rPr/>
            </w:pPr>
            <w:r>
              <w:rPr/>
              <w:t>Bias-corrected calibration slope</w:t>
            </w:r>
          </w:p>
        </w:tc>
        <w:tc>
          <w:tcPr>
            <w:tcW w:w="3100" w:type="dxa"/>
            <w:tcBorders/>
          </w:tcPr>
          <w:p>
            <w:pPr>
              <w:pStyle w:val="Normal"/>
              <w:spacing w:before="60" w:after="60"/>
              <w:rPr/>
            </w:pPr>
            <w:r>
              <w:rPr/>
              <w:t>0.913</w:t>
            </w:r>
          </w:p>
        </w:tc>
        <w:tc>
          <w:tcPr>
            <w:tcW w:w="3100" w:type="dxa"/>
            <w:tcBorders/>
          </w:tcPr>
          <w:p>
            <w:pPr>
              <w:pStyle w:val="Normal"/>
              <w:spacing w:before="60" w:after="60"/>
              <w:rPr/>
            </w:pPr>
            <w:r>
              <w:rPr/>
              <w:t>0.924</w:t>
            </w:r>
          </w:p>
        </w:tc>
      </w:tr>
      <w:tr>
        <w:trPr/>
        <w:tc>
          <w:tcPr>
            <w:tcW w:w="3800" w:type="dxa"/>
            <w:tcBorders>
              <w:bottom w:val="single" w:sz="8" w:space="0" w:color="000000"/>
            </w:tcBorders>
          </w:tcPr>
          <w:p>
            <w:pPr>
              <w:pStyle w:val="Normal"/>
              <w:spacing w:before="60" w:after="60"/>
              <w:rPr/>
            </w:pPr>
            <w:r>
              <w:rPr/>
              <w:t>Brier score</w:t>
            </w:r>
          </w:p>
        </w:tc>
        <w:tc>
          <w:tcPr>
            <w:tcW w:w="3100" w:type="dxa"/>
            <w:tcBorders>
              <w:bottom w:val="single" w:sz="8" w:space="0" w:color="000000"/>
            </w:tcBorders>
          </w:tcPr>
          <w:p>
            <w:pPr>
              <w:pStyle w:val="Normal"/>
              <w:spacing w:before="60" w:after="60"/>
              <w:rPr/>
            </w:pPr>
            <w:r>
              <w:rPr/>
              <w:t>0.176</w:t>
            </w:r>
          </w:p>
        </w:tc>
        <w:tc>
          <w:tcPr>
            <w:tcW w:w="3100" w:type="dxa"/>
            <w:tcBorders>
              <w:bottom w:val="single" w:sz="8" w:space="0" w:color="000000"/>
            </w:tcBorders>
          </w:tcPr>
          <w:p>
            <w:pPr>
              <w:pStyle w:val="Normal"/>
              <w:spacing w:before="60" w:after="60"/>
              <w:rPr/>
            </w:pPr>
            <w:r>
              <w:rPr/>
              <w:t>0.168</w:t>
            </w:r>
          </w:p>
        </w:tc>
      </w:tr>
    </w:tbl>
    <w:p>
      <w:pPr>
        <w:pStyle w:val="Normal"/>
        <w:spacing w:before="120" w:after="120"/>
        <w:rPr/>
      </w:pPr>
      <w:r>
        <w:rPr/>
        <w:t>Malignant class restricted to primary lung cancer (n = 141: squamous 44, adenocarcinoma 45, small cell 27, NSCLC NOS 18, sarcomatoid 7). Excluded were neuroendocrine tumors (n = 10), hematological malignancies (n = 9), extrapulmonary metastases (n = 22) and two malignancies without a definitive subtype. The benign group (n = 153) was unchanged. Internal validation used 1,000-iteration bootstrap optimism correction. The analysis tests the stability of the coefficients; the restricted model is not proposed as a recalibrated alternative. The Hosmer–Lemeshow test was significant in the restricted model (p = 0.031), while the bias-corrected calibration slope stayed close to unity (0.924). This test is sensitive to grouping at this sample size, and all calibration metrics are reported for both models. The mean HU coefficient in the primary model is reported to three decimal places because the per-unit odds ratio lies close to unity.</w:t>
      </w:r>
    </w:p>
    <w:p>
      <w:pPr>
        <w:pStyle w:val="Normal"/>
        <w:spacing w:before="120" w:after="120"/>
        <w:rPr/>
      </w:pPr>
      <w:r>
        <w:rPr/>
        <w:t>aOR, adjusted odds ratio; AUC, area under the curve; CI, confidence interval; NSCLC, non-small-cell lung carcinoma; SUVmax, maximum standardized uptake value.</w:t>
      </w:r>
    </w:p>
    <w:p>
      <w:pPr>
        <w:pStyle w:val="Normal"/>
        <w:spacing w:before="240" w:after="120"/>
        <w:rPr/>
      </w:pPr>
      <w:r>
        <w:rPr>
          <w:b/>
          <w:bCs/>
        </w:rPr>
        <w:t>Figure S1</w:t>
      </w:r>
      <w:r>
        <w:rPr/>
        <w:t xml:space="preserve"> Comparison of age functional forms on predicted log-odds of malignancy.</w:t>
      </w:r>
    </w:p>
    <w:p>
      <w:pPr>
        <w:pStyle w:val="Normal"/>
        <w:spacing w:before="0" w:after="120"/>
        <w:rPr/>
      </w:pPr>
      <w:r>
        <w:rPr/>
        <w:t>Predicted log-odds of malignancy as a function of age, holding female sex at zero (male) and short-axis diameter, mean HU value, and SUVmax at their cohort medians. Three formulations are overlaid: the dichotomized model used in the principal analysis (≥ 65 years; blue solid line, step function), continuous linear age (orange dashed line), and a 3-knot restricted cubic spline (green dash-dotted line). The vertical grey line marks the dichotomization threshold of 65 years. The three curves diverge minimally over the clinically relevant age range, supporting the equivalence of the formulations and the retention of the dichotomized model for nomogram interpretability.</w:t>
      </w:r>
    </w:p>
    <w:p>
      <w:pPr>
        <w:pStyle w:val="Normal"/>
        <w:spacing w:before="0" w:after="80"/>
        <w:rPr/>
      </w:pPr>
      <w:r>
        <w:rPr/>
        <w:t>HU, Hounsfield unit; RCS, restricted cubic spline; SUVmax, maximum standardized uptake value.</w:t>
      </w:r>
    </w:p>
    <w:sectPr>
      <w:type w:val="nextPage"/>
      <w:pgSz w:w="12240" w:h="15840"/>
      <w:pgMar w:left="1440" w:right="1440" w:gutter="0" w:header="0" w:top="1440" w:footer="0" w:bottom="144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0"/>
      <w:jc w:val="left"/>
    </w:pPr>
    <w:rPr>
      <w:rFonts w:ascii="Times New Roman" w:hAnsi="Times New Roman" w:eastAsia="Times New Roman" w:cs="Times New Roman"/>
      <w:color w:val="auto"/>
      <w:kern w:val="0"/>
      <w:sz w:val="20"/>
      <w:szCs w:val="20"/>
      <w:lang w:val="en-US" w:eastAsia="en-US" w:bidi="ar-SA"/>
    </w:rPr>
  </w:style>
  <w:style w:type="paragraph" w:styleId="Heading1">
    <w:name w:val="Heading 1"/>
    <w:uiPriority w:val="9"/>
    <w:qFormat/>
    <w:pPr>
      <w:widowControl/>
      <w:bidi w:val="0"/>
      <w:spacing w:before="0" w:after="0"/>
      <w:jc w:val="left"/>
      <w:outlineLvl w:val="0"/>
    </w:pPr>
    <w:rPr>
      <w:rFonts w:ascii="Times New Roman" w:hAnsi="Times New Roman" w:eastAsia="Times New Roman" w:cs="Times New Roman"/>
      <w:color w:val="2E74B5"/>
      <w:kern w:val="0"/>
      <w:sz w:val="32"/>
      <w:szCs w:val="32"/>
      <w:lang w:val="en-US" w:eastAsia="en-US" w:bidi="ar-SA"/>
    </w:rPr>
  </w:style>
  <w:style w:type="paragraph" w:styleId="Heading2">
    <w:name w:val="Heading 2"/>
    <w:uiPriority w:val="9"/>
    <w:semiHidden/>
    <w:unhideWhenUsed/>
    <w:qFormat/>
    <w:pPr>
      <w:widowControl/>
      <w:bidi w:val="0"/>
      <w:spacing w:before="0" w:after="0"/>
      <w:jc w:val="left"/>
      <w:outlineLvl w:val="1"/>
    </w:pPr>
    <w:rPr>
      <w:rFonts w:ascii="Times New Roman" w:hAnsi="Times New Roman" w:eastAsia="Times New Roman" w:cs="Times New Roman"/>
      <w:color w:val="2E74B5"/>
      <w:kern w:val="0"/>
      <w:sz w:val="26"/>
      <w:szCs w:val="26"/>
      <w:lang w:val="en-US" w:eastAsia="en-US" w:bidi="ar-SA"/>
    </w:rPr>
  </w:style>
  <w:style w:type="paragraph" w:styleId="Heading3">
    <w:name w:val="Heading 3"/>
    <w:uiPriority w:val="9"/>
    <w:semiHidden/>
    <w:unhideWhenUsed/>
    <w:qFormat/>
    <w:pPr>
      <w:widowControl/>
      <w:bidi w:val="0"/>
      <w:spacing w:before="0" w:after="0"/>
      <w:jc w:val="left"/>
      <w:outlineLvl w:val="2"/>
    </w:pPr>
    <w:rPr>
      <w:rFonts w:ascii="Times New Roman" w:hAnsi="Times New Roman" w:eastAsia="Times New Roman" w:cs="Times New Roman"/>
      <w:color w:val="1F4D78"/>
      <w:kern w:val="0"/>
      <w:sz w:val="24"/>
      <w:szCs w:val="24"/>
      <w:lang w:val="en-US" w:eastAsia="en-US" w:bidi="ar-SA"/>
    </w:rPr>
  </w:style>
  <w:style w:type="paragraph" w:styleId="Heading4">
    <w:name w:val="Heading 4"/>
    <w:uiPriority w:val="9"/>
    <w:semiHidden/>
    <w:unhideWhenUsed/>
    <w:qFormat/>
    <w:pPr>
      <w:widowControl/>
      <w:bidi w:val="0"/>
      <w:spacing w:before="0" w:after="0"/>
      <w:jc w:val="left"/>
      <w:outlineLvl w:val="3"/>
    </w:pPr>
    <w:rPr>
      <w:rFonts w:ascii="Times New Roman" w:hAnsi="Times New Roman" w:eastAsia="Times New Roman" w:cs="Times New Roman"/>
      <w:i/>
      <w:iCs/>
      <w:color w:val="2E74B5"/>
      <w:kern w:val="0"/>
      <w:sz w:val="20"/>
      <w:szCs w:val="20"/>
      <w:lang w:val="en-US" w:eastAsia="en-US" w:bidi="ar-SA"/>
    </w:rPr>
  </w:style>
  <w:style w:type="paragraph" w:styleId="Heading5">
    <w:name w:val="Heading 5"/>
    <w:uiPriority w:val="9"/>
    <w:semiHidden/>
    <w:unhideWhenUsed/>
    <w:qFormat/>
    <w:pPr>
      <w:widowControl/>
      <w:bidi w:val="0"/>
      <w:spacing w:before="0" w:after="0"/>
      <w:jc w:val="left"/>
      <w:outlineLvl w:val="4"/>
    </w:pPr>
    <w:rPr>
      <w:rFonts w:ascii="Times New Roman" w:hAnsi="Times New Roman" w:eastAsia="Times New Roman" w:cs="Times New Roman"/>
      <w:color w:val="2E74B5"/>
      <w:kern w:val="0"/>
      <w:sz w:val="20"/>
      <w:szCs w:val="20"/>
      <w:lang w:val="en-US" w:eastAsia="en-US" w:bidi="ar-SA"/>
    </w:rPr>
  </w:style>
  <w:style w:type="paragraph" w:styleId="Heading6">
    <w:name w:val="Heading 6"/>
    <w:uiPriority w:val="9"/>
    <w:semiHidden/>
    <w:unhideWhenUsed/>
    <w:qFormat/>
    <w:pPr>
      <w:widowControl/>
      <w:bidi w:val="0"/>
      <w:spacing w:before="0" w:after="0"/>
      <w:jc w:val="left"/>
      <w:outlineLvl w:val="5"/>
    </w:pPr>
    <w:rPr>
      <w:rFonts w:ascii="Times New Roman" w:hAnsi="Times New Roman" w:eastAsia="Times New Roman" w:cs="Times New Roman"/>
      <w:color w:val="1F4D78"/>
      <w:kern w:val="0"/>
      <w:sz w:val="20"/>
      <w:szCs w:val="20"/>
      <w:lang w:val="en-US" w:eastAsia="en-US" w:bidi="ar-SA"/>
    </w:rPr>
  </w:style>
  <w:style w:type="character" w:styleId="DefaultParagraphFont" w:default="1">
    <w:name w:val="Default Paragraph Font"/>
    <w:uiPriority w:val="1"/>
    <w:semiHidden/>
    <w:unhideWhenUsed/>
    <w:qFormat/>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customStyle="1">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customStyle="1">
    <w:name w:val="Endnote Text Char"/>
    <w:link w:val="EndnoteText"/>
    <w:uiPriority w:val="99"/>
    <w:semiHidden/>
    <w:unhideWhenUsed/>
    <w:qFormat/>
    <w:rPr>
      <w:sz w:val="20"/>
      <w:szCs w:val="20"/>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Title">
    <w:name w:val="Title"/>
    <w:uiPriority w:val="10"/>
    <w:qFormat/>
    <w:pPr>
      <w:widowControl/>
      <w:bidi w:val="0"/>
      <w:spacing w:before="0" w:after="0"/>
      <w:jc w:val="left"/>
    </w:pPr>
    <w:rPr>
      <w:rFonts w:ascii="Times New Roman" w:hAnsi="Times New Roman" w:eastAsia="Times New Roman" w:cs="Times New Roman"/>
      <w:color w:val="auto"/>
      <w:kern w:val="0"/>
      <w:sz w:val="56"/>
      <w:szCs w:val="56"/>
      <w:lang w:val="en-US" w:eastAsia="en-US" w:bidi="ar-SA"/>
    </w:rPr>
  </w:style>
  <w:style w:type="paragraph" w:styleId="Strong1" w:customStyle="1">
    <w:name w:val="Strong1"/>
    <w:qFormat/>
    <w:pPr>
      <w:widowControl/>
      <w:bidi w:val="0"/>
      <w:spacing w:before="0" w:after="0"/>
      <w:jc w:val="left"/>
    </w:pPr>
    <w:rPr>
      <w:rFonts w:ascii="Times New Roman" w:hAnsi="Times New Roman" w:eastAsia="Times New Roman" w:cs="Times New Roman"/>
      <w:b/>
      <w:bCs/>
      <w:color w:val="auto"/>
      <w:kern w:val="0"/>
      <w:sz w:val="20"/>
      <w:szCs w:val="20"/>
      <w:lang w:val="en-US" w:eastAsia="en-US" w:bidi="ar-SA"/>
    </w:rPr>
  </w:style>
  <w:style w:type="paragraph" w:styleId="ListParagraph">
    <w:name w:val="List Paragraph"/>
    <w:qFormat/>
    <w:pPr>
      <w:widowControl/>
      <w:bidi w:val="0"/>
      <w:spacing w:before="0" w:after="0"/>
      <w:jc w:val="left"/>
    </w:pPr>
    <w:rPr>
      <w:rFonts w:ascii="Times New Roman" w:hAnsi="Times New Roman" w:eastAsia="Times New Roman" w:cs="Times New Roman"/>
      <w:color w:val="auto"/>
      <w:kern w:val="0"/>
      <w:sz w:val="20"/>
      <w:szCs w:val="20"/>
      <w:lang w:val="en-US" w:eastAsia="en-US" w:bidi="ar-SA"/>
    </w:rPr>
  </w:style>
  <w:style w:type="paragraph" w:styleId="FootnoteText">
    <w:name w:val="Footnote Text"/>
    <w:link w:val="FootnoteTextChar"/>
    <w:uiPriority w:val="99"/>
    <w:semiHidden/>
    <w:unhideWhenUsed/>
    <w:pPr>
      <w:widowControl/>
      <w:bidi w:val="0"/>
      <w:spacing w:before="0" w:after="0"/>
      <w:jc w:val="left"/>
    </w:pPr>
    <w:rPr>
      <w:rFonts w:ascii="Times New Roman" w:hAnsi="Times New Roman" w:eastAsia="Times New Roman" w:cs="Times New Roman"/>
      <w:color w:val="auto"/>
      <w:kern w:val="0"/>
      <w:sz w:val="20"/>
      <w:szCs w:val="20"/>
      <w:lang w:val="en-US" w:eastAsia="en-US" w:bidi="ar-SA"/>
    </w:rPr>
  </w:style>
  <w:style w:type="paragraph" w:styleId="EndnoteText">
    <w:name w:val="Endnote Text"/>
    <w:link w:val="EndnoteTextChar"/>
    <w:uiPriority w:val="99"/>
    <w:semiHidden/>
    <w:unhideWhenUsed/>
    <w:pPr>
      <w:widowControl/>
      <w:bidi w:val="0"/>
      <w:spacing w:before="0" w:after="0"/>
      <w:jc w:val="left"/>
    </w:pPr>
    <w:rPr>
      <w:rFonts w:ascii="Times New Roman" w:hAnsi="Times New Roman" w:eastAsia="Times New Roman" w:cs="Times New Roman"/>
      <w:color w:val="auto"/>
      <w:kern w:val="0"/>
      <w:sz w:val="20"/>
      <w:szCs w:val="20"/>
      <w:lang w:val="en-US"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TotalTime>
  <Application>LibreOffice/24.2.7.2$Linux_X86_64 LibreOffice_project/420$Build-2</Application>
  <AppVersion>15.0000</AppVersion>
  <Pages>15</Pages>
  <Words>793</Words>
  <Characters>4345</Characters>
  <CharactersWithSpaces>5001</CharactersWithSpaces>
  <Paragraphs>102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2026-05-09T23:07:00Z</dcterms:created>
  <dc:creator>Un-named</dc:creator>
  <dc:description/>
  <dc:language>en-US</dc:language>
  <cp:lastModifiedBy/>
  <dcterms:modified xsi:type="dcterms:W3CDTF">2026-07-20T21:51:03Z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