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EC578">
      <w:pPr>
        <w:spacing w:after="120"/>
        <w:jc w:val="left"/>
      </w:pPr>
      <w:r>
        <w:rPr>
          <w:rFonts w:ascii="Times New Roman" w:hAnsi="Times New Roman" w:eastAsia="Times New Roman"/>
          <w:b/>
          <w:sz w:val="22"/>
        </w:rPr>
        <w:t>Table S3. Salvage treatment and post-progression outcomes among patients with documented progression or relapse (n = 16)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3564"/>
        <w:gridCol w:w="3564"/>
        <w:gridCol w:w="3564"/>
      </w:tblGrid>
      <w:tr w14:paraId="57476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564" w:type="dxa"/>
            <w:tcBorders>
              <w:top w:val="single" w:color="000000" w:sz="10" w:space="0"/>
              <w:left w:val="single" w:color="808080" w:sz="4" w:space="0"/>
              <w:bottom w:val="single" w:color="000000" w:sz="8" w:space="0"/>
              <w:right w:val="single" w:color="808080" w:sz="4" w:space="0"/>
            </w:tcBorders>
            <w:shd w:val="clear" w:color="auto" w:fill="D9E1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CAA4C9"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Post-progression outcome</w:t>
            </w:r>
          </w:p>
        </w:tc>
        <w:tc>
          <w:tcPr>
            <w:tcW w:w="3564" w:type="dxa"/>
            <w:tcBorders>
              <w:top w:val="single" w:color="000000" w:sz="10" w:space="0"/>
              <w:left w:val="single" w:color="808080" w:sz="4" w:space="0"/>
              <w:bottom w:val="single" w:color="000000" w:sz="8" w:space="0"/>
              <w:right w:val="single" w:color="808080" w:sz="4" w:space="0"/>
            </w:tcBorders>
            <w:shd w:val="clear" w:color="auto" w:fill="D9E1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3350C0"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No. (%)</w:t>
            </w:r>
          </w:p>
        </w:tc>
        <w:tc>
          <w:tcPr>
            <w:tcW w:w="3564" w:type="dxa"/>
            <w:tcBorders>
              <w:top w:val="single" w:color="000000" w:sz="10" w:space="0"/>
              <w:left w:val="single" w:color="808080" w:sz="4" w:space="0"/>
              <w:bottom w:val="single" w:color="000000" w:sz="8" w:space="0"/>
              <w:right w:val="single" w:color="808080" w:sz="4" w:space="0"/>
            </w:tcBorders>
            <w:shd w:val="clear" w:color="auto" w:fill="D9E1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F76FA9"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Documented salvage treatment or subsequent clinical course</w:t>
            </w:r>
          </w:p>
        </w:tc>
        <w:tc>
          <w:tcPr>
            <w:tcW w:w="3564" w:type="dxa"/>
            <w:tcBorders>
              <w:top w:val="single" w:color="000000" w:sz="10" w:space="0"/>
              <w:left w:val="single" w:color="808080" w:sz="4" w:space="0"/>
              <w:bottom w:val="single" w:color="000000" w:sz="8" w:space="0"/>
              <w:right w:val="single" w:color="808080" w:sz="4" w:space="0"/>
            </w:tcBorders>
            <w:shd w:val="clear" w:color="auto" w:fill="D9E1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B31C24"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Status at the February 2026 data cutoff</w:t>
            </w:r>
          </w:p>
        </w:tc>
      </w:tr>
      <w:tr w14:paraId="1B7D4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52B72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Complete remission after salvage treatment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A8DF1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2 (12.5%)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82310A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Individualized salvage treatment was administered. Documented cohort-level approaches included repeat surgery, radiotherapy or additional radiotherapy, ACNS0333-based chemotherapy, and other chemotherapy regimens administered at outside institutions.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179F9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Alive without active disease</w:t>
            </w:r>
          </w:p>
        </w:tc>
      </w:tr>
      <w:tr w14:paraId="2D33D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AD0E45">
            <w:pPr>
              <w:spacing w:before="0" w:after="0" w:line="240" w:lineRule="auto"/>
              <w:jc w:val="left"/>
            </w:pPr>
            <w:bookmarkStart w:id="0" w:name="_GoBack"/>
            <w:bookmarkEnd w:id="0"/>
            <w:r>
              <w:rPr>
                <w:rFonts w:ascii="Times New Roman" w:hAnsi="Times New Roman" w:eastAsia="Times New Roman"/>
                <w:sz w:val="16"/>
              </w:rPr>
              <w:t xml:space="preserve">    Stable disease after retreatment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59D88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2 (12.5%)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6B66E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Disease remained radiologically stable after individualized retreatment.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AC090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Alive with stable disease</w:t>
            </w:r>
          </w:p>
        </w:tc>
      </w:tr>
      <w:tr w14:paraId="5FC55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1609C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 xml:space="preserve">    Other active disease / ongoing treatment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4125E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2 (12.5%)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BA40D2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Active disease remained present; treatment and response details were incompletely documented for some externally treated patients.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EBA7F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Alive with active disease</w:t>
            </w:r>
          </w:p>
        </w:tc>
      </w:tr>
      <w:tr w14:paraId="12A02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ABBAC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Lost to follow-up after progression or relapse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4B886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2 (12.5%)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BC727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The subsequent treatment course and final disease response could not be completely reconstructed after the last documented assessment.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1B0E1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Lost to follow-up</w:t>
            </w:r>
          </w:p>
        </w:tc>
      </w:tr>
      <w:tr w14:paraId="0F26B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D5B02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Died after progression or relapse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B634B2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8 (50.0%)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DBD0C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Seven deaths were attributed to progressive or recurrent AT/RT. One treatment-related death occurred after salvage chemotherapy.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2EEF9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Died</w:t>
            </w:r>
          </w:p>
        </w:tc>
      </w:tr>
      <w:tr w14:paraId="30C00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4F1FD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 xml:space="preserve">    Disease-related death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31E4BC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7 (43.8% of the 16 patients; 87.5% of deaths)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87DDB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Death was attributed to progressive or recurrent AT/RT.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5AAA7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Died from disease progression or recurrence</w:t>
            </w:r>
          </w:p>
        </w:tc>
      </w:tr>
      <w:tr w14:paraId="3F063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AF500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 xml:space="preserve">    Treatment-related death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D2F05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 (6.3% of the 16 patients; 12.5% of deaths)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5EE12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Patient 7 developed fatal fungal pneumonia after salvage chemotherapy for recurrent disease.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F4A56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Died from a treatment-related infectious complication</w:t>
            </w:r>
          </w:p>
        </w:tc>
      </w:tr>
      <w:tr w14:paraId="206BC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000000" w:sz="10" w:space="0"/>
              <w:right w:val="single" w:color="808080" w:sz="4" w:space="0"/>
            </w:tcBorders>
            <w:shd w:val="clear" w:color="auto" w:fill="EDEDED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42008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6"/>
              </w:rPr>
              <w:t>Total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000000" w:sz="10" w:space="0"/>
              <w:right w:val="single" w:color="808080" w:sz="4" w:space="0"/>
            </w:tcBorders>
            <w:shd w:val="clear" w:color="auto" w:fill="EDEDED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09D46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16 (100.0%)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000000" w:sz="10" w:space="0"/>
              <w:right w:val="single" w:color="808080" w:sz="4" w:space="0"/>
            </w:tcBorders>
            <w:shd w:val="clear" w:color="auto" w:fill="EDEDED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B693C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6"/>
              </w:rPr>
              <w:t>Salvage treatment was heterogeneous, and several patients received more than one modality.</w:t>
            </w:r>
          </w:p>
        </w:tc>
        <w:tc>
          <w:tcPr>
            <w:tcW w:w="3564" w:type="dxa"/>
            <w:tcBorders>
              <w:top w:val="single" w:color="808080" w:sz="4" w:space="0"/>
              <w:left w:val="single" w:color="808080" w:sz="4" w:space="0"/>
              <w:bottom w:val="single" w:color="000000" w:sz="10" w:space="0"/>
              <w:right w:val="single" w:color="808080" w:sz="4" w:space="0"/>
            </w:tcBorders>
            <w:shd w:val="clear" w:color="auto" w:fill="EDEDED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9E3D21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6"/>
              </w:rPr>
              <w:t>Two in complete remission, four alive with disease, two lost to follow-up, and eight deceased</w:t>
            </w:r>
          </w:p>
        </w:tc>
      </w:tr>
    </w:tbl>
    <w:p w14:paraId="039ED050">
      <w:pPr>
        <w:spacing w:before="80" w:after="0" w:line="240" w:lineRule="auto"/>
      </w:pPr>
      <w:r>
        <w:rPr>
          <w:rFonts w:ascii="Times New Roman" w:hAnsi="Times New Roman" w:eastAsia="Times New Roman"/>
          <w:b/>
          <w:sz w:val="16"/>
        </w:rPr>
        <w:t xml:space="preserve">Note: </w:t>
      </w:r>
      <w:r>
        <w:rPr>
          <w:rFonts w:ascii="Times New Roman" w:hAnsi="Times New Roman" w:eastAsia="Times New Roman"/>
          <w:sz w:val="16"/>
        </w:rPr>
        <w:t>The principal outcome categories—complete remission, alive with disease, lost to follow-up, and death—are mutually exclusive. The two stable-disease cases and the two other active-disease/ongoing-treatment cases are subcategories of the four patients alive with disease.</w:t>
      </w:r>
    </w:p>
    <w:p w14:paraId="31AF629A">
      <w:pPr>
        <w:spacing w:before="20" w:after="0" w:line="240" w:lineRule="auto"/>
      </w:pPr>
      <w:r>
        <w:rPr>
          <w:rFonts w:ascii="Times New Roman" w:hAnsi="Times New Roman" w:eastAsia="Times New Roman"/>
          <w:sz w:val="16"/>
        </w:rPr>
        <w:t>Percentages are calculated using the 16 patients with documented progression or relapse as the denominator, unless otherwise specified.</w:t>
      </w:r>
    </w:p>
    <w:p w14:paraId="7E2B90A9">
      <w:pPr>
        <w:spacing w:before="20" w:after="0" w:line="240" w:lineRule="auto"/>
      </w:pPr>
      <w:r>
        <w:rPr>
          <w:rFonts w:ascii="Times New Roman" w:hAnsi="Times New Roman" w:eastAsia="Times New Roman"/>
          <w:sz w:val="16"/>
        </w:rPr>
        <w:t>Salvage approaches were individualized and included repeat surgery, radiotherapy or additional radiotherapy, ACNS0333-based chemotherapy, and other chemotherapy regimens administered at outside institutions. Several patients received more than one salvage modality.</w:t>
      </w:r>
    </w:p>
    <w:p w14:paraId="33F3BF11">
      <w:pPr>
        <w:spacing w:before="20" w:after="0" w:line="240" w:lineRule="auto"/>
      </w:pPr>
      <w:r>
        <w:rPr>
          <w:rFonts w:ascii="Times New Roman" w:hAnsi="Times New Roman" w:eastAsia="Times New Roman"/>
          <w:sz w:val="16"/>
        </w:rPr>
        <w:t>Complete patient-level information on salvage drug components, doses, schedules, dates of subsequent events, and standardized response assessments was not uniformly retrievable because some salvage treatments were administered at external institutions. Regimen-specific efficacy comparisons were therefore not performed.</w:t>
      </w:r>
    </w:p>
    <w:p w14:paraId="1FEAE07C">
      <w:pPr>
        <w:spacing w:before="20" w:after="0" w:line="240" w:lineRule="auto"/>
      </w:pPr>
      <w:r>
        <w:rPr>
          <w:rFonts w:ascii="Times New Roman" w:hAnsi="Times New Roman" w:eastAsia="Times New Roman"/>
          <w:sz w:val="16"/>
        </w:rPr>
        <w:t>AT/RT, atypical teratoid/rhabdoid tumor; CR, complete remission; SD, stable disease.</w:t>
      </w:r>
    </w:p>
    <w:sectPr>
      <w:pgSz w:w="15840" w:h="12240" w:orient="landscape"/>
      <w:pgMar w:top="792" w:right="792" w:bottom="792" w:left="79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Yu Gothic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4B99D5CF-AA8B-4A3E-8404-21197875E7AA}"/>
    <w:docVar w:name="KY_MEDREF_VERSION" w:val="3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AC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421</Words>
  <Characters>2837</Characters>
  <Lines>0</Lines>
  <Paragraphs>0</Paragraphs>
  <TotalTime>2</TotalTime>
  <ScaleCrop>false</ScaleCrop>
  <LinksUpToDate>false</LinksUpToDate>
  <CharactersWithSpaces>3228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豆沙包</cp:lastModifiedBy>
  <dcterms:modified xsi:type="dcterms:W3CDTF">2026-08-01T08:27:10Z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eyJoZGlkIjoiZmMzOGQ1ODAyZWY0YWQ2ODVkYWM1NWI5ZmYyNmIxOGIiLCJ1c2VySWQiOiIyNzA3MDgxNzQifQ==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1332DED89E844972BE72F16B8ED3699E_12</vt:lpwstr>
  </property>
</Properties>
</file>