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Table S1: XGBoost hyperparameters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0"/>
        <w:gridCol w:w="2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9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Parameter</w:t>
            </w:r>
          </w:p>
        </w:tc>
        <w:tc>
          <w:tcPr>
            <w:tcW w:w="20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9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n_estimators</w:t>
            </w:r>
          </w:p>
        </w:tc>
        <w:tc>
          <w:tcPr>
            <w:tcW w:w="20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max_depth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learning_rate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subsample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colsample_bytree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min_child_weight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gamma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</w:tbl>
    <w:p/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keepNext w:val="0"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jc w:val="center"/>
        <w:textAlignment w:val="auto"/>
      </w:pPr>
      <w:r>
        <w:rPr>
          <w:rFonts w:hint="eastAsia"/>
          <w:b/>
          <w:bCs/>
          <w:sz w:val="24"/>
          <w:szCs w:val="24"/>
          <w:lang w:val="en-US" w:eastAsia="zh-CN"/>
        </w:rPr>
        <w:t>Table S2: Event counts by split and time window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1696"/>
        <w:gridCol w:w="2442"/>
        <w:gridCol w:w="271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4" w:hRule="atLeast"/>
          <w:jc w:val="center"/>
        </w:trPr>
        <w:tc>
          <w:tcPr>
            <w:tcW w:w="1979" w:type="dxa"/>
            <w:tcBorders>
              <w:bottom w:val="single" w:color="auto" w:sz="4" w:space="0"/>
            </w:tcBorders>
          </w:tcPr>
          <w:p>
            <w:pPr>
              <w:rPr>
                <w:b/>
                <w:bCs/>
                <w:vertAlign w:val="baseline"/>
              </w:rPr>
            </w:pPr>
            <w:r>
              <w:rPr>
                <w:b/>
                <w:bCs/>
                <w:vertAlign w:val="baseline"/>
                <w:lang w:val="en-US" w:eastAsia="zh-CN"/>
              </w:rPr>
              <w:t>Cohort</w:t>
            </w:r>
          </w:p>
        </w:tc>
        <w:tc>
          <w:tcPr>
            <w:tcW w:w="1696" w:type="dxa"/>
            <w:tcBorders>
              <w:bottom w:val="single" w:color="auto" w:sz="4" w:space="0"/>
            </w:tcBorders>
          </w:tcPr>
          <w:p>
            <w:pPr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  <w:t>Total N</w:t>
            </w:r>
          </w:p>
        </w:tc>
        <w:tc>
          <w:tcPr>
            <w:tcW w:w="2442" w:type="dxa"/>
            <w:tcBorders>
              <w:bottom w:val="single" w:color="auto" w:sz="4" w:space="0"/>
            </w:tcBorders>
          </w:tcPr>
          <w:p>
            <w:pPr>
              <w:rPr>
                <w:b/>
                <w:bCs/>
                <w:vertAlign w:val="baseline"/>
              </w:rPr>
            </w:pPr>
            <w:r>
              <w:rPr>
                <w:b/>
                <w:bCs/>
                <w:vertAlign w:val="baseline"/>
                <w:lang w:val="en-US" w:eastAsia="zh-CN"/>
              </w:rPr>
              <w:t>Recurrence, n (%)</w:t>
            </w:r>
          </w:p>
        </w:tc>
        <w:tc>
          <w:tcPr>
            <w:tcW w:w="2717" w:type="dxa"/>
            <w:tcBorders>
              <w:bottom w:val="single" w:color="auto" w:sz="4" w:space="0"/>
            </w:tcBorders>
          </w:tcPr>
          <w:p>
            <w:pPr>
              <w:rPr>
                <w:b/>
                <w:bCs/>
                <w:vertAlign w:val="baseline"/>
              </w:rPr>
            </w:pPr>
            <w:r>
              <w:rPr>
                <w:b/>
                <w:bCs/>
                <w:vertAlign w:val="baseline"/>
                <w:lang w:val="en-US" w:eastAsia="zh-CN"/>
              </w:rPr>
              <w:t>Non-recurrence, n 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4" w:hRule="atLeast"/>
          <w:jc w:val="center"/>
        </w:trPr>
        <w:tc>
          <w:tcPr>
            <w:tcW w:w="1979" w:type="dxa"/>
            <w:tcBorders>
              <w:top w:val="single" w:color="auto" w:sz="4" w:space="0"/>
            </w:tcBorders>
          </w:tcPr>
          <w:p>
            <w:pPr>
              <w:rPr>
                <w:vertAlign w:val="baseline"/>
              </w:rPr>
            </w:pPr>
            <w:r>
              <w:rPr>
                <w:vertAlign w:val="baseline"/>
                <w:lang w:val="en-US" w:eastAsia="zh-CN"/>
              </w:rPr>
              <w:t>Training</w:t>
            </w:r>
          </w:p>
        </w:tc>
        <w:tc>
          <w:tcPr>
            <w:tcW w:w="1696" w:type="dxa"/>
            <w:tcBorders>
              <w:top w:val="single" w:color="auto" w:sz="4" w:space="0"/>
            </w:tcBorders>
          </w:tcPr>
          <w:p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269</w:t>
            </w:r>
          </w:p>
        </w:tc>
        <w:tc>
          <w:tcPr>
            <w:tcW w:w="2442" w:type="dxa"/>
            <w:tcBorders>
              <w:top w:val="single" w:color="auto" w:sz="4" w:space="0"/>
            </w:tcBorders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119 (44.2%)</w:t>
            </w:r>
          </w:p>
        </w:tc>
        <w:tc>
          <w:tcPr>
            <w:tcW w:w="2717" w:type="dxa"/>
            <w:tcBorders>
              <w:top w:val="single" w:color="auto" w:sz="4" w:space="0"/>
            </w:tcBorders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150 (55.8%)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4" w:hRule="atLeast"/>
          <w:jc w:val="center"/>
        </w:trPr>
        <w:tc>
          <w:tcPr>
            <w:tcW w:w="1979" w:type="dxa"/>
          </w:tcPr>
          <w:p>
            <w:pPr>
              <w:rPr>
                <w:vertAlign w:val="baseline"/>
              </w:rPr>
            </w:pPr>
            <w:r>
              <w:rPr>
                <w:vertAlign w:val="baseline"/>
                <w:lang w:val="en-US" w:eastAsia="zh-CN"/>
              </w:rPr>
              <w:t>Validation</w:t>
            </w:r>
          </w:p>
        </w:tc>
        <w:tc>
          <w:tcPr>
            <w:tcW w:w="1696" w:type="dxa"/>
          </w:tcPr>
          <w:p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89</w:t>
            </w:r>
          </w:p>
        </w:tc>
        <w:tc>
          <w:tcPr>
            <w:tcW w:w="2442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40 (44.9%)</w:t>
            </w:r>
          </w:p>
        </w:tc>
        <w:tc>
          <w:tcPr>
            <w:tcW w:w="2717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49 (55.1%)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4" w:hRule="atLeast"/>
          <w:jc w:val="center"/>
        </w:trPr>
        <w:tc>
          <w:tcPr>
            <w:tcW w:w="197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vertAlign w:val="baseline"/>
                <w:lang w:val="en-US" w:eastAsia="zh-CN"/>
              </w:rPr>
              <w:t>Test</w:t>
            </w:r>
          </w:p>
        </w:tc>
        <w:tc>
          <w:tcPr>
            <w:tcW w:w="1696" w:type="dxa"/>
          </w:tcPr>
          <w:p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89</w:t>
            </w:r>
          </w:p>
        </w:tc>
        <w:tc>
          <w:tcPr>
            <w:tcW w:w="2442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44 (49.4%)</w:t>
            </w:r>
          </w:p>
        </w:tc>
        <w:tc>
          <w:tcPr>
            <w:tcW w:w="2717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45 (50.6%)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4" w:hRule="atLeast"/>
          <w:jc w:val="center"/>
        </w:trPr>
        <w:tc>
          <w:tcPr>
            <w:tcW w:w="1979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b/>
                <w:bCs/>
                <w:vertAlign w:val="baseline"/>
                <w:lang w:val="en-US" w:eastAsia="zh-CN"/>
              </w:rPr>
              <w:t>Test: 0–1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Y</w:t>
            </w:r>
          </w:p>
        </w:tc>
        <w:tc>
          <w:tcPr>
            <w:tcW w:w="1696" w:type="dxa"/>
          </w:tcPr>
          <w:p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89</w:t>
            </w:r>
          </w:p>
        </w:tc>
        <w:tc>
          <w:tcPr>
            <w:tcW w:w="2442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38 (42.7%)</w:t>
            </w:r>
          </w:p>
        </w:tc>
        <w:tc>
          <w:tcPr>
            <w:tcW w:w="2717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51 (57.3%)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4" w:hRule="atLeast"/>
          <w:jc w:val="center"/>
        </w:trPr>
        <w:tc>
          <w:tcPr>
            <w:tcW w:w="1979" w:type="dxa"/>
          </w:tcPr>
          <w:p>
            <w:pPr>
              <w:rPr>
                <w:b/>
                <w:bCs/>
                <w:vertAlign w:val="baseline"/>
              </w:rPr>
            </w:pPr>
            <w:r>
              <w:rPr>
                <w:b/>
                <w:bCs/>
                <w:vertAlign w:val="baseline"/>
                <w:lang w:val="en-US" w:eastAsia="zh-CN"/>
              </w:rPr>
              <w:t xml:space="preserve">Test: 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</w:t>
            </w:r>
            <w:r>
              <w:rPr>
                <w:b/>
                <w:bCs/>
                <w:vertAlign w:val="baseline"/>
                <w:lang w:val="en-US" w:eastAsia="zh-CN"/>
              </w:rPr>
              <w:t>–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2Y</w:t>
            </w:r>
          </w:p>
        </w:tc>
        <w:tc>
          <w:tcPr>
            <w:tcW w:w="1696" w:type="dxa"/>
          </w:tcPr>
          <w:p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89</w:t>
            </w:r>
          </w:p>
        </w:tc>
        <w:tc>
          <w:tcPr>
            <w:tcW w:w="2442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23 (25.8%)</w:t>
            </w:r>
          </w:p>
        </w:tc>
        <w:tc>
          <w:tcPr>
            <w:tcW w:w="2717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66 (74.2%)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5" w:hRule="atLeast"/>
          <w:jc w:val="center"/>
        </w:trPr>
        <w:tc>
          <w:tcPr>
            <w:tcW w:w="1979" w:type="dxa"/>
          </w:tcPr>
          <w:p>
            <w:pPr>
              <w:rPr>
                <w:b/>
                <w:bCs/>
                <w:vertAlign w:val="baseline"/>
              </w:rPr>
            </w:pPr>
            <w:r>
              <w:rPr>
                <w:b/>
                <w:bCs/>
                <w:vertAlign w:val="baseline"/>
                <w:lang w:val="en-US" w:eastAsia="zh-CN"/>
              </w:rPr>
              <w:t xml:space="preserve">Test: 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＞2Y</w:t>
            </w:r>
          </w:p>
        </w:tc>
        <w:tc>
          <w:tcPr>
            <w:tcW w:w="1696" w:type="dxa"/>
          </w:tcPr>
          <w:p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89</w:t>
            </w:r>
          </w:p>
        </w:tc>
        <w:tc>
          <w:tcPr>
            <w:tcW w:w="2442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16 (18.0%)</w:t>
            </w:r>
          </w:p>
        </w:tc>
        <w:tc>
          <w:tcPr>
            <w:tcW w:w="2717" w:type="dxa"/>
          </w:tcPr>
          <w:p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73 (82.0%)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textAlignment w:val="bottom"/>
        <w:rPr>
          <w:rFonts w:hint="default"/>
          <w:b/>
          <w:bCs/>
          <w:sz w:val="24"/>
          <w:szCs w:val="24"/>
          <w:lang w:val="en-US" w:eastAsia="zh-CN"/>
        </w:rPr>
      </w:pPr>
    </w:p>
    <w:tbl>
      <w:tblPr>
        <w:tblStyle w:val="5"/>
        <w:tblpPr w:leftFromText="180" w:rightFromText="180" w:vertAnchor="text" w:horzAnchor="page" w:tblpX="1598" w:tblpY="-82"/>
        <w:tblOverlap w:val="never"/>
        <w:tblW w:w="122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2900"/>
        <w:gridCol w:w="982"/>
        <w:gridCol w:w="2335"/>
        <w:gridCol w:w="1035"/>
        <w:gridCol w:w="2246"/>
        <w:gridCol w:w="11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2283" w:type="dxa"/>
            <w:gridSpan w:val="7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 xml:space="preserve">Table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S3</w:t>
            </w: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: Univariate analysis of the training set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661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Characteristic</w:t>
            </w:r>
          </w:p>
        </w:tc>
        <w:tc>
          <w:tcPr>
            <w:tcW w:w="3882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to 12M</w:t>
            </w:r>
          </w:p>
        </w:tc>
        <w:tc>
          <w:tcPr>
            <w:tcW w:w="3370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to 24</w:t>
            </w:r>
            <w:r>
              <w:rPr>
                <w:rFonts w:hint="eastAsia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3370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more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90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98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  <w:tc>
          <w:tcPr>
            <w:tcW w:w="233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103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  <w:tc>
          <w:tcPr>
            <w:tcW w:w="224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112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290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0.607 (0.282 - 1.188)</w:t>
            </w:r>
          </w:p>
        </w:tc>
        <w:tc>
          <w:tcPr>
            <w:tcW w:w="98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0.169</w:t>
            </w:r>
          </w:p>
        </w:tc>
        <w:tc>
          <w:tcPr>
            <w:tcW w:w="233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 (0.18 - 0.861)</w:t>
            </w:r>
          </w:p>
        </w:tc>
        <w:tc>
          <w:tcPr>
            <w:tcW w:w="103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0.028</w:t>
            </w:r>
          </w:p>
        </w:tc>
        <w:tc>
          <w:tcPr>
            <w:tcW w:w="224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0.429 (0.173 - 0.914)</w:t>
            </w:r>
          </w:p>
        </w:tc>
        <w:tc>
          <w:tcPr>
            <w:tcW w:w="11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 (0.957 - 1.003)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1.011 (0.988 - 1.035)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0.352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0.991 (0.968 - 1.016)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GPC3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2.114 (1.245 - 3.726)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1.181 (0.728 - 1.947)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0.506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2.014 (1.17 - 3.601)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0.989 (0.897 - 1.087)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0.982 (0.892 - 1.077)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0.698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0.986 (0.891 - 1.087)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0.748 (0.434 - 1.254)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0.584 (0.335 - 0.984)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0.049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0.734 (0.417 - 1.25)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BCLC 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2.35 (1.182 - 5.224)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1.974 (1.038 - 4.09)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1.29 (0.695 - 2.559)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WBC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1.12 (0.986 - 1.269)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0.964 (0.839 - 1.097)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0.585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0.949 (0.819 - 1.089)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PLT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(0.996 - 1.004)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1.003 (0.999 - 1.007)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0.098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1.002 (0.998 - 1.007)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HGB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1.002 (0.989 - 1.017)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0.756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0.994 (0.981 - 1.008)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0.376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1.011 (0.996 - 1.027)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1.107 (1.021 - 1.311)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0.933 (0.795 - 1.011)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0.365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0.883 (0.743 - 1.004)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INR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 (0.526 - 1.544)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0.692 (0.418 - 1.163)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0.157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0.844 (0.494 - 1.484)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AFP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1.888 (1.167 - 3.073)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2.05 (1.279 - 3.308)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1.674 (1.02 - 2.758)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AST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0.999 (0.995 - 1.002)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(0.997 - 1.003)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0.998 (0.993 - 1.002)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ALT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1.008 (1.002 - 1.014)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(0.993 - 1.006)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0.997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0.994 (0.984 - 1.002)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0.972 (0.937 - 1.004)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0.982 (0.949 - 1.012)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0.264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 (0.945 - 1.013)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1.016 (0.964 - 1.072)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0.971 (0.924 - 1.022)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0.262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0.971 (0.921 - 1.025)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Size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1.516 (1.043 - 2.26)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0.034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2.014 (1.361 - 3.073)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1.571 (1.065 - 2.384)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6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Liver disease type</w:t>
            </w:r>
          </w:p>
        </w:tc>
        <w:tc>
          <w:tcPr>
            <w:tcW w:w="29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1.169 (0.636 - 2.25)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0.626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0.657 (0.376 - 1.177)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0.149</w:t>
            </w:r>
          </w:p>
        </w:tc>
        <w:tc>
          <w:tcPr>
            <w:tcW w:w="22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 (0.336 - 1.098)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</w:tr>
    </w:tbl>
    <w:p>
      <w:pPr>
        <w:jc w:val="both"/>
        <w:rPr>
          <w:rFonts w:hint="eastAsia"/>
          <w:b/>
          <w:bCs/>
          <w:sz w:val="24"/>
          <w:szCs w:val="24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Style w:val="5"/>
        <w:tblpPr w:leftFromText="180" w:rightFromText="180" w:vertAnchor="text" w:horzAnchor="page" w:tblpXSpec="center" w:tblpY="-963"/>
        <w:tblOverlap w:val="never"/>
        <w:tblW w:w="10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871"/>
        <w:gridCol w:w="1427"/>
        <w:gridCol w:w="1871"/>
        <w:gridCol w:w="1427"/>
        <w:gridCol w:w="1871"/>
        <w:gridCol w:w="1427"/>
      </w:tblGrid>
      <w:tr>
        <w:trPr>
          <w:trHeight w:val="90" w:hRule="atLeast"/>
          <w:jc w:val="center"/>
        </w:trPr>
        <w:tc>
          <w:tcPr>
            <w:tcW w:w="10600" w:type="dxa"/>
            <w:gridSpan w:val="7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Table</w:t>
            </w: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S4</w:t>
            </w: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: mRMR of the training set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  <w:jc w:val="center"/>
        </w:trPr>
        <w:tc>
          <w:tcPr>
            <w:tcW w:w="706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Rank</w:t>
            </w:r>
          </w:p>
        </w:tc>
        <w:tc>
          <w:tcPr>
            <w:tcW w:w="329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to 12</w:t>
            </w:r>
            <w:r>
              <w:rPr>
                <w:rFonts w:hint="eastAsia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329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to 24</w:t>
            </w:r>
            <w:r>
              <w:rPr>
                <w:rFonts w:hint="eastAsia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3298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more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  <w:jc w:val="center"/>
        </w:trPr>
        <w:tc>
          <w:tcPr>
            <w:tcW w:w="706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Feature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Score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Feature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Score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Feature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Score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Size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0.020203366</w:t>
            </w:r>
          </w:p>
        </w:tc>
        <w:tc>
          <w:tcPr>
            <w:tcW w:w="18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Size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0.016569302</w:t>
            </w:r>
          </w:p>
        </w:tc>
        <w:tc>
          <w:tcPr>
            <w:tcW w:w="18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AFP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0.019458955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AFP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0.017572015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BCLC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0.012968634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GPC3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0.016909742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0.015672208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GPC3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0.009194634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0.013227039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GPC3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0.010825224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0.007904727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0.010180974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0.00876569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0.006458683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0.009510764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0.004989647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AFP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0.003742332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Size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0.007337691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0.004896722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0.003277488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0.004844306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0.004856886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0.003228159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0.004837581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BCLC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0.004560231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INR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0.003128159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0.004704766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WBC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0.004534224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0.003088934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0.003653208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0.003733096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0.00306093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Liver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disease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0.003637261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0.003174494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0.003054576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0.003382015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INR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0.002174494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Liver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disease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0.002527442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0.003096223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0.0015417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0.001833211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0.002920527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0.001240674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0.001501032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0.000948622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0.000885562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0.001003356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BCLC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0.000461044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0.000444701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0.000963344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WBC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0.000326479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0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Liver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disease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0.000372189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WBC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0.000333228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INR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0.00030479</w:t>
            </w:r>
          </w:p>
        </w:tc>
      </w:tr>
    </w:tbl>
    <w:p>
      <w:pPr>
        <w:jc w:val="both"/>
        <w:rPr>
          <w:rFonts w:hint="eastAsia"/>
          <w:b/>
          <w:bCs/>
          <w:sz w:val="24"/>
          <w:szCs w:val="24"/>
        </w:rPr>
      </w:pPr>
    </w:p>
    <w:p>
      <w:pPr>
        <w:jc w:val="both"/>
        <w:rPr>
          <w:rFonts w:hint="eastAsia"/>
          <w:b/>
          <w:bCs/>
          <w:sz w:val="24"/>
          <w:szCs w:val="24"/>
        </w:rPr>
      </w:pPr>
    </w:p>
    <w:p>
      <w:pPr>
        <w:jc w:val="both"/>
        <w:rPr>
          <w:rFonts w:hint="eastAsia"/>
          <w:b/>
          <w:bCs/>
          <w:sz w:val="24"/>
          <w:szCs w:val="24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widowControl/>
        <w:suppressLineNumbers w:val="0"/>
        <w:jc w:val="both"/>
        <w:textAlignment w:val="bottom"/>
        <w:rPr>
          <w:rFonts w:hint="eastAsia" w:ascii="Arial Regular" w:hAnsi="Arial Regular" w:eastAsia="等线" w:cs="Arial Regular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tbl>
      <w:tblPr>
        <w:tblStyle w:val="5"/>
        <w:tblpPr w:leftFromText="180" w:rightFromText="180" w:vertAnchor="text" w:horzAnchor="page" w:tblpXSpec="center" w:tblpY="187"/>
        <w:tblOverlap w:val="never"/>
        <w:tblW w:w="10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58"/>
        <w:gridCol w:w="1413"/>
        <w:gridCol w:w="1858"/>
        <w:gridCol w:w="1413"/>
        <w:gridCol w:w="1858"/>
        <w:gridCol w:w="14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  <w:jc w:val="center"/>
        </w:trPr>
        <w:tc>
          <w:tcPr>
            <w:tcW w:w="10600" w:type="dxa"/>
            <w:gridSpan w:val="7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Table S5: MI for the training set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both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Rank</w:t>
            </w:r>
          </w:p>
        </w:tc>
        <w:tc>
          <w:tcPr>
            <w:tcW w:w="3271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to 12</w:t>
            </w:r>
          </w:p>
        </w:tc>
        <w:tc>
          <w:tcPr>
            <w:tcW w:w="3271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to 24</w:t>
            </w:r>
          </w:p>
        </w:tc>
        <w:tc>
          <w:tcPr>
            <w:tcW w:w="3271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more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  <w:jc w:val="center"/>
        </w:trPr>
        <w:tc>
          <w:tcPr>
            <w:tcW w:w="787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Feature</w:t>
            </w:r>
          </w:p>
        </w:tc>
        <w:tc>
          <w:tcPr>
            <w:tcW w:w="141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</w:t>
            </w:r>
            <w:r>
              <w:rPr>
                <w:rFonts w:hint="eastAsia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  <w:tc>
          <w:tcPr>
            <w:tcW w:w="18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Feature</w:t>
            </w:r>
          </w:p>
        </w:tc>
        <w:tc>
          <w:tcPr>
            <w:tcW w:w="141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</w:t>
            </w:r>
            <w:r>
              <w:rPr>
                <w:rFonts w:hint="eastAsia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  <w:tc>
          <w:tcPr>
            <w:tcW w:w="18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Feature</w:t>
            </w:r>
          </w:p>
        </w:tc>
        <w:tc>
          <w:tcPr>
            <w:tcW w:w="141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</w:t>
            </w:r>
            <w:r>
              <w:rPr>
                <w:rFonts w:hint="eastAsia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Size</w:t>
            </w:r>
          </w:p>
        </w:tc>
        <w:tc>
          <w:tcPr>
            <w:tcW w:w="141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0.025678515</w:t>
            </w:r>
          </w:p>
        </w:tc>
        <w:tc>
          <w:tcPr>
            <w:tcW w:w="185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Size</w:t>
            </w:r>
          </w:p>
        </w:tc>
        <w:tc>
          <w:tcPr>
            <w:tcW w:w="141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0.015896429</w:t>
            </w:r>
          </w:p>
        </w:tc>
        <w:tc>
          <w:tcPr>
            <w:tcW w:w="185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Size</w:t>
            </w:r>
          </w:p>
        </w:tc>
        <w:tc>
          <w:tcPr>
            <w:tcW w:w="141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0.013937095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0.017291256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AFP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0.009968634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0.012909742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AFP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0.009672208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0.008814495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0.011227039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GPC3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0.00876569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0.006849118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0.008870856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0.008464352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0.006458683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0.007719464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0.003921601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GPC3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0.006009816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GPC3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0.005608134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0.003742235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0.002536635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0.003751593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0.003485767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0.00253307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0.003659327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0.003400668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0.002290932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0.003628186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0.002799822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WBC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0.001883672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BCLC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0.002739906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0.002412239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0.001125774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0.002458356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0.001156275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INR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0.001092372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AFP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0.002322167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0.000994706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0.000892581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0.002190395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WBC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0.000664172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0.000752517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0.000711467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0.000560307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0.000722508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Liver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disease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0.000327565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INR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0.000100939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0.000249921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WBC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0.000274779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Liver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disease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4.65E-05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Liver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disease</w:t>
            </w: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0.000190872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INR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0.000200316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  <w:jc w:val="center"/>
        </w:trPr>
        <w:tc>
          <w:tcPr>
            <w:tcW w:w="7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85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BCLC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BCLC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0.000100316</w:t>
            </w: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bottom"/>
        <w:rPr>
          <w:rFonts w:hint="eastAsia" w:ascii="Arial Regular" w:hAnsi="Arial Regular" w:eastAsia="等线" w:cs="Arial Regular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Table S6: GPC-3 incremental value</w:t>
      </w:r>
    </w:p>
    <w:tbl>
      <w:tblPr>
        <w:tblStyle w:val="6"/>
        <w:tblW w:w="5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291"/>
        <w:gridCol w:w="1884"/>
        <w:gridCol w:w="1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8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Metric</w:t>
            </w:r>
          </w:p>
        </w:tc>
        <w:tc>
          <w:tcPr>
            <w:tcW w:w="129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Value</w:t>
            </w:r>
          </w:p>
        </w:tc>
        <w:tc>
          <w:tcPr>
            <w:tcW w:w="18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 CI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8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AUC</w:t>
            </w:r>
          </w:p>
        </w:tc>
        <w:tc>
          <w:tcPr>
            <w:tcW w:w="129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+0.041</w:t>
            </w:r>
          </w:p>
        </w:tc>
        <w:tc>
          <w:tcPr>
            <w:tcW w:w="188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0.015–0.068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8" w:hRule="atLeast"/>
          <w:jc w:val="center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NRI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0.312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0.128–0.496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atLeast"/>
          <w:jc w:val="center"/>
        </w:trPr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IDI</w:t>
            </w:r>
          </w:p>
        </w:tc>
        <w:tc>
          <w:tcPr>
            <w:tcW w:w="129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0.058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0.026–0.090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/>
              <w:pageBreakBefore w:val="0"/>
              <w:widowControl w:val="0"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 Regular" w:hAnsi="Arial Regular" w:eastAsia="等线" w:cs="Arial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</w:tbl>
    <w:p/>
    <w:p/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right="0" w:firstLine="0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Figure S</w:t>
      </w:r>
      <w:r>
        <w:rPr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 xml:space="preserve"> Calibration curves for the XGB model across time windows. Calibration plots with 1000 bootstrap iterations are shown for (A) 0–1 year, (B) 1–2 years, and (C) &gt;2 years. 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right="0" w:firstLine="0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right="0" w:firstLine="0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2924810" cy="2159635"/>
            <wp:effectExtent l="0" t="0" r="21590" b="24765"/>
            <wp:docPr id="1" name="图片 1" descr="/private/var/folders/7d/wwmvc_3s3_51rtnndpss9vw40000gn/T/com.kingsoft.wpsoffice.mac/photoeditapp/20260808214208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private/var/folders/7d/wwmvc_3s3_51rtnndpss9vw40000gn/T/com.kingsoft.wpsoffice.mac/photoeditapp/20260808214208/temp.pngtem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2924810" cy="2159635"/>
            <wp:effectExtent l="0" t="0" r="21590" b="24765"/>
            <wp:docPr id="2" name="图片 2" descr="/private/var/folders/7d/wwmvc_3s3_51rtnndpss9vw40000gn/T/com.kingsoft.wpsoffice.mac/photoeditapp/20260808214256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private/var/folders/7d/wwmvc_3s3_51rtnndpss9vw40000gn/T/com.kingsoft.wpsoffice.mac/photoeditapp/20260808214256/temp.pngtemp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2924810" cy="2160270"/>
            <wp:effectExtent l="0" t="0" r="21590" b="24130"/>
            <wp:docPr id="3" name="图片 3" descr="/private/var/folders/7d/wwmvc_3s3_51rtnndpss9vw40000gn/T/com.kingsoft.wpsoffice.mac/photoeditapp/20260808214332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private/var/folders/7d/wwmvc_3s3_51rtnndpss9vw40000gn/T/com.kingsoft.wpsoffice.mac/photoeditapp/20260808214332/temp.pngtem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320" w:afterAutospacing="0"/>
        <w:ind w:left="0" w:right="0" w:firstLine="0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Figure S</w:t>
      </w:r>
      <w:r>
        <w:rPr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 xml:space="preserve"> Decision Curve Analysis for the XGB model across time windows. Net benefit is plotted against threshold probability for (A) 0–1 year, (B) 1–2 years, and (C) &gt;2 years. The 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blue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 xml:space="preserve"> solid line represents the XGB model, the gray dashed line represents the "treat all" strategy, and the gray dotted line (net benefit = 0) represents the "treat none" strategy. The XGB model demonstrates positive net benefit across a wide range of clinically relevant threshold probabilities for all three time windows.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right="0" w:firstLine="0"/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2902585" cy="2159635"/>
            <wp:effectExtent l="0" t="0" r="18415" b="24765"/>
            <wp:docPr id="4" name="图片 4" descr="/private/var/folders/7d/wwmvc_3s3_51rtnndpss9vw40000gn/T/com.kingsoft.wpsoffice.mac/photoeditapp/20260808214529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private/var/folders/7d/wwmvc_3s3_51rtnndpss9vw40000gn/T/com.kingsoft.wpsoffice.mac/photoeditapp/20260808214529/temp.pngtemp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258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2902585" cy="2159635"/>
            <wp:effectExtent l="0" t="0" r="18415" b="24765"/>
            <wp:docPr id="5" name="图片 5" descr="/private/var/folders/7d/wwmvc_3s3_51rtnndpss9vw40000gn/T/com.kingsoft.wpsoffice.mac/photoeditapp/20260808214547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private/var/folders/7d/wwmvc_3s3_51rtnndpss9vw40000gn/T/com.kingsoft.wpsoffice.mac/photoeditapp/20260808214547/temp.pngtemp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258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2902585" cy="2159635"/>
            <wp:effectExtent l="0" t="0" r="18415" b="24765"/>
            <wp:docPr id="6" name="图片 6" descr="/private/var/folders/7d/wwmvc_3s3_51rtnndpss9vw40000gn/T/com.kingsoft.wpsoffice.mac/photoeditapp/20260808214608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private/var/folders/7d/wwmvc_3s3_51rtnndpss9vw40000gn/T/com.kingsoft.wpsoffice.mac/photoeditapp/20260808214608/temp.pngtemp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0258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0" w:afterAutospacing="0"/>
        <w:ind w:left="0" w:right="0" w:firstLine="0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Figure S</w:t>
      </w:r>
      <w:r>
        <w:rPr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 xml:space="preserve"> SHAP analysis of the XGB model. (A) Feature importance bar plot showing mean absolute SHAP values. (B) SHAP summary (swarm) plot showing the distribution of SHAP values for each feature; 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yellow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 xml:space="preserve"> indicates high feature values and 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purple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 xml:space="preserve"> indicates low feature values. Tumor size and AFP were the most influential predictors, followed by GPC-3, gender, and BCLC stage.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0" w:afterAutospacing="0"/>
        <w:ind w:left="0" w:right="0" w:firstLine="0"/>
        <w:jc w:val="center"/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drawing>
          <wp:inline distT="0" distB="0" distL="114300" distR="114300">
            <wp:extent cx="4612005" cy="3433445"/>
            <wp:effectExtent l="0" t="0" r="10795" b="20955"/>
            <wp:docPr id="7" name="图片 7" descr="SHAP-XGBo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HAP-XGBoost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2005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FA11FB"/>
    <w:rsid w:val="2CDD9CB4"/>
    <w:rsid w:val="2D66D5FE"/>
    <w:rsid w:val="3DEDD455"/>
    <w:rsid w:val="3EDB1693"/>
    <w:rsid w:val="3F1F8912"/>
    <w:rsid w:val="3F770E07"/>
    <w:rsid w:val="3FFFB256"/>
    <w:rsid w:val="4EC57B79"/>
    <w:rsid w:val="53CE12B5"/>
    <w:rsid w:val="57BF2606"/>
    <w:rsid w:val="6A7ED22E"/>
    <w:rsid w:val="6DDF2122"/>
    <w:rsid w:val="6F5E2614"/>
    <w:rsid w:val="6F6CA633"/>
    <w:rsid w:val="6FF74DE9"/>
    <w:rsid w:val="6FFD10C5"/>
    <w:rsid w:val="6FFF3A6A"/>
    <w:rsid w:val="743CB203"/>
    <w:rsid w:val="7DDFB9D1"/>
    <w:rsid w:val="99EFE824"/>
    <w:rsid w:val="9FFA11FB"/>
    <w:rsid w:val="B2FA5D69"/>
    <w:rsid w:val="B33D8E56"/>
    <w:rsid w:val="BDF1BA72"/>
    <w:rsid w:val="BF7B5CCD"/>
    <w:rsid w:val="BFE3336E"/>
    <w:rsid w:val="CFFA93C6"/>
    <w:rsid w:val="D3FC333C"/>
    <w:rsid w:val="DD7EDC84"/>
    <w:rsid w:val="DDAD3619"/>
    <w:rsid w:val="DEFFCD83"/>
    <w:rsid w:val="EFF7EE01"/>
    <w:rsid w:val="FDBF080E"/>
    <w:rsid w:val="FE57B666"/>
    <w:rsid w:val="FEFB9D05"/>
    <w:rsid w:val="FFC918A4"/>
    <w:rsid w:val="FFDDE2D7"/>
    <w:rsid w:val="FFF3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alibri" w:cs="Calibri"/>
      <w:sz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2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2026-07-02T15:56:00Z</dcterms:created>
  <dc:creator>李浩然</dc:creator>
  <cp:lastModifiedBy>李浩然</cp:lastModifiedBy>
  <dcterms:modified xsi:type="dcterms:W3CDTF">2026-08-08T22:39:49Z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2C7E04201BE389B6B838456A1F543BC0_41</vt:lpwstr>
  </property>
</Properties>
</file>